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HDFC BANK LIMITED</w:t>
        <w:br/>
      </w:r>
      <w:r>
        <w:rPr>
          <w:b/>
          <w:color w:val="006699"/>
          <w:sz w:val="30"/>
        </w:rPr>
        <w:t>Comprehensive Cognitive Learning &amp; Structural Transformation Report</w:t>
        <w:br/>
      </w:r>
      <w:r>
        <w:rPr>
          <w:color w:val="666666"/>
          <w:sz w:val="20"/>
        </w:rPr>
        <w:t>Unaudited Standalone &amp; Consolidated Financial Results for the Quarter Ended June 30, 2026 (Q1 FY 2026-27)</w:t>
        <w:br/>
        <w:t>CIN: L65920MH1994PLC080618 | Registered Office: Sandoz House, Shivsagar Estate, Worli, Mumbai 400 018</w:t>
        <w:br/>
      </w:r>
    </w:p>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Document Orientation &amp; Cognitive Transformation Architecture</w:t>
              <w:br/>
            </w:r>
            <w:r>
              <w:rPr>
                <w:rFonts w:ascii="Calibri" w:hAnsi="Calibri"/>
                <w:color w:val="333333"/>
                <w:sz w:val="20"/>
              </w:rPr>
              <w:t>This document takes the complete original financial disclosures of HDFC Bank Limited for Q1 FY 2026-27 and restructures them according to a 9-step cognitive progression model. Every technical term is pre-explained with familiar real-life analogies, mechanical explanations, and clear structural breakdowns before presenting the exact source data. Zero source information has been omitted.</w:t>
            </w:r>
          </w:p>
        </w:tc>
      </w:tr>
    </w:tbl>
    <w:p>
      <w:pPr>
        <w:spacing w:after="80"/>
      </w:pPr>
    </w:p>
    <w:p>
      <w:pPr>
        <w:pStyle w:val="Heading1"/>
        <w:spacing w:before="320"/>
      </w:pPr>
      <w:r>
        <w:t>Master Navigation &amp; Table of Contents</w:t>
      </w:r>
    </w:p>
    <w:p>
      <w:pPr>
        <w:spacing w:after="320"/>
      </w:pPr>
      <w:r>
        <w:t>Part I: Cognitive Learning Architecture &amp; Core Concept Modules (Concepts 1 to 24)</w:t>
        <w:br/>
        <w:t xml:space="preserve">  • Concept 1: Standalone vs. Consolidated Results</w:t>
        <w:br/>
        <w:t xml:space="preserve">  • Concept 2: Interest Earned vs. Interest Expended</w:t>
        <w:br/>
        <w:t xml:space="preserve">  • Concept 3: Other Income &amp; Non-Fund Based Operations</w:t>
        <w:br/>
        <w:t xml:space="preserve">  • Concept 4: Operating Profit, Provisions, and Net Profit</w:t>
        <w:br/>
        <w:t xml:space="preserve">  • Concept 5: Discretionary Floating Provisions</w:t>
        <w:br/>
        <w:t xml:space="preserve">  • Concept 6: Capital Adequacy Ratio (CAR)</w:t>
        <w:br/>
        <w:t xml:space="preserve">  • Concept 7: Earnings Per Share (EPS) — Basic &amp; Diluted</w:t>
        <w:br/>
        <w:t xml:space="preserve">  • Concept 8: Non-Performing Assets (NPAs) — Gross vs. Net</w:t>
        <w:br/>
        <w:t xml:space="preserve">  • Concept 9: Return on Assets (ROA)</w:t>
        <w:br/>
        <w:t xml:space="preserve">  • Concept 10: Financial Leverage — Debt-Equity &amp; Total Debt to Total Assets</w:t>
        <w:br/>
        <w:t xml:space="preserve">  • Concept 11: Business Segment Reporting</w:t>
        <w:br/>
        <w:t xml:space="preserve">  • Concept 12: Limited Review vs. Full Statutory Audit</w:t>
        <w:br/>
        <w:t xml:space="preserve">  • Concept 13: Bonus Shares &amp; Retrospective Earnings Adjustment</w:t>
        <w:br/>
        <w:t xml:space="preserve">  • Concept 14: Employee Stock Option Plan (ESOP) Allotments</w:t>
        <w:br/>
        <w:t xml:space="preserve">  • Concept 15: Stressed Loan Transfers &amp; Asset Reconstruction Companies (ARCs)</w:t>
        <w:br/>
        <w:t xml:space="preserve">  • Concept 16: Security Receipts (SRs) &amp; Recovery Ratings</w:t>
        <w:br/>
        <w:t xml:space="preserve">  • Concept 17: Infrastructure Project Finance &amp; DCCO</w:t>
        <w:br/>
        <w:t xml:space="preserve">  • Concept 18: Initial Public Offering (IPO) &amp; Offer for Sale (OFS) Divestment</w:t>
        <w:br/>
        <w:t xml:space="preserve">  • Concept 19: Preferential Share Allotment</w:t>
        <w:br/>
        <w:t xml:space="preserve">  • Concept 20: Tax Provision Write-backs &amp; Tax Adjustments</w:t>
        <w:br/>
        <w:t xml:space="preserve">  • Concept 21: Corporate Governance Review of Director Resignation</w:t>
        <w:br/>
        <w:t xml:space="preserve">  • Concept 22: Regulatory Directives &amp; DIFC Overseas Branch Status</w:t>
        <w:br/>
        <w:t xml:space="preserve">  • Concept 23: Basel III Framework &amp; Pillar 3 Disclosures</w:t>
        <w:br/>
        <w:t xml:space="preserve">  • Concept 24: Actuarial Liabilities — Life Insurance Policies &amp; Non-Life IBNR/IBNER Reserves</w:t>
        <w:br/>
        <w:br/>
        <w:t>Part II: Full Standalone Financial Statements &amp; Detailed Disclosures (Tables 1 to 6)</w:t>
        <w:br/>
        <w:t>Part III: Standalone Independent Auditors' Limited Review Report</w:t>
        <w:br/>
        <w:t>Part IV: Full Consolidated Financial Statements &amp; Group Disclosures (Tables 7 to 9)</w:t>
        <w:br/>
        <w:t>Part V: Consolidated Independent Auditors' Review Report &amp; Annexure of Consolidated Entities (Table 10)</w:t>
      </w:r>
    </w:p>
    <w:p>
      <w:pPr>
        <w:pStyle w:val="Heading1"/>
      </w:pPr>
      <w:r>
        <w:t>Part I: Cognitive Learning Architecture &amp; Core Concept Modules</w:t>
      </w:r>
    </w:p>
    <w:p>
      <w:pPr>
        <w:pStyle w:val="Heading3"/>
        <w:spacing w:before="280" w:after="120"/>
      </w:pPr>
      <w:r>
        <w:t>Concept 1: Standalone vs. Consolidated Results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Standalone vs. Consolidated Results</w:t>
              <w:br/>
            </w:r>
            <w:r>
              <w:rPr>
                <w:rFonts w:ascii="Calibri" w:hAnsi="Calibri"/>
                <w:color w:val="333333"/>
                <w:sz w:val="20"/>
              </w:rPr>
              <w:t>Familiar Idea: Think of a parent running a sole-proprietorship store vs. running a family group of businesses including a bakery, a delivery service, and an insurance agency.</w:t>
              <w:br/>
              <w:br/>
              <w:t>Real-Life Example: If you evaluate just the main store's sales, that is 'Standalone'. If you add up the main store plus all the family-owned businesses, eliminating transactions between each other, that is 'Consolidated'.</w:t>
            </w:r>
          </w:p>
        </w:tc>
      </w:tr>
    </w:tbl>
    <w:p>
      <w:pPr>
        <w:spacing w:after="80"/>
      </w:pPr>
    </w:p>
    <w:p>
      <w:pPr>
        <w:spacing w:after="80"/>
      </w:pPr>
      <w:r>
        <w:rPr>
          <w:b/>
          <w:color w:val="004080"/>
        </w:rPr>
        <w:t xml:space="preserve">Step 3 — Mechanism (How It Works): </w:t>
      </w:r>
      <w:r>
        <w:t>Standalone tracks only the single legal banking entity (HDFC Bank Ltd). Consolidated combines HDFC Bank Ltd with its 17 subsidiaries (like HDFC Life, HDFC ERGO, HDFC AMC, HDB Financial Services) into a single master financial statement, stripping out internal transactions.</w:t>
      </w:r>
    </w:p>
    <w:p>
      <w:pPr>
        <w:spacing w:after="80"/>
      </w:pPr>
      <w:r>
        <w:rPr>
          <w:b/>
          <w:color w:val="004080"/>
        </w:rPr>
        <w:t xml:space="preserve">Step 4 — Purpose (Why It Exists &amp; Problem Solved): </w:t>
      </w:r>
      <w:r>
        <w:t>To show investors both how the core bank is performing by itself (Standalone) and how the entire corporate umbrella is performing as a whole (Consolidated).</w:t>
      </w:r>
    </w:p>
    <w:p>
      <w:pPr>
        <w:spacing w:after="80"/>
      </w:pPr>
      <w:r>
        <w:rPr>
          <w:b/>
          <w:color w:val="004080"/>
        </w:rPr>
        <w:t xml:space="preserve">Step 5 — Formal Technical Term: </w:t>
      </w:r>
      <w:r>
        <w:rPr>
          <w:b/>
        </w:rPr>
        <w:t>Standalone Financial Results vs. Consolidated Financial Results</w:t>
      </w:r>
    </w:p>
    <w:p>
      <w:pPr>
        <w:spacing w:after="80"/>
      </w:pPr>
      <w:r>
        <w:rPr>
          <w:b/>
          <w:color w:val="004080"/>
        </w:rPr>
        <w:t xml:space="preserve">Step 6 — Detailed Structure &amp; Components: </w:t>
      </w:r>
      <w:r>
        <w:t>1. Parent Entity (HDFC Bank Ltd)</w:t>
        <w:br/>
        <w:t>2. Operating Subsidiaries (Insurance, Asset Management, Securities)</w:t>
        <w:br/>
        <w:t>3. Consolidation Adjustments (Inter-segment revenue elimination).</w:t>
      </w:r>
    </w:p>
    <w:p>
      <w:pPr>
        <w:spacing w:after="80"/>
      </w:pPr>
      <w:r>
        <w:rPr>
          <w:b/>
          <w:color w:val="004080"/>
        </w:rPr>
        <w:t xml:space="preserve">Step 7 — Relationship to Other Concepts: </w:t>
      </w:r>
      <w:r>
        <w:t>Establishes the boundary for every table in the report. Tables 1-6 represent Standalone; Tables 7-10 represent Consolidated.</w:t>
      </w:r>
    </w:p>
    <w:p>
      <w:pPr>
        <w:spacing w:after="80"/>
      </w:pPr>
      <w:r>
        <w:rPr>
          <w:b/>
          <w:color w:val="004080"/>
        </w:rPr>
        <w:t xml:space="preserve">Step 8 — Practical Real-World Meaning: </w:t>
      </w:r>
      <w:r>
        <w:t>Allows depositors to judge the bank's core safety and allows shareholders to value the entire corporate group.</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Standalone vs. Consolidated Results</w:t>
              <w:br/>
            </w:r>
            <w:r>
              <w:rPr>
                <w:rFonts w:ascii="Calibri" w:hAnsi="Calibri"/>
                <w:color w:val="333333"/>
                <w:sz w:val="20"/>
              </w:rPr>
              <w:t>Standalone Total Assets: ₹43,97,461.28 crore; Consolidated Total Assets: ₹49,71,473.66 crore (as of June 30, 2026).</w:t>
            </w:r>
          </w:p>
        </w:tc>
      </w:tr>
    </w:tbl>
    <w:p>
      <w:pPr>
        <w:spacing w:after="80"/>
      </w:pPr>
    </w:p>
    <w:p>
      <w:pPr>
        <w:pStyle w:val="Heading3"/>
        <w:spacing w:before="280" w:after="120"/>
      </w:pPr>
      <w:r>
        <w:t>Concept 2: Interest Earned vs. Interest Expended</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Interest Earned vs. Interest Expended</w:t>
              <w:br/>
            </w:r>
            <w:r>
              <w:rPr>
                <w:rFonts w:ascii="Calibri" w:hAnsi="Calibri"/>
                <w:color w:val="333333"/>
                <w:sz w:val="20"/>
              </w:rPr>
              <w:t>Familiar Idea: Think of a fruit trader buying apples from farmers at ₹50 per kg and selling them to shoppers at ₹80 per kg.</w:t>
              <w:br/>
              <w:br/>
              <w:t>Real-Life Example: A bank collects money from depositors and pays them 5% interest (Interest Expended). It lends that money to home buyers at 9% interest (Interest Earned). The difference is its main profit engine.</w:t>
            </w:r>
          </w:p>
        </w:tc>
      </w:tr>
    </w:tbl>
    <w:p>
      <w:pPr>
        <w:spacing w:after="80"/>
      </w:pPr>
    </w:p>
    <w:p>
      <w:pPr>
        <w:spacing w:after="80"/>
      </w:pPr>
      <w:r>
        <w:rPr>
          <w:b/>
          <w:color w:val="004080"/>
        </w:rPr>
        <w:t xml:space="preserve">Step 3 — Mechanism (How It Works): </w:t>
      </w:r>
      <w:r>
        <w:t>Interest Earned includes interest on loans/advances, income on government bond investments, and RBI balances. Interest Expended is the interest paid on customer deposits and wholesale bank borrowings.</w:t>
      </w:r>
    </w:p>
    <w:p>
      <w:pPr>
        <w:spacing w:after="80"/>
      </w:pPr>
      <w:r>
        <w:rPr>
          <w:b/>
          <w:color w:val="004080"/>
        </w:rPr>
        <w:t xml:space="preserve">Step 4 — Purpose (Why It Exists &amp; Problem Solved): </w:t>
      </w:r>
      <w:r>
        <w:t>Measures the efficiency of the bank's core money-lending engine.</w:t>
      </w:r>
    </w:p>
    <w:p>
      <w:pPr>
        <w:spacing w:after="80"/>
      </w:pPr>
      <w:r>
        <w:rPr>
          <w:b/>
          <w:color w:val="004080"/>
        </w:rPr>
        <w:t xml:space="preserve">Step 5 — Formal Technical Term: </w:t>
      </w:r>
      <w:r>
        <w:rPr>
          <w:b/>
        </w:rPr>
        <w:t>Interest Earned (Item 1) and Interest Expended (Item 4)</w:t>
      </w:r>
    </w:p>
    <w:p>
      <w:pPr>
        <w:spacing w:after="80"/>
      </w:pPr>
      <w:r>
        <w:rPr>
          <w:b/>
          <w:color w:val="004080"/>
        </w:rPr>
        <w:t xml:space="preserve">Step 6 — Detailed Structure &amp; Components: </w:t>
      </w:r>
      <w:r>
        <w:t>Interest Earned: a) Advances/Bills, b) Investments, c) RBI/Inter-bank balances, d) Others.</w:t>
        <w:br/>
        <w:t>Interest Expended: Interest paid on deposits and borrowings.</w:t>
      </w:r>
    </w:p>
    <w:p>
      <w:pPr>
        <w:spacing w:after="80"/>
      </w:pPr>
      <w:r>
        <w:rPr>
          <w:b/>
          <w:color w:val="004080"/>
        </w:rPr>
        <w:t xml:space="preserve">Step 7 — Relationship to Other Concepts: </w:t>
      </w:r>
      <w:r>
        <w:t>Interest Earned minus Interest Expended yields Net Interest Income (NII), which feeds directly into Operating Profit.</w:t>
      </w:r>
    </w:p>
    <w:p>
      <w:pPr>
        <w:spacing w:after="80"/>
      </w:pPr>
      <w:r>
        <w:rPr>
          <w:b/>
          <w:color w:val="004080"/>
        </w:rPr>
        <w:t xml:space="preserve">Step 8 — Practical Real-World Meaning: </w:t>
      </w:r>
      <w:r>
        <w:t>Shows whether the bank is effectively earning more on its loans than it pays to attract money.</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Interest Earned vs. Interest Expended</w:t>
              <w:br/>
            </w:r>
            <w:r>
              <w:rPr>
                <w:rFonts w:ascii="Calibri" w:hAnsi="Calibri"/>
                <w:color w:val="333333"/>
                <w:sz w:val="20"/>
              </w:rPr>
              <w:t>Standalone Q1 FY27: Interest Earned = ₹79,362.78 crore; Interest Expended = ₹45,828.83 crore.</w:t>
              <w:br/>
              <w:t>Consolidated Q1 FY27: Interest Earned = ₹90,575.33 crore; Interest Expended = ₹47,625.63 crore.</w:t>
            </w:r>
          </w:p>
        </w:tc>
      </w:tr>
    </w:tbl>
    <w:p>
      <w:pPr>
        <w:spacing w:after="80"/>
      </w:pPr>
    </w:p>
    <w:p>
      <w:pPr>
        <w:pStyle w:val="Heading3"/>
        <w:spacing w:before="280" w:after="120"/>
      </w:pPr>
      <w:r>
        <w:t>Concept 3: Other Income &amp; Non-Fund Based Operations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Other Income &amp; Non-Fund Based Operations</w:t>
              <w:br/>
            </w:r>
            <w:r>
              <w:rPr>
                <w:rFonts w:ascii="Calibri" w:hAnsi="Calibri"/>
                <w:color w:val="333333"/>
                <w:sz w:val="20"/>
              </w:rPr>
              <w:t>Familiar Idea: Think of a car dealership earning money not just from selling cars, but from processing loan applications, insurance commissions, and servicing fees.</w:t>
              <w:br/>
              <w:br/>
              <w:t>Real-Life Example: When HDFC Bank charges a credit card fee, converts foreign currency for a traveler, or sells insurance policies, it earns non-interest fee income.</w:t>
            </w:r>
          </w:p>
        </w:tc>
      </w:tr>
    </w:tbl>
    <w:p>
      <w:pPr>
        <w:spacing w:after="80"/>
      </w:pPr>
    </w:p>
    <w:p>
      <w:pPr>
        <w:spacing w:after="80"/>
      </w:pPr>
      <w:r>
        <w:rPr>
          <w:b/>
          <w:color w:val="004080"/>
        </w:rPr>
        <w:t xml:space="preserve">Step 3 — Mechanism (How It Works): </w:t>
      </w:r>
      <w:r>
        <w:t>Represents revenue generated without directly lending money. Includes processing fees, foreign exchange fees, investment profits, dividend from subsidiaries, written-off loan recoveries, and insurance premiums in consolidated results.</w:t>
      </w:r>
    </w:p>
    <w:p>
      <w:pPr>
        <w:spacing w:after="80"/>
      </w:pPr>
      <w:r>
        <w:rPr>
          <w:b/>
          <w:color w:val="004080"/>
        </w:rPr>
        <w:t xml:space="preserve">Step 4 — Purpose (Why It Exists &amp; Problem Solved): </w:t>
      </w:r>
      <w:r>
        <w:t>Diversifies bank revenue so it does not rely solely on interest rates.</w:t>
      </w:r>
    </w:p>
    <w:p>
      <w:pPr>
        <w:spacing w:after="80"/>
      </w:pPr>
      <w:r>
        <w:rPr>
          <w:b/>
          <w:color w:val="004080"/>
        </w:rPr>
        <w:t xml:space="preserve">Step 5 — Formal Technical Term: </w:t>
      </w:r>
      <w:r>
        <w:rPr>
          <w:b/>
        </w:rPr>
        <w:t>Other Income (Item 2)</w:t>
      </w:r>
    </w:p>
    <w:p>
      <w:pPr>
        <w:spacing w:after="80"/>
      </w:pPr>
      <w:r>
        <w:rPr>
          <w:b/>
          <w:color w:val="004080"/>
        </w:rPr>
        <w:t xml:space="preserve">Step 6 — Detailed Structure &amp; Components: </w:t>
      </w:r>
      <w:r>
        <w:t>1. Processing fees &amp; commissions</w:t>
        <w:br/>
        <w:t>2. Forex &amp; derivative earnings</w:t>
        <w:br/>
        <w:t>3. Profit/loss on investment sales</w:t>
        <w:br/>
        <w:t>4. Insurance premium revenue (Consolidated)</w:t>
        <w:br/>
        <w:t>5. Loan recoveries.</w:t>
      </w:r>
    </w:p>
    <w:p>
      <w:pPr>
        <w:spacing w:after="80"/>
      </w:pPr>
      <w:r>
        <w:rPr>
          <w:b/>
          <w:color w:val="004080"/>
        </w:rPr>
        <w:t xml:space="preserve">Step 7 — Relationship to Other Concepts: </w:t>
      </w:r>
      <w:r>
        <w:t>Added to Interest Earned to calculate Total Income (Item 3).</w:t>
      </w:r>
    </w:p>
    <w:p>
      <w:pPr>
        <w:spacing w:after="80"/>
      </w:pPr>
      <w:r>
        <w:rPr>
          <w:b/>
          <w:color w:val="004080"/>
        </w:rPr>
        <w:t xml:space="preserve">Step 8 — Practical Real-World Meaning: </w:t>
      </w:r>
      <w:r>
        <w:t>A high Other Income ratio shows a strong franchise capable of generating steady fee income regardless of rate cycles.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Other Income &amp; Non-Fund Based Operations</w:t>
              <w:br/>
            </w:r>
            <w:r>
              <w:rPr>
                <w:rFonts w:ascii="Calibri" w:hAnsi="Calibri"/>
                <w:color w:val="333333"/>
                <w:sz w:val="20"/>
              </w:rPr>
              <w:t>Standalone Q1 FY27 Other Income: ₹12,821.60 crore. Consolidated Q1 FY27 Other Income: ₹42,535.03 crore (includes ₹18,353.92 crore insurance premium income).</w:t>
            </w:r>
          </w:p>
        </w:tc>
      </w:tr>
    </w:tbl>
    <w:p>
      <w:pPr>
        <w:spacing w:after="80"/>
      </w:pPr>
    </w:p>
    <w:p>
      <w:pPr>
        <w:pStyle w:val="Heading3"/>
        <w:spacing w:before="280" w:after="120"/>
      </w:pPr>
      <w:r>
        <w:t>Concept 4: Operating Profit, Provisions, and Net Profit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Operating Profit, Provisions, and Net Profit</w:t>
              <w:br/>
            </w:r>
            <w:r>
              <w:rPr>
                <w:rFonts w:ascii="Calibri" w:hAnsi="Calibri"/>
                <w:color w:val="333333"/>
                <w:sz w:val="20"/>
              </w:rPr>
              <w:t>Familiar Idea: Think of running a restaurant: Total Sales minus Food &amp; Staff Costs gives cash generated (Operating Profit). You then set aside money for broken dishes or unpaid bills (Provisions) before calculating final profit (Net Profit).</w:t>
              <w:br/>
              <w:br/>
              <w:t>Real-Life Example: HDFC Bank generates ₹28,168.06 crore in raw operating surplus. It sets aside ₹3,059.76 crore for bad loan risks, pays ₹6,048.58 crore in income tax, leaving ₹19,059.72 crore as final Net Profit.</w:t>
            </w:r>
          </w:p>
        </w:tc>
      </w:tr>
    </w:tbl>
    <w:p>
      <w:pPr>
        <w:spacing w:after="80"/>
      </w:pPr>
    </w:p>
    <w:p>
      <w:pPr>
        <w:spacing w:after="80"/>
      </w:pPr>
      <w:r>
        <w:rPr>
          <w:b/>
          <w:color w:val="004080"/>
        </w:rPr>
        <w:t xml:space="preserve">Step 3 — Mechanism (How It Works): </w:t>
      </w:r>
      <w:r>
        <w:t>Total Income minus Operating Expenses equals Operating Profit. Subtracting Provisions for bad loans and Tax Expenses yields Net Profit.</w:t>
      </w:r>
    </w:p>
    <w:p>
      <w:pPr>
        <w:spacing w:after="80"/>
      </w:pPr>
      <w:r>
        <w:rPr>
          <w:b/>
          <w:color w:val="004080"/>
        </w:rPr>
        <w:t xml:space="preserve">Step 4 — Purpose (Why It Exists &amp; Problem Solved): </w:t>
      </w:r>
      <w:r>
        <w:t>Separates operational performance from risk provisioning and taxation.</w:t>
      </w:r>
    </w:p>
    <w:p>
      <w:pPr>
        <w:spacing w:after="80"/>
      </w:pPr>
      <w:r>
        <w:rPr>
          <w:b/>
          <w:color w:val="004080"/>
        </w:rPr>
        <w:t xml:space="preserve">Step 5 — Formal Technical Term: </w:t>
      </w:r>
      <w:r>
        <w:rPr>
          <w:b/>
        </w:rPr>
        <w:t>Operating Profit before Provisions (Item 7) vs. Provisions (Item 8) vs. Net Profit (Item 12/14)</w:t>
      </w:r>
    </w:p>
    <w:p>
      <w:pPr>
        <w:spacing w:after="80"/>
      </w:pPr>
      <w:r>
        <w:rPr>
          <w:b/>
          <w:color w:val="004080"/>
        </w:rPr>
        <w:t xml:space="preserve">Step 6 — Detailed Structure &amp; Components: </w:t>
      </w:r>
      <w:r>
        <w:t>Total Income -&gt; Less: Operating Expenses -&gt; Operating Profit -&gt; Less: Provisions -&gt; PBT -&gt; Less: Tax -&gt; Net Profit.</w:t>
      </w:r>
    </w:p>
    <w:p>
      <w:pPr>
        <w:spacing w:after="80"/>
      </w:pPr>
      <w:r>
        <w:rPr>
          <w:b/>
          <w:color w:val="004080"/>
        </w:rPr>
        <w:t xml:space="preserve">Step 7 — Relationship to Other Concepts: </w:t>
      </w:r>
      <w:r>
        <w:t>Connecting bridge between gross operational performance and bottom-line shareholder earnings.</w:t>
      </w:r>
    </w:p>
    <w:p>
      <w:pPr>
        <w:spacing w:after="80"/>
      </w:pPr>
      <w:r>
        <w:rPr>
          <w:b/>
          <w:color w:val="004080"/>
        </w:rPr>
        <w:t xml:space="preserve">Step 8 — Practical Real-World Meaning: </w:t>
      </w:r>
      <w:r>
        <w:t>Shows whether profit growth comes from good business operations or merely changing provision levels.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Operating Profit, Provisions, and Net Profit</w:t>
              <w:br/>
            </w:r>
            <w:r>
              <w:rPr>
                <w:rFonts w:ascii="Calibri" w:hAnsi="Calibri"/>
                <w:color w:val="333333"/>
                <w:sz w:val="20"/>
              </w:rPr>
              <w:t>Standalone Q1 FY27: Operating Profit = ₹28,168.06 crore; Provisions = ₹3,059.76 crore; Tax = ₹6,048.58 crore; Net Profit = ₹19,059.72 crore.</w:t>
            </w:r>
          </w:p>
        </w:tc>
      </w:tr>
    </w:tbl>
    <w:p>
      <w:pPr>
        <w:spacing w:after="80"/>
      </w:pPr>
    </w:p>
    <w:p>
      <w:pPr>
        <w:pStyle w:val="Heading3"/>
        <w:spacing w:before="280" w:after="120"/>
      </w:pPr>
      <w:r>
        <w:t>Concept 5: Discretionary Floating Provisions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Discretionary Floating Provisions</w:t>
              <w:br/>
            </w:r>
            <w:r>
              <w:rPr>
                <w:rFonts w:ascii="Calibri" w:hAnsi="Calibri"/>
                <w:color w:val="333333"/>
                <w:sz w:val="20"/>
              </w:rPr>
              <w:t>Familiar Idea: Think of putting extra cash in a emergency cookie jar during good months, even if no bills are due, just in case a rainy day comes later.</w:t>
              <w:br/>
              <w:br/>
              <w:t>Real-Life Example: HDFC Bank's board voluntarily set aside ₹9,000.00 crore as a general safety buffer in FY26, over and above mandatory loan loss rules.</w:t>
            </w:r>
          </w:p>
        </w:tc>
      </w:tr>
    </w:tbl>
    <w:p>
      <w:pPr>
        <w:spacing w:after="80"/>
      </w:pPr>
    </w:p>
    <w:p>
      <w:pPr>
        <w:spacing w:after="80"/>
      </w:pPr>
      <w:r>
        <w:rPr>
          <w:b/>
          <w:color w:val="004080"/>
        </w:rPr>
        <w:t xml:space="preserve">Step 3 — Mechanism (How It Works): </w:t>
      </w:r>
      <w:r>
        <w:t>Provisions made without being tied to specific bad loans. They sit on the balance sheet as an extra shock absorber that can be drawn down during economic stress with regulator/board approval.</w:t>
      </w:r>
    </w:p>
    <w:p>
      <w:pPr>
        <w:spacing w:after="80"/>
      </w:pPr>
      <w:r>
        <w:rPr>
          <w:b/>
          <w:color w:val="004080"/>
        </w:rPr>
        <w:t xml:space="preserve">Step 4 — Purpose (Why It Exists &amp; Problem Solved): </w:t>
      </w:r>
      <w:r>
        <w:t>Strengthens balance sheet resilience against unexpected systemic crises.</w:t>
      </w:r>
    </w:p>
    <w:p>
      <w:pPr>
        <w:spacing w:after="80"/>
      </w:pPr>
      <w:r>
        <w:rPr>
          <w:b/>
          <w:color w:val="004080"/>
        </w:rPr>
        <w:t xml:space="preserve">Step 5 — Formal Technical Term: </w:t>
      </w:r>
      <w:r>
        <w:rPr>
          <w:b/>
        </w:rPr>
        <w:t>Floating Provisions (Note 8)</w:t>
      </w:r>
    </w:p>
    <w:p>
      <w:pPr>
        <w:spacing w:after="80"/>
      </w:pPr>
      <w:r>
        <w:rPr>
          <w:b/>
          <w:color w:val="004080"/>
        </w:rPr>
        <w:t xml:space="preserve">Step 6 — Detailed Structure &amp; Components: </w:t>
      </w:r>
      <w:r>
        <w:t>Board-approved discretionary reserve bucket deducted from income and held under liabilities.</w:t>
      </w:r>
    </w:p>
    <w:p>
      <w:pPr>
        <w:spacing w:after="80"/>
      </w:pPr>
      <w:r>
        <w:rPr>
          <w:b/>
          <w:color w:val="004080"/>
        </w:rPr>
        <w:t xml:space="preserve">Step 7 — Relationship to Other Concepts: </w:t>
      </w:r>
      <w:r>
        <w:t>Adjusts segment liabilities and segment results for Q1 FY26 and FY26 comparative periods.</w:t>
      </w:r>
    </w:p>
    <w:p>
      <w:pPr>
        <w:spacing w:after="80"/>
      </w:pPr>
      <w:r>
        <w:rPr>
          <w:b/>
          <w:color w:val="004080"/>
        </w:rPr>
        <w:t xml:space="preserve">Step 8 — Practical Real-World Meaning: </w:t>
      </w:r>
      <w:r>
        <w:t>Indicates conservative financial management and high balance sheet fortitude.</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Discretionary Floating Provisions</w:t>
              <w:br/>
            </w:r>
            <w:r>
              <w:rPr>
                <w:rFonts w:ascii="Calibri" w:hAnsi="Calibri"/>
                <w:color w:val="333333"/>
                <w:sz w:val="20"/>
              </w:rPr>
              <w:t>Note 8: Floating provision of ₹9,000.00 crore created during Q1 ended June 30, 2025 and year ended March 31, 2026.</w:t>
            </w:r>
          </w:p>
        </w:tc>
      </w:tr>
    </w:tbl>
    <w:p>
      <w:pPr>
        <w:spacing w:after="80"/>
      </w:pPr>
    </w:p>
    <w:p>
      <w:pPr>
        <w:pStyle w:val="Heading3"/>
        <w:spacing w:before="280" w:after="120"/>
      </w:pPr>
      <w:r>
        <w:t>Concept 6: Capital Adequacy Ratio (CAR)</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Capital Adequacy Ratio (CAR)</w:t>
              <w:br/>
            </w:r>
            <w:r>
              <w:rPr>
                <w:rFonts w:ascii="Calibri" w:hAnsi="Calibri"/>
                <w:color w:val="333333"/>
                <w:sz w:val="20"/>
              </w:rPr>
              <w:t>Familiar Idea: Think of a ship's buoyancy tank requirement: for every 100 kg of cargo carried, the ship must have at least 15 kg of airtight flotation reserves to prevent sinking in a storm.</w:t>
              <w:br/>
              <w:br/>
              <w:t>Real-Life Example: The RBI mandates banks to keep a minimum capital cushion against loans. HDFC Bank holds 19.57% capital relative to its risk-weighted loans, far above the regulatory minimum (~11.5%).</w:t>
            </w:r>
          </w:p>
        </w:tc>
      </w:tr>
    </w:tbl>
    <w:p>
      <w:pPr>
        <w:spacing w:after="80"/>
      </w:pPr>
    </w:p>
    <w:p>
      <w:pPr>
        <w:spacing w:after="80"/>
      </w:pPr>
      <w:r>
        <w:rPr>
          <w:b/>
          <w:color w:val="004080"/>
        </w:rPr>
        <w:t xml:space="preserve">Step 3 — Mechanism (How It Works): </w:t>
      </w:r>
      <w:r>
        <w:t>Calculated as (Tier 1 Capital + Tier 2 Capital) divided by Risk-Weighted Assets. Higher ratios mean greater ability to absorb loan losses.</w:t>
      </w:r>
    </w:p>
    <w:p>
      <w:pPr>
        <w:spacing w:after="80"/>
      </w:pPr>
      <w:r>
        <w:rPr>
          <w:b/>
          <w:color w:val="004080"/>
        </w:rPr>
        <w:t xml:space="preserve">Step 4 — Purpose (Why It Exists &amp; Problem Solved): </w:t>
      </w:r>
      <w:r>
        <w:t>Prevents bank failures and protects depositor money.</w:t>
      </w:r>
    </w:p>
    <w:p>
      <w:pPr>
        <w:spacing w:after="80"/>
      </w:pPr>
      <w:r>
        <w:rPr>
          <w:b/>
          <w:color w:val="004080"/>
        </w:rPr>
        <w:t xml:space="preserve">Step 5 — Formal Technical Term: </w:t>
      </w:r>
      <w:r>
        <w:rPr>
          <w:b/>
        </w:rPr>
        <w:t>Capital Adequacy Ratio (Analytical Ratio 17(ii))</w:t>
      </w:r>
    </w:p>
    <w:p>
      <w:pPr>
        <w:spacing w:after="80"/>
      </w:pPr>
      <w:r>
        <w:rPr>
          <w:b/>
          <w:color w:val="004080"/>
        </w:rPr>
        <w:t xml:space="preserve">Step 6 — Detailed Structure &amp; Components: </w:t>
      </w:r>
      <w:r>
        <w:t>1. Tier 1 Capital (Equity + Free Reserves)</w:t>
        <w:br/>
        <w:t>2. Tier 2 Capital (Subordinated Debt + General Provisions)</w:t>
        <w:br/>
        <w:t>3. Risk-Weighted Assets (Loans weighted by default risk).</w:t>
      </w:r>
    </w:p>
    <w:p>
      <w:pPr>
        <w:spacing w:after="80"/>
      </w:pPr>
      <w:r>
        <w:rPr>
          <w:b/>
          <w:color w:val="004080"/>
        </w:rPr>
        <w:t xml:space="preserve">Step 7 — Relationship to Other Concepts: </w:t>
      </w:r>
      <w:r>
        <w:t>Governs how fast the bank can expand its loan book without raising new capital.</w:t>
      </w:r>
    </w:p>
    <w:p>
      <w:pPr>
        <w:spacing w:after="80"/>
      </w:pPr>
      <w:r>
        <w:rPr>
          <w:b/>
          <w:color w:val="004080"/>
        </w:rPr>
        <w:t xml:space="preserve">Step 8 — Practical Real-World Meaning: </w:t>
      </w:r>
      <w:r>
        <w:t>Confirms the bank is rock-solid and highly capable of withstanding economic shocks.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Capital Adequacy Ratio (CAR)</w:t>
              <w:br/>
            </w:r>
            <w:r>
              <w:rPr>
                <w:rFonts w:ascii="Calibri" w:hAnsi="Calibri"/>
                <w:color w:val="333333"/>
                <w:sz w:val="20"/>
              </w:rPr>
              <w:t>Standalone CAR as of June 30, 2026: 19.57% (vs 19.71% as of March 31, 2026 and 19.88% as of June 30, 2025).</w:t>
            </w:r>
          </w:p>
        </w:tc>
      </w:tr>
    </w:tbl>
    <w:p>
      <w:pPr>
        <w:spacing w:after="80"/>
      </w:pPr>
    </w:p>
    <w:p>
      <w:pPr>
        <w:pStyle w:val="Heading3"/>
        <w:spacing w:before="280" w:after="120"/>
      </w:pPr>
      <w:r>
        <w:t>Concept 7: Earnings Per Share (EPS) — Basic &amp; Diluted</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Earnings Per Share (EPS) — Basic &amp; Diluted</w:t>
              <w:br/>
            </w:r>
            <w:r>
              <w:rPr>
                <w:rFonts w:ascii="Calibri" w:hAnsi="Calibri"/>
                <w:color w:val="333333"/>
                <w:sz w:val="20"/>
              </w:rPr>
              <w:t>Familiar Idea: Think of dividing a birthday cake among guests: if 10 guests are present, each gets 1/10th. If 2 more people have invitation vouchers that can be turned into plates, each potential share becomes slightly smaller.</w:t>
              <w:br/>
              <w:br/>
              <w:t>Real-Life Example: HDFC Bank earned ₹19,059.72 crore. Divided by existing shares, Basic EPS is ₹12.38. Accounting for pending employee stock options, Diluted EPS is ₹12.35.</w:t>
            </w:r>
          </w:p>
        </w:tc>
      </w:tr>
    </w:tbl>
    <w:p>
      <w:pPr>
        <w:spacing w:after="80"/>
      </w:pPr>
    </w:p>
    <w:p>
      <w:pPr>
        <w:spacing w:after="80"/>
      </w:pPr>
      <w:r>
        <w:rPr>
          <w:b/>
          <w:color w:val="004080"/>
        </w:rPr>
        <w:t xml:space="preserve">Step 3 — Mechanism (How It Works): </w:t>
      </w:r>
      <w:r>
        <w:t>Basic EPS = Net Profit / Weighted Average Existing Shares. Diluted EPS = Net Profit / (Existing Shares + Potential Shares from ESOPs/Convertibles).</w:t>
      </w:r>
    </w:p>
    <w:p>
      <w:pPr>
        <w:spacing w:after="80"/>
      </w:pPr>
      <w:r>
        <w:rPr>
          <w:b/>
          <w:color w:val="004080"/>
        </w:rPr>
        <w:t xml:space="preserve">Step 4 — Purpose (Why It Exists &amp; Problem Solved): </w:t>
      </w:r>
      <w:r>
        <w:t>Measures how much net profit belongs to each individual equity share.</w:t>
      </w:r>
    </w:p>
    <w:p>
      <w:pPr>
        <w:spacing w:after="80"/>
      </w:pPr>
      <w:r>
        <w:rPr>
          <w:b/>
          <w:color w:val="004080"/>
        </w:rPr>
        <w:t xml:space="preserve">Step 5 — Formal Technical Term: </w:t>
      </w:r>
      <w:r>
        <w:rPr>
          <w:b/>
        </w:rPr>
        <w:t>Basic EPS and Diluted EPS (Analytical Ratio 17(iii) &amp; Note 6)</w:t>
      </w:r>
    </w:p>
    <w:p>
      <w:pPr>
        <w:spacing w:after="80"/>
      </w:pPr>
      <w:r>
        <w:rPr>
          <w:b/>
          <w:color w:val="004080"/>
        </w:rPr>
        <w:t xml:space="preserve">Step 6 — Detailed Structure &amp; Components: </w:t>
      </w:r>
      <w:r>
        <w:t>Basic EPS (Actual shares) vs. Diluted EPS (Includes ESOP options). All prior figures restated for 1:1 bonus share issue.</w:t>
      </w:r>
    </w:p>
    <w:p>
      <w:pPr>
        <w:spacing w:after="80"/>
      </w:pPr>
      <w:r>
        <w:rPr>
          <w:b/>
          <w:color w:val="004080"/>
        </w:rPr>
        <w:t xml:space="preserve">Step 7 — Relationship to Other Concepts: </w:t>
      </w:r>
      <w:r>
        <w:t>Directly drives stock valuation and price-to-earnings (P/E) ratios.</w:t>
      </w:r>
    </w:p>
    <w:p>
      <w:pPr>
        <w:spacing w:after="80"/>
      </w:pPr>
      <w:r>
        <w:rPr>
          <w:b/>
          <w:color w:val="004080"/>
        </w:rPr>
        <w:t xml:space="preserve">Step 8 — Practical Real-World Meaning: </w:t>
      </w:r>
      <w:r>
        <w:t>Helps retail investors understand the exact quarterly earning power behind each share they own.</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Earnings Per Share (EPS) — Basic &amp; Diluted</w:t>
              <w:br/>
            </w:r>
            <w:r>
              <w:rPr>
                <w:rFonts w:ascii="Calibri" w:hAnsi="Calibri"/>
                <w:color w:val="333333"/>
                <w:sz w:val="20"/>
              </w:rPr>
              <w:t>Standalone Q1 FY27: Basic EPS = ₹12.38, Diluted EPS = ₹12.35 (Face Value ₹1/-). Consolidated Q1 FY27: Basic EPS = ₹12.50, Diluted EPS = ₹12.47.</w:t>
            </w:r>
          </w:p>
        </w:tc>
      </w:tr>
    </w:tbl>
    <w:p>
      <w:pPr>
        <w:spacing w:after="80"/>
      </w:pPr>
    </w:p>
    <w:p>
      <w:pPr>
        <w:pStyle w:val="Heading3"/>
        <w:spacing w:before="280" w:after="120"/>
      </w:pPr>
      <w:r>
        <w:t>Concept 8: Non-Performing Assets (NPAs) — Gross vs. Net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Non-Performing Assets (NPAs) — Gross vs. Net</w:t>
              <w:br/>
            </w:r>
            <w:r>
              <w:rPr>
                <w:rFonts w:ascii="Calibri" w:hAnsi="Calibri"/>
                <w:color w:val="333333"/>
                <w:sz w:val="20"/>
              </w:rPr>
              <w:t>Familiar Idea: Think of an apartment landlord: Gross NPA is the total rent overdue by 90+ days. Net NPA is overdue rent after subtracting the security deposit money you locked away to cover missing rent.</w:t>
              <w:br/>
              <w:br/>
              <w:t>Real-Life Example: HDFC Bank has ₹35,846.35 crore in overdue loans (Gross NPA = 1.17%). After setting aside provisions, bad loans uncovered by reserves are ₹12,357.27 crore (Net NPA = 0.41%).</w:t>
            </w:r>
          </w:p>
        </w:tc>
      </w:tr>
    </w:tbl>
    <w:p>
      <w:pPr>
        <w:spacing w:after="80"/>
      </w:pPr>
    </w:p>
    <w:p>
      <w:pPr>
        <w:spacing w:after="80"/>
      </w:pPr>
      <w:r>
        <w:rPr>
          <w:b/>
          <w:color w:val="004080"/>
        </w:rPr>
        <w:t xml:space="preserve">Step 3 — Mechanism (How It Works): </w:t>
      </w:r>
      <w:r>
        <w:t>Loans unpaid for over 90 days become Gross NPAs. When the bank sets aside specific provisions against them, the remaining uncovered amount is Net NPA.</w:t>
      </w:r>
    </w:p>
    <w:p>
      <w:pPr>
        <w:spacing w:after="80"/>
      </w:pPr>
      <w:r>
        <w:rPr>
          <w:b/>
          <w:color w:val="004080"/>
        </w:rPr>
        <w:t xml:space="preserve">Step 4 — Purpose (Why It Exists &amp; Problem Solved): </w:t>
      </w:r>
      <w:r>
        <w:t>Tracks loan quality and loan loss protection strength.</w:t>
      </w:r>
    </w:p>
    <w:p>
      <w:pPr>
        <w:spacing w:after="80"/>
      </w:pPr>
      <w:r>
        <w:rPr>
          <w:b/>
          <w:color w:val="004080"/>
        </w:rPr>
        <w:t xml:space="preserve">Step 5 — Formal Technical Term: </w:t>
      </w:r>
      <w:r>
        <w:rPr>
          <w:b/>
        </w:rPr>
        <w:t>Gross NPAs, Net NPAs, % of Gross NPAs to Gross Advances, % of Net NPAs to Net Advances (Analytical Ratio 17(iv))</w:t>
      </w:r>
    </w:p>
    <w:p>
      <w:pPr>
        <w:spacing w:after="80"/>
      </w:pPr>
      <w:r>
        <w:rPr>
          <w:b/>
          <w:color w:val="004080"/>
        </w:rPr>
        <w:t xml:space="preserve">Step 6 — Detailed Structure &amp; Components: </w:t>
      </w:r>
      <w:r>
        <w:t>1. Gross NPAs (Total defaulted loans)</w:t>
        <w:br/>
        <w:t>2. Specific Provisions (Deducted reserves)</w:t>
        <w:br/>
        <w:t>3. Net NPAs (Unhedged defaulted loans).</w:t>
      </w:r>
    </w:p>
    <w:p>
      <w:pPr>
        <w:spacing w:after="80"/>
      </w:pPr>
      <w:r>
        <w:rPr>
          <w:b/>
          <w:color w:val="004080"/>
        </w:rPr>
        <w:t xml:space="preserve">Step 7 — Relationship to Other Concepts: </w:t>
      </w:r>
      <w:r>
        <w:t>Determines quarterly provision costs in the P&amp;L statement.</w:t>
      </w:r>
    </w:p>
    <w:p>
      <w:pPr>
        <w:spacing w:after="80"/>
      </w:pPr>
      <w:r>
        <w:rPr>
          <w:b/>
          <w:color w:val="004080"/>
        </w:rPr>
        <w:t xml:space="preserve">Step 8 — Practical Real-World Meaning: </w:t>
      </w:r>
      <w:r>
        <w:t>HDFC Bank's Net NPA of 0.41% indicates world-class asset quality and exceptional risk management.</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Non-Performing Assets (NPAs) — Gross vs. Net</w:t>
              <w:br/>
            </w:r>
            <w:r>
              <w:rPr>
                <w:rFonts w:ascii="Calibri" w:hAnsi="Calibri"/>
                <w:color w:val="333333"/>
                <w:sz w:val="20"/>
              </w:rPr>
              <w:t>As of June 30, 2026: Gross NPAs = ₹35,846.35 crore (1.17%); Net NPAs = ₹12,357.27 crore (0.41%).</w:t>
            </w:r>
          </w:p>
        </w:tc>
      </w:tr>
    </w:tbl>
    <w:p>
      <w:pPr>
        <w:spacing w:after="80"/>
      </w:pPr>
    </w:p>
    <w:p>
      <w:pPr>
        <w:pStyle w:val="Heading3"/>
        <w:spacing w:before="280" w:after="120"/>
      </w:pPr>
      <w:r>
        <w:t>Concept 9: Return on Assets (ROA)</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Return on Assets (ROA)</w:t>
              <w:br/>
            </w:r>
            <w:r>
              <w:rPr>
                <w:rFonts w:ascii="Calibri" w:hAnsi="Calibri"/>
                <w:color w:val="333333"/>
                <w:sz w:val="20"/>
              </w:rPr>
              <w:t>Familiar Idea: Think of a taxi owner with a vehicle worth ₹10,00,000 who earns ₹20,000 net profit per month. The monthly return on that vehicle asset is 2%.</w:t>
              <w:br/>
              <w:br/>
              <w:t>Real-Life Example: HDFC Bank manages ₹43,97,461.28 crore in total assets and generates ₹19,059.72 crore net profit in Q1, yielding an un-annualized ROA of 0.46%.</w:t>
            </w:r>
          </w:p>
        </w:tc>
      </w:tr>
    </w:tbl>
    <w:p>
      <w:pPr>
        <w:spacing w:after="80"/>
      </w:pPr>
    </w:p>
    <w:p>
      <w:pPr>
        <w:spacing w:after="80"/>
      </w:pPr>
      <w:r>
        <w:rPr>
          <w:b/>
          <w:color w:val="004080"/>
        </w:rPr>
        <w:t xml:space="preserve">Step 3 — Mechanism (How It Works): </w:t>
      </w:r>
      <w:r>
        <w:t>Calculated as Net Profit divided by Average Total Assets for the period.</w:t>
      </w:r>
    </w:p>
    <w:p>
      <w:pPr>
        <w:spacing w:after="80"/>
      </w:pPr>
      <w:r>
        <w:rPr>
          <w:b/>
          <w:color w:val="004080"/>
        </w:rPr>
        <w:t xml:space="preserve">Step 4 — Purpose (Why It Exists &amp; Problem Solved): </w:t>
      </w:r>
      <w:r>
        <w:t>Measures how efficiently bank management uses its total asset base to generate profit.</w:t>
      </w:r>
    </w:p>
    <w:p>
      <w:pPr>
        <w:spacing w:after="80"/>
      </w:pPr>
      <w:r>
        <w:rPr>
          <w:b/>
          <w:color w:val="004080"/>
        </w:rPr>
        <w:t xml:space="preserve">Step 5 — Formal Technical Term: </w:t>
      </w:r>
      <w:r>
        <w:rPr>
          <w:b/>
        </w:rPr>
        <w:t>Return on Assets (Average) - Not Annualized (Analytical Ratio 17(v))</w:t>
      </w:r>
    </w:p>
    <w:p>
      <w:pPr>
        <w:spacing w:after="80"/>
      </w:pPr>
      <w:r>
        <w:rPr>
          <w:b/>
          <w:color w:val="004080"/>
        </w:rPr>
        <w:t xml:space="preserve">Step 6 — Detailed Structure &amp; Components: </w:t>
      </w:r>
      <w:r>
        <w:t>Numerator: Net Profit after tax; Denominator: Average Total Assets.</w:t>
      </w:r>
    </w:p>
    <w:p>
      <w:pPr>
        <w:spacing w:after="80"/>
      </w:pPr>
      <w:r>
        <w:rPr>
          <w:b/>
          <w:color w:val="004080"/>
        </w:rPr>
        <w:t xml:space="preserve">Step 7 — Relationship to Other Concepts: </w:t>
      </w:r>
      <w:r>
        <w:t>Combines balance sheet size with P&amp;L profitability into a single efficiency benchmark.</w:t>
      </w:r>
    </w:p>
    <w:p>
      <w:pPr>
        <w:spacing w:after="80"/>
      </w:pPr>
      <w:r>
        <w:rPr>
          <w:b/>
          <w:color w:val="004080"/>
        </w:rPr>
        <w:t xml:space="preserve">Step 8 — Practical Real-World Meaning: </w:t>
      </w:r>
      <w:r>
        <w:t>ROA above 0.45% per quarter (~1.8%-1.9% annualized) is considered elite for mega-scale global banks.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Return on Assets (ROA)</w:t>
              <w:br/>
            </w:r>
            <w:r>
              <w:rPr>
                <w:rFonts w:ascii="Calibri" w:hAnsi="Calibri"/>
                <w:color w:val="333333"/>
                <w:sz w:val="20"/>
              </w:rPr>
              <w:t>Standalone Q1 FY27 ROA: 0.46% (not annualized); FY26 Full Year ROA: 1.94%.</w:t>
            </w:r>
          </w:p>
        </w:tc>
      </w:tr>
    </w:tbl>
    <w:p>
      <w:pPr>
        <w:spacing w:after="80"/>
      </w:pPr>
    </w:p>
    <w:p>
      <w:pPr>
        <w:pStyle w:val="Heading3"/>
        <w:spacing w:before="280" w:after="120"/>
      </w:pPr>
      <w:r>
        <w:t>Concept 10: Financial Leverage — Debt-Equity &amp; Total Debt to Total Assets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Financial Leverage — Debt-Equity &amp; Total Debt to Total Assets</w:t>
              <w:br/>
            </w:r>
            <w:r>
              <w:rPr>
                <w:rFonts w:ascii="Calibri" w:hAnsi="Calibri"/>
                <w:color w:val="333333"/>
                <w:sz w:val="20"/>
              </w:rPr>
              <w:t>Familiar Idea: Think of buying a house: if you put down ₹20 lakh of your own money and borrow ₹80 lakh from a lender, your debt-to-equity ratio is 4.0, and debt-to-total-assets is 80%.</w:t>
              <w:br/>
              <w:br/>
              <w:t>Real-Life Example: HDFC Bank's long-term borrowings relative to equity net worth give a Debt-Equity ratio of 0.56, while total borrowings make up 10.50% of total assets.</w:t>
            </w:r>
          </w:p>
        </w:tc>
      </w:tr>
    </w:tbl>
    <w:p>
      <w:pPr>
        <w:spacing w:after="80"/>
      </w:pPr>
    </w:p>
    <w:p>
      <w:pPr>
        <w:spacing w:after="80"/>
      </w:pPr>
      <w:r>
        <w:rPr>
          <w:b/>
          <w:color w:val="004080"/>
        </w:rPr>
        <w:t xml:space="preserve">Step 3 — Mechanism (How It Works): </w:t>
      </w:r>
      <w:r>
        <w:t>Debt-Equity = Borrowings (&gt;1 yr maturity) / Net Worth. Total Debts to Total Assets = Total Borrowings / Total Assets.</w:t>
      </w:r>
    </w:p>
    <w:p>
      <w:pPr>
        <w:spacing w:after="80"/>
      </w:pPr>
      <w:r>
        <w:rPr>
          <w:b/>
          <w:color w:val="004080"/>
        </w:rPr>
        <w:t xml:space="preserve">Step 4 — Purpose (Why It Exists &amp; Problem Solved): </w:t>
      </w:r>
      <w:r>
        <w:t>Measures reliance on wholesale borrowed money versus customer deposits and owner equity.</w:t>
      </w:r>
    </w:p>
    <w:p>
      <w:pPr>
        <w:spacing w:after="80"/>
      </w:pPr>
      <w:r>
        <w:rPr>
          <w:b/>
          <w:color w:val="004080"/>
        </w:rPr>
        <w:t xml:space="preserve">Step 5 — Formal Technical Term: </w:t>
      </w:r>
      <w:r>
        <w:rPr>
          <w:b/>
        </w:rPr>
        <w:t>Debt Equity Ratio &amp; Total Debts to Total Assets (Analytical Ratios 17(ix) &amp; (x))</w:t>
      </w:r>
    </w:p>
    <w:p>
      <w:pPr>
        <w:spacing w:after="80"/>
      </w:pPr>
      <w:r>
        <w:rPr>
          <w:b/>
          <w:color w:val="004080"/>
        </w:rPr>
        <w:t xml:space="preserve">Step 6 — Detailed Structure &amp; Components: </w:t>
      </w:r>
      <w:r>
        <w:t>Debt defined as borrowings with residual maturity &gt; 1 year. Total debts include all bank borrowings.</w:t>
      </w:r>
    </w:p>
    <w:p>
      <w:pPr>
        <w:spacing w:after="80"/>
      </w:pPr>
      <w:r>
        <w:rPr>
          <w:b/>
          <w:color w:val="004080"/>
        </w:rPr>
        <w:t xml:space="preserve">Step 7 — Relationship to Other Concepts: </w:t>
      </w:r>
      <w:r>
        <w:t>Indicates liability structure stability and refinancing sensitivity.</w:t>
      </w:r>
    </w:p>
    <w:p>
      <w:pPr>
        <w:spacing w:after="80"/>
      </w:pPr>
      <w:r>
        <w:rPr>
          <w:b/>
          <w:color w:val="004080"/>
        </w:rPr>
        <w:t xml:space="preserve">Step 8 — Practical Real-World Meaning: </w:t>
      </w:r>
      <w:r>
        <w:t>Shows HDFC Bank relies primarily on sticky customer deposits rather than risky short-term borrowings.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Financial Leverage — Debt-Equity &amp; Total Debt to Total Assets</w:t>
              <w:br/>
            </w:r>
            <w:r>
              <w:rPr>
                <w:rFonts w:ascii="Calibri" w:hAnsi="Calibri"/>
                <w:color w:val="333333"/>
                <w:sz w:val="20"/>
              </w:rPr>
              <w:t>As of June 30, 2026: Debt Equity Ratio = 0.56; Total Debts to Total Assets = 10.50%.</w:t>
            </w:r>
          </w:p>
        </w:tc>
      </w:tr>
    </w:tbl>
    <w:p>
      <w:pPr>
        <w:spacing w:after="80"/>
      </w:pPr>
    </w:p>
    <w:p>
      <w:pPr>
        <w:pStyle w:val="Heading3"/>
        <w:spacing w:before="280" w:after="120"/>
      </w:pPr>
      <w:r>
        <w:t>Concept 11: Business Segment Reporting</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Business Segment Reporting</w:t>
              <w:br/>
            </w:r>
            <w:r>
              <w:rPr>
                <w:rFonts w:ascii="Calibri" w:hAnsi="Calibri"/>
                <w:color w:val="333333"/>
                <w:sz w:val="20"/>
              </w:rPr>
              <w:t>Familiar Idea: Think of a mega department store analyzing sales separately for Clothing, Electronics, Groceries, and Financial Services.</w:t>
              <w:br/>
              <w:br/>
              <w:t>Real-Life Example: HDFC Bank reports its financial health across Treasury, Retail Banking (Digital vs. Non-Digital), Wholesale Banking, Other Banking Operations, and Insurance.</w:t>
            </w:r>
          </w:p>
        </w:tc>
      </w:tr>
    </w:tbl>
    <w:p>
      <w:pPr>
        <w:spacing w:after="80"/>
      </w:pPr>
    </w:p>
    <w:p>
      <w:pPr>
        <w:spacing w:after="80"/>
      </w:pPr>
      <w:r>
        <w:rPr>
          <w:b/>
          <w:color w:val="004080"/>
        </w:rPr>
        <w:t xml:space="preserve">Step 3 — Mechanism (How It Works): </w:t>
      </w:r>
      <w:r>
        <w:t>Identifies revenue, profit, assets, and liabilities for each distinct operating division based on customer profiles and RBI guidelines.</w:t>
      </w:r>
    </w:p>
    <w:p>
      <w:pPr>
        <w:spacing w:after="80"/>
      </w:pPr>
      <w:r>
        <w:rPr>
          <w:b/>
          <w:color w:val="004080"/>
        </w:rPr>
        <w:t xml:space="preserve">Step 4 — Purpose (Why It Exists &amp; Problem Solved): </w:t>
      </w:r>
      <w:r>
        <w:t>Provides transparency on which business lines are driving growth or consuming capital.</w:t>
      </w:r>
    </w:p>
    <w:p>
      <w:pPr>
        <w:spacing w:after="80"/>
      </w:pPr>
      <w:r>
        <w:rPr>
          <w:b/>
          <w:color w:val="004080"/>
        </w:rPr>
        <w:t xml:space="preserve">Step 5 — Formal Technical Term: </w:t>
      </w:r>
      <w:r>
        <w:rPr>
          <w:b/>
        </w:rPr>
        <w:t>Segment Information (Accounting Standard 17 / RBI Guidelines)</w:t>
      </w:r>
    </w:p>
    <w:p>
      <w:pPr>
        <w:spacing w:after="80"/>
      </w:pPr>
      <w:r>
        <w:rPr>
          <w:b/>
          <w:color w:val="004080"/>
        </w:rPr>
        <w:t xml:space="preserve">Step 6 — Detailed Structure &amp; Components: </w:t>
      </w:r>
      <w:r>
        <w:t>1. Treasury</w:t>
        <w:br/>
        <w:t>2. Retail Banking (Digital Units vs. Non-Digital)</w:t>
        <w:br/>
        <w:t>3. Wholesale Banking</w:t>
        <w:br/>
        <w:t>4. Other Banking</w:t>
        <w:br/>
        <w:t>5. Insurance Business (Consolidated).</w:t>
      </w:r>
    </w:p>
    <w:p>
      <w:pPr>
        <w:spacing w:after="80"/>
      </w:pPr>
      <w:r>
        <w:rPr>
          <w:b/>
          <w:color w:val="004080"/>
        </w:rPr>
        <w:t xml:space="preserve">Step 7 — Relationship to Other Concepts: </w:t>
      </w:r>
      <w:r>
        <w:t>Deconstructs overall P&amp;L (Items 3 &amp; 10) and Balance Sheet into operational engines.</w:t>
      </w:r>
    </w:p>
    <w:p>
      <w:pPr>
        <w:spacing w:after="80"/>
      </w:pPr>
      <w:r>
        <w:rPr>
          <w:b/>
          <w:color w:val="004080"/>
        </w:rPr>
        <w:t xml:space="preserve">Step 8 — Practical Real-World Meaning: </w:t>
      </w:r>
      <w:r>
        <w:t>Helps analysts see that Retail and Wholesale Banking are the massive profit drivers of the bank.</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Business Segment Reporting</w:t>
              <w:br/>
            </w:r>
            <w:r>
              <w:rPr>
                <w:rFonts w:ascii="Calibri" w:hAnsi="Calibri"/>
                <w:color w:val="333333"/>
                <w:sz w:val="20"/>
              </w:rPr>
              <w:t>Standalone Q1 FY27 Segment PBT: Retail Non-Digital = ₹10,131.25 cr; Wholesale = ₹10,364.04 cr; Treasury = ₹2,406.59 cr.</w:t>
            </w:r>
          </w:p>
        </w:tc>
      </w:tr>
    </w:tbl>
    <w:p>
      <w:pPr>
        <w:spacing w:after="80"/>
      </w:pPr>
    </w:p>
    <w:p>
      <w:pPr>
        <w:pStyle w:val="Heading3"/>
        <w:spacing w:before="280" w:after="120"/>
      </w:pPr>
      <w:r>
        <w:t>Concept 12: Limited Review vs. Full Statutory Audit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Limited Review vs. Full Statutory Audit</w:t>
              <w:br/>
            </w:r>
            <w:r>
              <w:rPr>
                <w:rFonts w:ascii="Calibri" w:hAnsi="Calibri"/>
                <w:color w:val="333333"/>
                <w:sz w:val="20"/>
              </w:rPr>
              <w:t>Familiar Idea: Think of a routine health check-up with basic blood tests (Limited Review) vs. a full 3-day comprehensive hospital diagnostic audit (Statutory Audit).</w:t>
              <w:br/>
              <w:br/>
              <w:t>Real-Life Example: For quarterly results, auditors conduct analytical reviews and management inquiries under SRE 2410 (Limited Review). For full-year results, they perform full audits.</w:t>
            </w:r>
          </w:p>
        </w:tc>
      </w:tr>
    </w:tbl>
    <w:p>
      <w:pPr>
        <w:spacing w:after="80"/>
      </w:pPr>
    </w:p>
    <w:p>
      <w:pPr>
        <w:spacing w:after="80"/>
      </w:pPr>
      <w:r>
        <w:rPr>
          <w:b/>
          <w:color w:val="004080"/>
        </w:rPr>
        <w:t xml:space="preserve">Step 3 — Mechanism (How It Works): </w:t>
      </w:r>
      <w:r>
        <w:t>Limited Review provides negative assurance ('nothing came to our attention'). Audit provides positive assurance ('statements present a true and fair view').</w:t>
      </w:r>
    </w:p>
    <w:p>
      <w:pPr>
        <w:spacing w:after="80"/>
      </w:pPr>
      <w:r>
        <w:rPr>
          <w:b/>
          <w:color w:val="004080"/>
        </w:rPr>
        <w:t xml:space="preserve">Step 4 — Purpose (Why It Exists &amp; Problem Solved): </w:t>
      </w:r>
      <w:r>
        <w:t>Ensures quarterly regulatory compliance without incurring the enormous time cost of a full audit every 90 days.</w:t>
      </w:r>
    </w:p>
    <w:p>
      <w:pPr>
        <w:spacing w:after="80"/>
      </w:pPr>
      <w:r>
        <w:rPr>
          <w:b/>
          <w:color w:val="004080"/>
        </w:rPr>
        <w:t xml:space="preserve">Step 5 — Formal Technical Term: </w:t>
      </w:r>
      <w:r>
        <w:rPr>
          <w:b/>
        </w:rPr>
        <w:t>Limited Review Report pursuant to SEBI Regulation 33 &amp; 52</w:t>
      </w:r>
    </w:p>
    <w:p>
      <w:pPr>
        <w:spacing w:after="80"/>
      </w:pPr>
      <w:r>
        <w:rPr>
          <w:b/>
          <w:color w:val="004080"/>
        </w:rPr>
        <w:t xml:space="preserve">Step 6 — Detailed Structure &amp; Components: </w:t>
      </w:r>
      <w:r>
        <w:t>Auditor engagement under SRE 2410 by joint statutory auditors B S R &amp; Co. LLP and Batliboi &amp; Purohit.</w:t>
      </w:r>
    </w:p>
    <w:p>
      <w:pPr>
        <w:spacing w:after="80"/>
      </w:pPr>
      <w:r>
        <w:rPr>
          <w:b/>
          <w:color w:val="004080"/>
        </w:rPr>
        <w:t xml:space="preserve">Step 7 — Relationship to Other Concepts: </w:t>
      </w:r>
      <w:r>
        <w:t>Validates all numbers in Tables 1-10 before public submission to stock exchanges.</w:t>
      </w:r>
    </w:p>
    <w:p>
      <w:pPr>
        <w:spacing w:after="80"/>
      </w:pPr>
      <w:r>
        <w:rPr>
          <w:b/>
          <w:color w:val="004080"/>
        </w:rPr>
        <w:t xml:space="preserve">Step 8 — Practical Real-World Meaning: </w:t>
      </w:r>
      <w:r>
        <w:t>Provides regulatory confidence that financial statements contain no material misstatements.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Limited Review vs. Full Statutory Audit</w:t>
              <w:br/>
            </w:r>
            <w:r>
              <w:rPr>
                <w:rFonts w:ascii="Calibri" w:hAnsi="Calibri"/>
                <w:color w:val="333333"/>
                <w:sz w:val="20"/>
              </w:rPr>
              <w:t>Signed on July 18, 2026 with unmodified (clean) review conclusions for both Standalone and Consolidated results.</w:t>
            </w:r>
          </w:p>
        </w:tc>
      </w:tr>
    </w:tbl>
    <w:p>
      <w:pPr>
        <w:spacing w:after="80"/>
      </w:pPr>
    </w:p>
    <w:p>
      <w:pPr>
        <w:pStyle w:val="Heading3"/>
        <w:spacing w:before="280" w:after="120"/>
      </w:pPr>
      <w:r>
        <w:t>Concept 13: Bonus Shares &amp; Retrospective Earnings Adjustment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Bonus Shares &amp; Retrospective Earnings Adjustment</w:t>
              <w:br/>
            </w:r>
            <w:r>
              <w:rPr>
                <w:rFonts w:ascii="Calibri" w:hAnsi="Calibri"/>
                <w:color w:val="333333"/>
                <w:sz w:val="20"/>
              </w:rPr>
              <w:t>Familiar Idea: Think of slicing a 1-pound pizza into 8 slices instead of 4 slices: you have more slices, but the total pizza weight remains unchanged.</w:t>
              <w:br/>
              <w:br/>
              <w:t>Real-Life Example: HDFC Bank issued 1 bonus share for every 1 existing share on August 28, 2025. Total share count doubled, so historical EPS figures were halved retrospectively to make comparisons fair.</w:t>
            </w:r>
          </w:p>
        </w:tc>
      </w:tr>
    </w:tbl>
    <w:p>
      <w:pPr>
        <w:spacing w:after="80"/>
      </w:pPr>
    </w:p>
    <w:p>
      <w:pPr>
        <w:spacing w:after="80"/>
      </w:pPr>
      <w:r>
        <w:rPr>
          <w:b/>
          <w:color w:val="004080"/>
        </w:rPr>
        <w:t xml:space="preserve">Step 3 — Mechanism (How It Works): </w:t>
      </w:r>
      <w:r>
        <w:t>7,67,70,39,761 equity shares were allotted by capitalizing Share Premium. Historical per-share metrics are restated retrospectively under AS 20.</w:t>
      </w:r>
    </w:p>
    <w:p>
      <w:pPr>
        <w:spacing w:after="80"/>
      </w:pPr>
      <w:r>
        <w:rPr>
          <w:b/>
          <w:color w:val="004080"/>
        </w:rPr>
        <w:t xml:space="preserve">Step 4 — Purpose (Why It Exists &amp; Problem Solved): </w:t>
      </w:r>
      <w:r>
        <w:t>Improves stock liquidity and rewards long-term shareholders without altering total equity capitalization.</w:t>
      </w:r>
    </w:p>
    <w:p>
      <w:pPr>
        <w:spacing w:after="80"/>
      </w:pPr>
      <w:r>
        <w:rPr>
          <w:b/>
          <w:color w:val="004080"/>
        </w:rPr>
        <w:t xml:space="preserve">Step 5 — Formal Technical Term: </w:t>
      </w:r>
      <w:r>
        <w:rPr>
          <w:b/>
        </w:rPr>
        <w:t>Bonus Shares Issuance in 1:1 Ratio (Note 6)</w:t>
      </w:r>
    </w:p>
    <w:p>
      <w:pPr>
        <w:spacing w:after="80"/>
      </w:pPr>
      <w:r>
        <w:rPr>
          <w:b/>
          <w:color w:val="004080"/>
        </w:rPr>
        <w:t xml:space="preserve">Step 6 — Detailed Structure &amp; Components: </w:t>
      </w:r>
      <w:r>
        <w:t>Capitalization of Share Premium -&gt; Doubling of Equity Share Count -&gt; Retrospective EPS restatement.</w:t>
      </w:r>
    </w:p>
    <w:p>
      <w:pPr>
        <w:spacing w:after="80"/>
      </w:pPr>
      <w:r>
        <w:rPr>
          <w:b/>
          <w:color w:val="004080"/>
        </w:rPr>
        <w:t xml:space="preserve">Step 7 — Relationship to Other Concepts: </w:t>
      </w:r>
      <w:r>
        <w:t>Adjusts Share Capital (Item 15) and historical EPS metrics (Item 17(iii)).</w:t>
      </w:r>
    </w:p>
    <w:p>
      <w:pPr>
        <w:spacing w:after="80"/>
      </w:pPr>
      <w:r>
        <w:rPr>
          <w:b/>
          <w:color w:val="004080"/>
        </w:rPr>
        <w:t xml:space="preserve">Step 8 — Practical Real-World Meaning: </w:t>
      </w:r>
      <w:r>
        <w:t>Explains why share capital doubled to ₹1,540.13 crore while historical EPS figures were adjusted.</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Bonus Shares &amp; Retrospective Earnings Adjustment</w:t>
              <w:br/>
            </w:r>
            <w:r>
              <w:rPr>
                <w:rFonts w:ascii="Calibri" w:hAnsi="Calibri"/>
                <w:color w:val="333333"/>
                <w:sz w:val="20"/>
              </w:rPr>
              <w:t>Note 6: Allotted 7,67,70,39,761 bonus equity shares of ₹1/- each on August 28, 2025.</w:t>
            </w:r>
          </w:p>
        </w:tc>
      </w:tr>
    </w:tbl>
    <w:p>
      <w:pPr>
        <w:spacing w:after="80"/>
      </w:pPr>
    </w:p>
    <w:p>
      <w:pPr>
        <w:pStyle w:val="Heading3"/>
        <w:spacing w:before="280" w:after="120"/>
      </w:pPr>
      <w:r>
        <w:t>Concept 14: Employee Stock Option Plan (ESOP) Allotments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Employee Stock Option Plan (ESOP) Allotments</w:t>
              <w:br/>
            </w:r>
            <w:r>
              <w:rPr>
                <w:rFonts w:ascii="Calibri" w:hAnsi="Calibri"/>
                <w:color w:val="333333"/>
                <w:sz w:val="20"/>
              </w:rPr>
              <w:t>Familiar Idea: Think of a company rewarding star employees with discount vouchers to buy company stock after completing 3 years of service.</w:t>
              <w:br/>
              <w:br/>
              <w:t>Real-Life Example: During Q1 FY27, HDFC Bank employees exercised stock options, resulting in the issuance of 79,59,164 new equity shares of face value ₹1/- each.</w:t>
            </w:r>
          </w:p>
        </w:tc>
      </w:tr>
    </w:tbl>
    <w:p>
      <w:pPr>
        <w:spacing w:after="80"/>
      </w:pPr>
    </w:p>
    <w:p>
      <w:pPr>
        <w:spacing w:after="80"/>
      </w:pPr>
      <w:r>
        <w:rPr>
          <w:b/>
          <w:color w:val="004080"/>
        </w:rPr>
        <w:t xml:space="preserve">Step 3 — Mechanism (How It Works): </w:t>
      </w:r>
      <w:r>
        <w:t>Employees exercise vested stock options at pre-agreed exercise prices, increasing share capital and share premium.</w:t>
      </w:r>
    </w:p>
    <w:p>
      <w:pPr>
        <w:spacing w:after="80"/>
      </w:pPr>
      <w:r>
        <w:rPr>
          <w:b/>
          <w:color w:val="004080"/>
        </w:rPr>
        <w:t xml:space="preserve">Step 4 — Purpose (Why It Exists &amp; Problem Solved): </w:t>
      </w:r>
      <w:r>
        <w:t>Aligns employee incentive with long-term shareholder value creation.</w:t>
      </w:r>
    </w:p>
    <w:p>
      <w:pPr>
        <w:spacing w:after="80"/>
      </w:pPr>
      <w:r>
        <w:rPr>
          <w:b/>
          <w:color w:val="004080"/>
        </w:rPr>
        <w:t xml:space="preserve">Step 5 — Formal Technical Term: </w:t>
      </w:r>
      <w:r>
        <w:rPr>
          <w:b/>
        </w:rPr>
        <w:t>Allotment of Equity Shares under ESOP Schemes (Note 7)</w:t>
      </w:r>
    </w:p>
    <w:p>
      <w:pPr>
        <w:spacing w:after="80"/>
      </w:pPr>
      <w:r>
        <w:rPr>
          <w:b/>
          <w:color w:val="004080"/>
        </w:rPr>
        <w:t xml:space="preserve">Step 6 — Detailed Structure &amp; Components: </w:t>
      </w:r>
      <w:r>
        <w:t>Grant -&gt; Vesting -&gt; Exercise -&gt; Share Allotment -&gt; Paid-Up Capital Increase.</w:t>
      </w:r>
    </w:p>
    <w:p>
      <w:pPr>
        <w:spacing w:after="80"/>
      </w:pPr>
      <w:r>
        <w:rPr>
          <w:b/>
          <w:color w:val="004080"/>
        </w:rPr>
        <w:t xml:space="preserve">Step 7 — Relationship to Other Concepts: </w:t>
      </w:r>
      <w:r>
        <w:t>Increases Paid-up Equity Share Capital from ₹1,539.34 crore to ₹1,540.13 crore during Q1 FY27.</w:t>
      </w:r>
    </w:p>
    <w:p>
      <w:pPr>
        <w:spacing w:after="80"/>
      </w:pPr>
      <w:r>
        <w:rPr>
          <w:b/>
          <w:color w:val="004080"/>
        </w:rPr>
        <w:t xml:space="preserve">Step 8 — Practical Real-World Meaning: </w:t>
      </w:r>
      <w:r>
        <w:t>Shows routine share issuance to bank workforce, causing minor share dilution reflected in Diluted EPS.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Employee Stock Option Plan (ESOP) Allotments</w:t>
              <w:br/>
            </w:r>
            <w:r>
              <w:rPr>
                <w:rFonts w:ascii="Calibri" w:hAnsi="Calibri"/>
                <w:color w:val="333333"/>
                <w:sz w:val="20"/>
              </w:rPr>
              <w:t>Note 7: Allotted 79,59,164 equity shares of ₹1/- each during Q1 ended June 30, 2026 upon option exercises.</w:t>
            </w:r>
          </w:p>
        </w:tc>
      </w:tr>
    </w:tbl>
    <w:p>
      <w:pPr>
        <w:spacing w:after="80"/>
      </w:pPr>
    </w:p>
    <w:p>
      <w:pPr>
        <w:pStyle w:val="Heading3"/>
        <w:spacing w:before="280" w:after="120"/>
      </w:pPr>
      <w:r>
        <w:t>Concept 15: Stressed Loan Transfers &amp; Asset Reconstruction Companies (ARCs)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Stressed Loan Transfers &amp; Asset Reconstruction Companies (ARCs)</w:t>
              <w:br/>
            </w:r>
            <w:r>
              <w:rPr>
                <w:rFonts w:ascii="Calibri" w:hAnsi="Calibri"/>
                <w:color w:val="333333"/>
                <w:sz w:val="20"/>
              </w:rPr>
              <w:t>Familiar Idea: Think of a retail store selling unpaid overdue customer tabs to a specialized collection agency for 40 cents on the dollar to clean up its books.</w:t>
              <w:br/>
              <w:br/>
              <w:t>Real-Life Example: HDFC Bank transferred defaulted NPAs with ₹7.43 crore principal outstanding to ARCs to focus its energy on regular banking business.</w:t>
            </w:r>
          </w:p>
        </w:tc>
      </w:tr>
    </w:tbl>
    <w:p>
      <w:pPr>
        <w:spacing w:after="80"/>
      </w:pPr>
    </w:p>
    <w:p>
      <w:pPr>
        <w:spacing w:after="80"/>
      </w:pPr>
      <w:r>
        <w:rPr>
          <w:b/>
          <w:color w:val="004080"/>
        </w:rPr>
        <w:t xml:space="preserve">Step 3 — Mechanism (How It Works): </w:t>
      </w:r>
      <w:r>
        <w:t>Defaulted loans are removed from bank books and assigned to licensed ARCs in exchange for cash and/or Security Receipts.</w:t>
      </w:r>
    </w:p>
    <w:p>
      <w:pPr>
        <w:spacing w:after="80"/>
      </w:pPr>
      <w:r>
        <w:rPr>
          <w:b/>
          <w:color w:val="004080"/>
        </w:rPr>
        <w:t xml:space="preserve">Step 4 — Purpose (Why It Exists &amp; Problem Solved): </w:t>
      </w:r>
      <w:r>
        <w:t>Cleans non-performing assets off bank balance sheets and accelerates debt recovery.</w:t>
      </w:r>
    </w:p>
    <w:p>
      <w:pPr>
        <w:spacing w:after="80"/>
      </w:pPr>
      <w:r>
        <w:rPr>
          <w:b/>
          <w:color w:val="004080"/>
        </w:rPr>
        <w:t xml:space="preserve">Step 5 — Formal Technical Term: </w:t>
      </w:r>
      <w:r>
        <w:rPr>
          <w:b/>
        </w:rPr>
        <w:t>Details of Non-Performing Assets Transferred (Note 9(i))</w:t>
      </w:r>
    </w:p>
    <w:p>
      <w:pPr>
        <w:spacing w:after="80"/>
      </w:pPr>
      <w:r>
        <w:rPr>
          <w:b/>
          <w:color w:val="004080"/>
        </w:rPr>
        <w:t xml:space="preserve">Step 6 — Detailed Structure &amp; Components: </w:t>
      </w:r>
      <w:r>
        <w:t>Transfer of NPAs to ARCs / Permitted Transferees under RBI Master Directions 2025.</w:t>
      </w:r>
    </w:p>
    <w:p>
      <w:pPr>
        <w:spacing w:after="80"/>
      </w:pPr>
      <w:r>
        <w:rPr>
          <w:b/>
          <w:color w:val="004080"/>
        </w:rPr>
        <w:t xml:space="preserve">Step 7 — Relationship to Other Concepts: </w:t>
      </w:r>
      <w:r>
        <w:t>Reduces Gross NPAs and affects provisioning recoveries.</w:t>
      </w:r>
    </w:p>
    <w:p>
      <w:pPr>
        <w:spacing w:after="80"/>
      </w:pPr>
      <w:r>
        <w:rPr>
          <w:b/>
          <w:color w:val="004080"/>
        </w:rPr>
        <w:t xml:space="preserve">Step 8 — Practical Real-World Meaning: </w:t>
      </w:r>
      <w:r>
        <w:t>Demonstrates proactive management in purging bad debts through institutional recovery channels.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Stressed Loan Transfers &amp; Asset Reconstruction Companies (ARCs)</w:t>
              <w:br/>
            </w:r>
            <w:r>
              <w:rPr>
                <w:rFonts w:ascii="Calibri" w:hAnsi="Calibri"/>
                <w:color w:val="333333"/>
                <w:sz w:val="20"/>
              </w:rPr>
              <w:t>Note 9(i): Transferred NPA accounts with ₹7.43 crore aggregate principal outstanding to ARCs during Q1 FY27.</w:t>
            </w:r>
          </w:p>
        </w:tc>
      </w:tr>
    </w:tbl>
    <w:p>
      <w:pPr>
        <w:spacing w:after="80"/>
      </w:pPr>
    </w:p>
    <w:p>
      <w:pPr>
        <w:pStyle w:val="Heading3"/>
        <w:spacing w:before="280" w:after="120"/>
      </w:pPr>
      <w:r>
        <w:t>Concept 16: Security Receipts (SRs) &amp; Recovery Ratings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Security Receipts (SRs) &amp; Recovery Ratings</w:t>
              <w:br/>
            </w:r>
            <w:r>
              <w:rPr>
                <w:rFonts w:ascii="Calibri" w:hAnsi="Calibri"/>
                <w:color w:val="333333"/>
                <w:sz w:val="20"/>
              </w:rPr>
              <w:t>Familiar Idea: Think of a pawn shop ticket: when you transfer a bad loan to a recovery specialist, they give you an IOU ticket (SR) whose final cash value depends on how much money they recover.</w:t>
              <w:br/>
              <w:br/>
              <w:t>Real-Life Example: HDFC Bank holds ₹1,049.19 crore gross value in Security Receipts issued by ARCs, rated by credit agencies like ICRA, CRISIL, and India Ratings based on recovery prospects.</w:t>
            </w:r>
          </w:p>
        </w:tc>
      </w:tr>
    </w:tbl>
    <w:p>
      <w:pPr>
        <w:spacing w:after="80"/>
      </w:pPr>
    </w:p>
    <w:p>
      <w:pPr>
        <w:spacing w:after="80"/>
      </w:pPr>
      <w:r>
        <w:rPr>
          <w:b/>
          <w:color w:val="004080"/>
        </w:rPr>
        <w:t xml:space="preserve">Step 3 — Mechanism (How It Works): </w:t>
      </w:r>
      <w:r>
        <w:t>SRs are financial instruments issued by ARCs representing claims on cash flows from bad loan recoveries. Independent rating agencies assign recovery grades (RR1+ to RR5).</w:t>
      </w:r>
    </w:p>
    <w:p>
      <w:pPr>
        <w:spacing w:after="80"/>
      </w:pPr>
      <w:r>
        <w:rPr>
          <w:b/>
          <w:color w:val="004080"/>
        </w:rPr>
        <w:t xml:space="preserve">Step 4 — Purpose (Why It Exists &amp; Problem Solved): </w:t>
      </w:r>
      <w:r>
        <w:t>Allows banks to retain economic upside in bad loan recoveries handled by specialized ARCs.</w:t>
      </w:r>
    </w:p>
    <w:p>
      <w:pPr>
        <w:spacing w:after="80"/>
      </w:pPr>
      <w:r>
        <w:rPr>
          <w:b/>
          <w:color w:val="004080"/>
        </w:rPr>
        <w:t xml:space="preserve">Step 5 — Formal Technical Term: </w:t>
      </w:r>
      <w:r>
        <w:rPr>
          <w:b/>
        </w:rPr>
        <w:t>Security Receipts Outstanding &amp; Recovery Ratings (Note 9(v))</w:t>
      </w:r>
    </w:p>
    <w:p>
      <w:pPr>
        <w:spacing w:after="80"/>
      </w:pPr>
      <w:r>
        <w:rPr>
          <w:b/>
          <w:color w:val="004080"/>
        </w:rPr>
        <w:t xml:space="preserve">Step 6 — Detailed Structure &amp; Components: </w:t>
      </w:r>
      <w:r>
        <w:t>Ratings Breakdown: RR1+ (&gt;150% recovery), RR1 (100-150%), RR2 (75-100%), RR4 (25-50%), RR5 (&lt;25%), Unrated.</w:t>
      </w:r>
    </w:p>
    <w:p>
      <w:pPr>
        <w:spacing w:after="80"/>
      </w:pPr>
      <w:r>
        <w:rPr>
          <w:b/>
          <w:color w:val="004080"/>
        </w:rPr>
        <w:t xml:space="preserve">Step 7 — Relationship to Other Concepts: </w:t>
      </w:r>
      <w:r>
        <w:t>Carried under Investments asset category; provisions required if recovery ratings downgrade.</w:t>
      </w:r>
    </w:p>
    <w:p>
      <w:pPr>
        <w:spacing w:after="80"/>
      </w:pPr>
      <w:r>
        <w:rPr>
          <w:b/>
          <w:color w:val="004080"/>
        </w:rPr>
        <w:t xml:space="preserve">Step 8 — Practical Real-World Meaning: </w:t>
      </w:r>
      <w:r>
        <w:t>Provides transparent disclosure on the realizable value of bad debts held via recovery trusts.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Security Receipts (SRs) &amp; Recovery Ratings</w:t>
              <w:br/>
            </w:r>
            <w:r>
              <w:rPr>
                <w:rFonts w:ascii="Calibri" w:hAnsi="Calibri"/>
                <w:color w:val="333333"/>
                <w:sz w:val="20"/>
              </w:rPr>
              <w:t>Note 9(v): Outstanding SRs Gross Value = ₹1,049.19 crore (RR1 = ₹111.65 cr, RR5 = ₹155.08 cr, Unrated = ₹719.85 cr).</w:t>
            </w:r>
          </w:p>
        </w:tc>
      </w:tr>
    </w:tbl>
    <w:p>
      <w:pPr>
        <w:spacing w:after="80"/>
      </w:pPr>
    </w:p>
    <w:p>
      <w:pPr>
        <w:pStyle w:val="Heading3"/>
        <w:spacing w:before="280" w:after="120"/>
      </w:pPr>
      <w:r>
        <w:t>Concept 17: Infrastructure Project Finance &amp; DCCO</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Infrastructure Project Finance &amp; DCCO</w:t>
              <w:br/>
            </w:r>
            <w:r>
              <w:rPr>
                <w:rFonts w:ascii="Calibri" w:hAnsi="Calibri"/>
                <w:color w:val="333333"/>
                <w:sz w:val="20"/>
              </w:rPr>
              <w:t>Familiar Idea: Think of building a toll bridge: no income is generated during construction. The date the first car pays a toll and commercial operations begin is the crucial DCCO milestone.</w:t>
              <w:br/>
              <w:br/>
              <w:t>Real-Life Example: HDFC Bank finances 440 ongoing infrastructure projects worth ₹20,785.14 crore. If a project suffers delays, extending its commercial start date (DCCO) requires formal resolution plans.</w:t>
            </w:r>
          </w:p>
        </w:tc>
      </w:tr>
    </w:tbl>
    <w:p>
      <w:pPr>
        <w:spacing w:after="80"/>
      </w:pPr>
    </w:p>
    <w:p>
      <w:pPr>
        <w:spacing w:after="80"/>
      </w:pPr>
      <w:r>
        <w:rPr>
          <w:b/>
          <w:color w:val="004080"/>
        </w:rPr>
        <w:t xml:space="preserve">Step 3 — Mechanism (How It Works): </w:t>
      </w:r>
      <w:r>
        <w:t>Project loans are tracked against their scheduled Date of Commencement of Commercial Operations (DCCO). If DCCO is extended, RBI rules require strict monitoring or restructuring provisions.</w:t>
      </w:r>
    </w:p>
    <w:p>
      <w:pPr>
        <w:spacing w:after="80"/>
      </w:pPr>
      <w:r>
        <w:rPr>
          <w:b/>
          <w:color w:val="004080"/>
        </w:rPr>
        <w:t xml:space="preserve">Step 4 — Purpose (Why It Exists &amp; Problem Solved): </w:t>
      </w:r>
      <w:r>
        <w:t>Monitors high-risk, long-gestation infrastructure loans to catch construction delays early.</w:t>
      </w:r>
    </w:p>
    <w:p>
      <w:pPr>
        <w:spacing w:after="80"/>
      </w:pPr>
      <w:r>
        <w:rPr>
          <w:b/>
          <w:color w:val="004080"/>
        </w:rPr>
        <w:t xml:space="preserve">Step 5 — Formal Technical Term: </w:t>
      </w:r>
      <w:r>
        <w:rPr>
          <w:b/>
        </w:rPr>
        <w:t>Project Finance Disclosures &amp; Commercial Operations Start Date (DCCO) (Note 10)</w:t>
      </w:r>
    </w:p>
    <w:p>
      <w:pPr>
        <w:spacing w:after="80"/>
      </w:pPr>
      <w:r>
        <w:rPr>
          <w:b/>
          <w:color w:val="004080"/>
        </w:rPr>
        <w:t xml:space="preserve">Step 6 — Detailed Structure &amp; Components: </w:t>
      </w:r>
      <w:r>
        <w:t>1. Projects Under Implementation</w:t>
        <w:br/>
        <w:t>2. DCCO Achieved</w:t>
        <w:br/>
        <w:t>3. DCCO Extension Invoked</w:t>
        <w:br/>
        <w:t>4. Resolution Plans Implemented/Failed.</w:t>
      </w:r>
    </w:p>
    <w:p>
      <w:pPr>
        <w:spacing w:after="80"/>
      </w:pPr>
      <w:r>
        <w:rPr>
          <w:b/>
          <w:color w:val="004080"/>
        </w:rPr>
        <w:t xml:space="preserve">Step 7 — Relationship to Other Concepts: </w:t>
      </w:r>
      <w:r>
        <w:t>Governs credit risk provisioning in wholesale project lending books.</w:t>
      </w:r>
    </w:p>
    <w:p>
      <w:pPr>
        <w:spacing w:after="80"/>
      </w:pPr>
      <w:r>
        <w:rPr>
          <w:b/>
          <w:color w:val="004080"/>
        </w:rPr>
        <w:t xml:space="preserve">Step 8 — Practical Real-World Meaning: </w:t>
      </w:r>
      <w:r>
        <w:t>Shows HDFC Bank's active exposure and risk oversight in major infrastructure construction projects.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Infrastructure Project Finance &amp; DCCO</w:t>
              <w:br/>
            </w:r>
            <w:r>
              <w:rPr>
                <w:rFonts w:ascii="Calibri" w:hAnsi="Calibri"/>
                <w:color w:val="333333"/>
                <w:sz w:val="20"/>
              </w:rPr>
              <w:t>Note 10: 440 project accounts outstanding (₹20,785.14 crore); 75 accounts achieved DCCO in Q1 (₹4,442.26 crore); 35 accounts invoked DCCO extension.</w:t>
            </w:r>
          </w:p>
        </w:tc>
      </w:tr>
    </w:tbl>
    <w:p>
      <w:pPr>
        <w:spacing w:after="80"/>
      </w:pPr>
    </w:p>
    <w:p>
      <w:pPr>
        <w:pStyle w:val="Heading3"/>
        <w:spacing w:before="280" w:after="120"/>
      </w:pPr>
      <w:r>
        <w:t>Concept 18: Initial Public Offering (IPO) &amp; Offer for Sale (OFS) Divestment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Initial Public Offering (IPO) &amp; Offer for Sale (OFS) Divestment</w:t>
              <w:br/>
            </w:r>
            <w:r>
              <w:rPr>
                <w:rFonts w:ascii="Calibri" w:hAnsi="Calibri"/>
                <w:color w:val="333333"/>
                <w:sz w:val="20"/>
              </w:rPr>
              <w:t>Familiar Idea: Think of an investor selling 20% of their private company shares to public stock market buyers to unlock cash gains while remaining the majority owner.</w:t>
              <w:br/>
              <w:br/>
              <w:t>Real-Life Example: HDFC Bank sold 13.51 crore shares of subsidiary HDB Financial Services (HDBFS) at ₹740 per share, realizing ₹10,000 crore cash consideration and a net pre-tax gain of ₹9,128.40 crore.</w:t>
            </w:r>
          </w:p>
        </w:tc>
      </w:tr>
    </w:tbl>
    <w:p>
      <w:pPr>
        <w:spacing w:after="80"/>
      </w:pPr>
    </w:p>
    <w:p>
      <w:pPr>
        <w:spacing w:after="80"/>
      </w:pPr>
      <w:r>
        <w:rPr>
          <w:b/>
          <w:color w:val="004080"/>
        </w:rPr>
        <w:t xml:space="preserve">Step 3 — Mechanism (How It Works): </w:t>
      </w:r>
      <w:r>
        <w:t>IPO combining Fresh Issue (cash to subsidiary) and Offer for Sale (OFS - cash to parent). P&amp;L recognizes gain on sale of investment.</w:t>
      </w:r>
    </w:p>
    <w:p>
      <w:pPr>
        <w:spacing w:after="80"/>
      </w:pPr>
      <w:r>
        <w:rPr>
          <w:b/>
          <w:color w:val="004080"/>
        </w:rPr>
        <w:t xml:space="preserve">Step 4 — Purpose (Why It Exists &amp; Problem Solved): </w:t>
      </w:r>
      <w:r>
        <w:t>Unlocks value of subsidiary businesses and monetizes holdings for bank capital.</w:t>
      </w:r>
    </w:p>
    <w:p>
      <w:pPr>
        <w:spacing w:after="80"/>
      </w:pPr>
      <w:r>
        <w:rPr>
          <w:b/>
          <w:color w:val="004080"/>
        </w:rPr>
        <w:t xml:space="preserve">Step 5 — Formal Technical Term: </w:t>
      </w:r>
      <w:r>
        <w:rPr>
          <w:b/>
        </w:rPr>
        <w:t>Initial Public Offering (IPO) &amp; Offer for Sale (OFS) of Subsidiary Shares (Note 12 Standalone / Note 9 Consolidated)</w:t>
      </w:r>
    </w:p>
    <w:p>
      <w:pPr>
        <w:spacing w:after="80"/>
      </w:pPr>
      <w:r>
        <w:rPr>
          <w:b/>
          <w:color w:val="004080"/>
        </w:rPr>
        <w:t xml:space="preserve">Step 6 — Detailed Structure &amp; Components: </w:t>
      </w:r>
      <w:r>
        <w:t>13,51,35,135 shares divested at ₹740/share -&gt; Pre-tax Gain: ₹9,128.40 cr (Standalone) / ₹6,949.27 cr (Consolidated net of asset share).</w:t>
      </w:r>
    </w:p>
    <w:p>
      <w:pPr>
        <w:spacing w:after="80"/>
      </w:pPr>
      <w:r>
        <w:rPr>
          <w:b/>
          <w:color w:val="004080"/>
        </w:rPr>
        <w:t xml:space="preserve">Step 7 — Relationship to Other Concepts: </w:t>
      </w:r>
      <w:r>
        <w:t>Boosted Q1 FY26 Other Income (Item 2) significantly in comparative historical periods.</w:t>
      </w:r>
    </w:p>
    <w:p>
      <w:pPr>
        <w:spacing w:after="80"/>
      </w:pPr>
      <w:r>
        <w:rPr>
          <w:b/>
          <w:color w:val="004080"/>
        </w:rPr>
        <w:t xml:space="preserve">Step 8 — Practical Real-World Meaning: </w:t>
      </w:r>
      <w:r>
        <w:t>Demonstrates HDFC Bank's ability to incubate billion-dollar financial subsidiaries and monetize equity value.</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Initial Public Offering (IPO) &amp; Offer for Sale (OFS) Divestment</w:t>
              <w:br/>
            </w:r>
            <w:r>
              <w:rPr>
                <w:rFonts w:ascii="Calibri" w:hAnsi="Calibri"/>
                <w:color w:val="333333"/>
                <w:sz w:val="20"/>
              </w:rPr>
              <w:t>Note 12 (Standalone): OFS divestment of 13,51,35,135 shares of HDBFS at ₹740/share on June 25, 2025.</w:t>
            </w:r>
          </w:p>
        </w:tc>
      </w:tr>
    </w:tbl>
    <w:p>
      <w:pPr>
        <w:spacing w:after="80"/>
      </w:pPr>
    </w:p>
    <w:p>
      <w:pPr>
        <w:pStyle w:val="Heading3"/>
        <w:spacing w:before="280" w:after="120"/>
      </w:pPr>
      <w:r>
        <w:t>Concept 19: Preferential Share Allotment</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Preferential Share Allotment</w:t>
              <w:br/>
            </w:r>
            <w:r>
              <w:rPr>
                <w:rFonts w:ascii="Calibri" w:hAnsi="Calibri"/>
                <w:color w:val="333333"/>
                <w:sz w:val="20"/>
              </w:rPr>
              <w:t>Familiar Idea: Think of buying additional shares directly from a company at a fixed negotiated price to increase your ownership control, without going through open market trading.</w:t>
              <w:br/>
              <w:br/>
              <w:t>Real-Life Example: On June 16, 2026, HDFC Bank invested ₹1,000.00 crore to buy 1.45 crore shares of HDFC Life Insurance on a preferential basis, maintaining a controlling 50.54% stake.</w:t>
            </w:r>
          </w:p>
        </w:tc>
      </w:tr>
    </w:tbl>
    <w:p>
      <w:pPr>
        <w:spacing w:after="80"/>
      </w:pPr>
    </w:p>
    <w:p>
      <w:pPr>
        <w:spacing w:after="80"/>
      </w:pPr>
      <w:r>
        <w:rPr>
          <w:b/>
          <w:color w:val="004080"/>
        </w:rPr>
        <w:t xml:space="preserve">Step 3 — Mechanism (How It Works): </w:t>
      </w:r>
      <w:r>
        <w:t>Issuance of new equity shares directly to a specific strategic investor approved by shareholder resolution under Companies Act Section 62.</w:t>
      </w:r>
    </w:p>
    <w:p>
      <w:pPr>
        <w:spacing w:after="80"/>
      </w:pPr>
      <w:r>
        <w:rPr>
          <w:b/>
          <w:color w:val="004080"/>
        </w:rPr>
        <w:t xml:space="preserve">Step 4 — Purpose (Why It Exists &amp; Problem Solved): </w:t>
      </w:r>
      <w:r>
        <w:t>Injects capital into the insurance subsidiary while securing majority parent control.</w:t>
      </w:r>
    </w:p>
    <w:p>
      <w:pPr>
        <w:spacing w:after="80"/>
      </w:pPr>
      <w:r>
        <w:rPr>
          <w:b/>
          <w:color w:val="004080"/>
        </w:rPr>
        <w:t xml:space="preserve">Step 5 — Formal Technical Term: </w:t>
      </w:r>
      <w:r>
        <w:rPr>
          <w:b/>
        </w:rPr>
        <w:t>Preferential Issue Allotment of Shares (Note 13 Standalone / Note 10 Consolidated)</w:t>
      </w:r>
    </w:p>
    <w:p>
      <w:pPr>
        <w:spacing w:after="80"/>
      </w:pPr>
      <w:r>
        <w:rPr>
          <w:b/>
          <w:color w:val="004080"/>
        </w:rPr>
        <w:t xml:space="preserve">Step 6 — Detailed Structure &amp; Components: </w:t>
      </w:r>
      <w:r>
        <w:t>Allotment of 1,45,23,906 equity shares of HDFC Life for ₹1,000.00 crore -&gt; Stake fixed at 50.54%.</w:t>
      </w:r>
    </w:p>
    <w:p>
      <w:pPr>
        <w:spacing w:after="80"/>
      </w:pPr>
      <w:r>
        <w:rPr>
          <w:b/>
          <w:color w:val="004080"/>
        </w:rPr>
        <w:t xml:space="preserve">Step 7 — Relationship to Other Concepts: </w:t>
      </w:r>
      <w:r>
        <w:t>Increases Investments in Subsidiaries on Standalone Balance Sheet and Minority Interest on Consolidated Balance Sheet.</w:t>
      </w:r>
    </w:p>
    <w:p>
      <w:pPr>
        <w:spacing w:after="80"/>
      </w:pPr>
      <w:r>
        <w:rPr>
          <w:b/>
          <w:color w:val="004080"/>
        </w:rPr>
        <w:t xml:space="preserve">Step 8 — Practical Real-World Meaning: </w:t>
      </w:r>
      <w:r>
        <w:t>Confirms HDFC Bank's strategic commitment to remaining the dominant controlling parent of HDFC Life.</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Preferential Share Allotment</w:t>
              <w:br/>
            </w:r>
            <w:r>
              <w:rPr>
                <w:rFonts w:ascii="Calibri" w:hAnsi="Calibri"/>
                <w:color w:val="333333"/>
                <w:sz w:val="20"/>
              </w:rPr>
              <w:t>Note 13: Allotted 1,45,23,906 shares of HDFC Life on June 16, 2026 for ₹1,000.00 crore; Shareholding = 50.54%.</w:t>
            </w:r>
          </w:p>
        </w:tc>
      </w:tr>
    </w:tbl>
    <w:p>
      <w:pPr>
        <w:spacing w:after="80"/>
      </w:pPr>
    </w:p>
    <w:p>
      <w:pPr>
        <w:pStyle w:val="Heading3"/>
        <w:spacing w:before="280" w:after="120"/>
      </w:pPr>
      <w:r>
        <w:t>Concept 20: Tax Provision Write-backs &amp; Tax Adjustments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Tax Provision Write-backs &amp; Tax Adjustments</w:t>
              <w:br/>
            </w:r>
            <w:r>
              <w:rPr>
                <w:rFonts w:ascii="Calibri" w:hAnsi="Calibri"/>
                <w:color w:val="333333"/>
                <w:sz w:val="20"/>
              </w:rPr>
              <w:t>Familiar Idea: Think of receiving an income tax refund check from the government because an old audit appeal was decided in your favor.</w:t>
              <w:br/>
              <w:br/>
              <w:t>Real-Life Example: In Q1 FY26, HDFC Bank received favorable tax court orders, allowing it to write back ₹1,144.46 crore of old tax provisions no longer required.</w:t>
            </w:r>
          </w:p>
        </w:tc>
      </w:tr>
    </w:tbl>
    <w:p>
      <w:pPr>
        <w:spacing w:after="80"/>
      </w:pPr>
    </w:p>
    <w:p>
      <w:pPr>
        <w:spacing w:after="80"/>
      </w:pPr>
      <w:r>
        <w:rPr>
          <w:b/>
          <w:color w:val="004080"/>
        </w:rPr>
        <w:t xml:space="preserve">Step 3 — Mechanism (How It Works): </w:t>
      </w:r>
      <w:r>
        <w:t>Reversal of over-provided tax liabilities from past years credited against current P&amp;L Tax Expense under AS 12.</w:t>
      </w:r>
    </w:p>
    <w:p>
      <w:pPr>
        <w:spacing w:after="80"/>
      </w:pPr>
      <w:r>
        <w:rPr>
          <w:b/>
          <w:color w:val="004080"/>
        </w:rPr>
        <w:t xml:space="preserve">Step 4 — Purpose (Why It Exists &amp; Problem Solved): </w:t>
      </w:r>
      <w:r>
        <w:t>Adjusts tax reserves to match legally finalized tax liabilities.</w:t>
      </w:r>
    </w:p>
    <w:p>
      <w:pPr>
        <w:spacing w:after="80"/>
      </w:pPr>
      <w:r>
        <w:rPr>
          <w:b/>
          <w:color w:val="004080"/>
        </w:rPr>
        <w:t xml:space="preserve">Step 5 — Formal Technical Term: </w:t>
      </w:r>
      <w:r>
        <w:rPr>
          <w:b/>
        </w:rPr>
        <w:t>Write-back of Tax Provision Pursuant to Favourable Orders (Note 14 Standalone)</w:t>
      </w:r>
    </w:p>
    <w:p>
      <w:pPr>
        <w:spacing w:after="80"/>
      </w:pPr>
      <w:r>
        <w:rPr>
          <w:b/>
          <w:color w:val="004080"/>
        </w:rPr>
        <w:t xml:space="preserve">Step 6 — Detailed Structure &amp; Components: </w:t>
      </w:r>
      <w:r>
        <w:t>Favourable appellate order -&gt; Assessment of over-provision -&gt; Credit to Tax Expense (Item 11).</w:t>
      </w:r>
    </w:p>
    <w:p>
      <w:pPr>
        <w:spacing w:after="80"/>
      </w:pPr>
      <w:r>
        <w:rPr>
          <w:b/>
          <w:color w:val="004080"/>
        </w:rPr>
        <w:t xml:space="preserve">Step 7 — Relationship to Other Concepts: </w:t>
      </w:r>
      <w:r>
        <w:t>Reduced Tax Expense and boosted Net Profit in Q1 FY26 comparative period.</w:t>
      </w:r>
    </w:p>
    <w:p>
      <w:pPr>
        <w:spacing w:after="80"/>
      </w:pPr>
      <w:r>
        <w:rPr>
          <w:b/>
          <w:color w:val="004080"/>
        </w:rPr>
        <w:t xml:space="preserve">Step 8 — Practical Real-World Meaning: </w:t>
      </w:r>
      <w:r>
        <w:t>Reflects successful legal tax appeals and prudent historical tax provisioning.</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Tax Provision Write-backs &amp; Tax Adjustments</w:t>
              <w:br/>
            </w:r>
            <w:r>
              <w:rPr>
                <w:rFonts w:ascii="Calibri" w:hAnsi="Calibri"/>
                <w:color w:val="333333"/>
                <w:sz w:val="20"/>
              </w:rPr>
              <w:t>Note 14: Tax provision for Q1 FY26 / FY26 is net of ₹1,144.46 crore write-back following favorable orders.</w:t>
            </w:r>
          </w:p>
        </w:tc>
      </w:tr>
    </w:tbl>
    <w:p>
      <w:pPr>
        <w:spacing w:after="80"/>
      </w:pPr>
    </w:p>
    <w:p>
      <w:pPr>
        <w:pStyle w:val="Heading3"/>
        <w:spacing w:before="280" w:after="120"/>
      </w:pPr>
      <w:r>
        <w:t>Concept 21: Corporate Governance Review of Director Resignation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Corporate Governance Review of Director Resignation</w:t>
              <w:br/>
            </w:r>
            <w:r>
              <w:rPr>
                <w:rFonts w:ascii="Calibri" w:hAnsi="Calibri"/>
                <w:color w:val="333333"/>
                <w:sz w:val="20"/>
              </w:rPr>
              <w:t>Familiar Idea: Think of a board hiring independent external auditors to investigate allegations made in an outgoing executive's resignation letter to ensure total transparency.</w:t>
              <w:br/>
              <w:br/>
              <w:t>Real-Life Example: Following the resignation of former Part-time Chairman Mr. Atanu Chakraborty, external domestic and international law firms reviewed the claims and found them completely unsubstantiated.</w:t>
            </w:r>
          </w:p>
        </w:tc>
      </w:tr>
    </w:tbl>
    <w:p>
      <w:pPr>
        <w:spacing w:after="80"/>
      </w:pPr>
    </w:p>
    <w:p>
      <w:pPr>
        <w:spacing w:after="80"/>
      </w:pPr>
      <w:r>
        <w:rPr>
          <w:b/>
          <w:color w:val="004080"/>
        </w:rPr>
        <w:t xml:space="preserve">Step 3 — Mechanism (How It Works): </w:t>
      </w:r>
      <w:r>
        <w:t>Independent legal review examining corporate records and conducting witness interviews to verify governance integrity.</w:t>
      </w:r>
    </w:p>
    <w:p>
      <w:pPr>
        <w:spacing w:after="80"/>
      </w:pPr>
      <w:r>
        <w:rPr>
          <w:b/>
          <w:color w:val="004080"/>
        </w:rPr>
        <w:t xml:space="preserve">Step 4 — Purpose (Why It Exists &amp; Problem Solved): </w:t>
      </w:r>
      <w:r>
        <w:t>Upholds institutional trust, stock exchange disclosures, and regulatory compliance.</w:t>
      </w:r>
    </w:p>
    <w:p>
      <w:pPr>
        <w:spacing w:after="80"/>
      </w:pPr>
      <w:r>
        <w:rPr>
          <w:b/>
          <w:color w:val="004080"/>
        </w:rPr>
        <w:t xml:space="preserve">Step 5 — Formal Technical Term: </w:t>
      </w:r>
      <w:r>
        <w:rPr>
          <w:b/>
        </w:rPr>
        <w:t>External Legal Review of Resignation Statements (Note 15 Standalone / Note 11 Consolidated)</w:t>
      </w:r>
    </w:p>
    <w:p>
      <w:pPr>
        <w:spacing w:after="80"/>
      </w:pPr>
      <w:r>
        <w:rPr>
          <w:b/>
          <w:color w:val="004080"/>
        </w:rPr>
        <w:t xml:space="preserve">Step 6 — Detailed Structure &amp; Components: </w:t>
      </w:r>
      <w:r>
        <w:t>Stock exchange disclosure (Mar 24, 2026) -&gt; External legal investigation -&gt; Disclosure of conclusion (June 26, 2026) -&gt; No financial impact.</w:t>
      </w:r>
    </w:p>
    <w:p>
      <w:pPr>
        <w:spacing w:after="80"/>
      </w:pPr>
      <w:r>
        <w:rPr>
          <w:b/>
          <w:color w:val="004080"/>
        </w:rPr>
        <w:t xml:space="preserve">Step 7 — Relationship to Other Concepts: </w:t>
      </w:r>
      <w:r>
        <w:t>Validates board governance integrity; zero impact on P&amp;L or balance sheet stability.</w:t>
      </w:r>
    </w:p>
    <w:p>
      <w:pPr>
        <w:spacing w:after="80"/>
      </w:pPr>
      <w:r>
        <w:rPr>
          <w:b/>
          <w:color w:val="004080"/>
        </w:rPr>
        <w:t xml:space="preserve">Step 8 — Practical Real-World Meaning: </w:t>
      </w:r>
      <w:r>
        <w:t>Reassures institutional investors that HDFC Bank maintains flawless corporate governance practices.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Corporate Governance Review of Director Resignation</w:t>
              <w:br/>
            </w:r>
            <w:r>
              <w:rPr>
                <w:rFonts w:ascii="Calibri" w:hAnsi="Calibri"/>
                <w:color w:val="333333"/>
                <w:sz w:val="20"/>
              </w:rPr>
              <w:t>Note 15: External law firms concluded on June 26, 2026 that statements in Mr. Chakraborty's letter were unsubstantiated by records.</w:t>
            </w:r>
          </w:p>
        </w:tc>
      </w:tr>
    </w:tbl>
    <w:p>
      <w:pPr>
        <w:spacing w:after="80"/>
      </w:pPr>
    </w:p>
    <w:p>
      <w:pPr>
        <w:pStyle w:val="Heading3"/>
        <w:spacing w:before="280" w:after="120"/>
      </w:pPr>
      <w:r>
        <w:t>Concept 22: Regulatory Directives &amp; DIFC Overseas Branch Status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Regulatory Directives &amp; DIFC Overseas Branch Status</w:t>
              <w:br/>
            </w:r>
            <w:r>
              <w:rPr>
                <w:rFonts w:ascii="Calibri" w:hAnsi="Calibri"/>
                <w:color w:val="333333"/>
                <w:sz w:val="20"/>
              </w:rPr>
              <w:t>Familiar Idea: Think of a restaurant branch receiving a local municipal health inspector order asking it to pause enrolling new catering clients while existing dining tables run normally.</w:t>
              <w:br/>
              <w:br/>
              <w:t>Real-Life Example: HDFC Bank's Dubai International Financial Centre (DIFC) branch received a notice from DFSA prohibiting new client onboarding for specified services. Existing clients remain fully serviced.</w:t>
            </w:r>
          </w:p>
        </w:tc>
      </w:tr>
    </w:tbl>
    <w:p>
      <w:pPr>
        <w:spacing w:after="80"/>
      </w:pPr>
    </w:p>
    <w:p>
      <w:pPr>
        <w:spacing w:after="80"/>
      </w:pPr>
      <w:r>
        <w:rPr>
          <w:b/>
          <w:color w:val="004080"/>
        </w:rPr>
        <w:t xml:space="preserve">Step 3 — Mechanism (How It Works): </w:t>
      </w:r>
      <w:r>
        <w:t>Overseas financial authority enforcement directive restricting specific business activities pending compliance remediation.</w:t>
      </w:r>
    </w:p>
    <w:p>
      <w:pPr>
        <w:spacing w:after="80"/>
      </w:pPr>
      <w:r>
        <w:rPr>
          <w:b/>
          <w:color w:val="004080"/>
        </w:rPr>
        <w:t xml:space="preserve">Step 4 — Purpose (Why It Exists &amp; Problem Solved): </w:t>
      </w:r>
      <w:r>
        <w:t>Ensures strict adherence to international financial regulatory frameworks.</w:t>
      </w:r>
    </w:p>
    <w:p>
      <w:pPr>
        <w:spacing w:after="80"/>
      </w:pPr>
      <w:r>
        <w:rPr>
          <w:b/>
          <w:color w:val="004080"/>
        </w:rPr>
        <w:t xml:space="preserve">Step 5 — Formal Technical Term: </w:t>
      </w:r>
      <w:r>
        <w:rPr>
          <w:b/>
        </w:rPr>
        <w:t>Dubai Financial Services Authority (DFSA) Decision Notice (Note 16 Standalone / Note 12 Consolidated)</w:t>
      </w:r>
    </w:p>
    <w:p>
      <w:pPr>
        <w:spacing w:after="80"/>
      </w:pPr>
      <w:r>
        <w:rPr>
          <w:b/>
          <w:color w:val="004080"/>
        </w:rPr>
        <w:t xml:space="preserve">Step 6 — Detailed Structure &amp; Components: </w:t>
      </w:r>
      <w:r>
        <w:t>DFSA Notice (Sept 25, 2025) -&gt; Restriction on new client solicitation -&gt; Continuation of existing client service -&gt; Compliance actions under way.</w:t>
      </w:r>
    </w:p>
    <w:p>
      <w:pPr>
        <w:spacing w:after="80"/>
      </w:pPr>
      <w:r>
        <w:rPr>
          <w:b/>
          <w:color w:val="004080"/>
        </w:rPr>
        <w:t xml:space="preserve">Step 7 — Relationship to Other Concepts: </w:t>
      </w:r>
      <w:r>
        <w:t>Disclosed under contingent regulatory risks; financial impact rated immaterial to overall bank operations.</w:t>
      </w:r>
    </w:p>
    <w:p>
      <w:pPr>
        <w:spacing w:after="80"/>
      </w:pPr>
      <w:r>
        <w:rPr>
          <w:b/>
          <w:color w:val="004080"/>
        </w:rPr>
        <w:t xml:space="preserve">Step 8 — Practical Real-World Meaning: </w:t>
      </w:r>
      <w:r>
        <w:t>Shows complete regulatory transparency regarding international branch compliance.</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Regulatory Directives &amp; DIFC Overseas Branch Status</w:t>
              <w:br/>
            </w:r>
            <w:r>
              <w:rPr>
                <w:rFonts w:ascii="Calibri" w:hAnsi="Calibri"/>
                <w:color w:val="333333"/>
                <w:sz w:val="20"/>
              </w:rPr>
              <w:t>Note 16: DIFC Branch business is immaterial to bank financial position; zero material impact expected on overall operations.</w:t>
            </w:r>
          </w:p>
        </w:tc>
      </w:tr>
    </w:tbl>
    <w:p>
      <w:pPr>
        <w:spacing w:after="80"/>
      </w:pPr>
    </w:p>
    <w:p>
      <w:pPr>
        <w:pStyle w:val="Heading3"/>
        <w:spacing w:before="280" w:after="120"/>
      </w:pPr>
      <w:r>
        <w:t>Concept 23: Basel III Framework &amp; Pillar 3 Disclosures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Basel III Framework &amp; Pillar 3 Disclosures</w:t>
              <w:br/>
            </w:r>
            <w:r>
              <w:rPr>
                <w:rFonts w:ascii="Calibri" w:hAnsi="Calibri"/>
                <w:color w:val="333333"/>
                <w:sz w:val="20"/>
              </w:rPr>
              <w:t>Familiar Idea: Think of a public health dashboard where a hospital publishes its daily ICU bed availability, oxygen reserves, and nurse-to-patient ratios for public audit.</w:t>
              <w:br/>
              <w:br/>
              <w:t>Real-Life Example: HDFC Bank publishes detailed quarterly Basel III metrics online—including Leverage Ratio, Liquidity Coverage Ratio (LCR), and Net Stable Funding Ratio (NSFR).</w:t>
            </w:r>
          </w:p>
        </w:tc>
      </w:tr>
    </w:tbl>
    <w:p>
      <w:pPr>
        <w:spacing w:after="80"/>
      </w:pPr>
    </w:p>
    <w:p>
      <w:pPr>
        <w:spacing w:after="80"/>
      </w:pPr>
      <w:r>
        <w:rPr>
          <w:b/>
          <w:color w:val="004080"/>
        </w:rPr>
        <w:t xml:space="preserve">Step 3 — Mechanism (How It Works): </w:t>
      </w:r>
      <w:r>
        <w:t>International banking safety regulations requiring consolidated disclosures of liquidity buffers and leverage safety margins.</w:t>
      </w:r>
    </w:p>
    <w:p>
      <w:pPr>
        <w:spacing w:after="80"/>
      </w:pPr>
      <w:r>
        <w:rPr>
          <w:b/>
          <w:color w:val="004080"/>
        </w:rPr>
        <w:t xml:space="preserve">Step 4 — Purpose (Why It Exists &amp; Problem Solved): </w:t>
      </w:r>
      <w:r>
        <w:t>Ensures market discipline and lets global rating agencies verify bank liquidity resilience.</w:t>
      </w:r>
    </w:p>
    <w:p>
      <w:pPr>
        <w:spacing w:after="80"/>
      </w:pPr>
      <w:r>
        <w:rPr>
          <w:b/>
          <w:color w:val="004080"/>
        </w:rPr>
        <w:t xml:space="preserve">Step 5 — Formal Technical Term: </w:t>
      </w:r>
      <w:r>
        <w:rPr>
          <w:b/>
        </w:rPr>
        <w:t>Consolidated Pillar 3 Disclosures under Basel III (Note 14 Consolidated)</w:t>
      </w:r>
    </w:p>
    <w:p>
      <w:pPr>
        <w:spacing w:after="80"/>
      </w:pPr>
      <w:r>
        <w:rPr>
          <w:b/>
          <w:color w:val="004080"/>
        </w:rPr>
        <w:t xml:space="preserve">Step 6 — Detailed Structure &amp; Components: </w:t>
      </w:r>
      <w:r>
        <w:t>1. Leverage Ratio</w:t>
        <w:br/>
        <w:t>2. Liquidity Coverage Ratio (LCR)</w:t>
        <w:br/>
        <w:t>3. Net Stable Funding Ratio (NSFR).</w:t>
        <w:br/>
        <w:t>Available at www.hdfc.bank.in.</w:t>
      </w:r>
    </w:p>
    <w:p>
      <w:pPr>
        <w:spacing w:after="80"/>
      </w:pPr>
      <w:r>
        <w:rPr>
          <w:b/>
          <w:color w:val="004080"/>
        </w:rPr>
        <w:t xml:space="preserve">Step 7 — Relationship to Other Concepts: </w:t>
      </w:r>
      <w:r>
        <w:t>Complements Capital Adequacy Ratios (CAR) by measuring short-term and long-term liquidity strength.</w:t>
      </w:r>
    </w:p>
    <w:p>
      <w:pPr>
        <w:spacing w:after="80"/>
      </w:pPr>
      <w:r>
        <w:rPr>
          <w:b/>
          <w:color w:val="004080"/>
        </w:rPr>
        <w:t xml:space="preserve">Step 8 — Practical Real-World Meaning: </w:t>
      </w:r>
      <w:r>
        <w:t>Confirms HDFC Bank holds abundant liquid cash assets to survive severe financial market freezes.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Basel III Framework &amp; Pillar 3 Disclosures</w:t>
              <w:br/>
            </w:r>
            <w:r>
              <w:rPr>
                <w:rFonts w:ascii="Calibri" w:hAnsi="Calibri"/>
                <w:color w:val="333333"/>
                <w:sz w:val="20"/>
              </w:rPr>
              <w:t>Note 14 (Consolidated): Pillar 3 disclosures made available on bank website pursuant to RBI directions.</w:t>
            </w:r>
          </w:p>
        </w:tc>
      </w:tr>
    </w:tbl>
    <w:p>
      <w:pPr>
        <w:spacing w:after="80"/>
      </w:pPr>
    </w:p>
    <w:p>
      <w:pPr>
        <w:pStyle w:val="Heading3"/>
        <w:spacing w:before="280" w:after="120"/>
      </w:pPr>
      <w:r>
        <w:t>Concept 24: Actuarial Liabilities — Life Insurance Policies &amp; Non-Life IBNR/IBNER Reserves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003366"/>
              <w:top w:val="none"/>
              <w:right w:val="none"/>
              <w:bottom w:val="none"/>
            </w:tcBorders>
          </w:tcPr>
          <w:p>
            <w:pPr>
              <w:spacing w:before="40" w:after="80"/>
            </w:pPr>
            <w:r>
              <w:rPr>
                <w:rFonts w:ascii="Calibri" w:hAnsi="Calibri"/>
                <w:b/>
                <w:color w:val="003366"/>
                <w:sz w:val="22"/>
              </w:rPr>
              <w:t>💡 Step 1 &amp; 2: Familiar Idea &amp; Real-Life Example — Actuarial Liabilities — Life Insurance Policies &amp; Non-Life IBNR/IBNER Reserves</w:t>
              <w:br/>
            </w:r>
            <w:r>
              <w:rPr>
                <w:rFonts w:ascii="Calibri" w:hAnsi="Calibri"/>
                <w:color w:val="333333"/>
                <w:sz w:val="20"/>
              </w:rPr>
              <w:t>Familiar Idea: Think of a home insurance firm estimating how many un-reported storm damage claims will arrive over the next 30 days based on weather statistics, and reserving cash for them today.</w:t>
              <w:br/>
              <w:br/>
              <w:t>Real-Life Example: Appointed Actuaries at HDFC Life and HDFC ERGO certify mathematical models calculating policy liabilities and reserves for incurred-but-not-yet-reported accident claims (IBNR).</w:t>
            </w:r>
          </w:p>
        </w:tc>
      </w:tr>
    </w:tbl>
    <w:p>
      <w:pPr>
        <w:spacing w:after="80"/>
      </w:pPr>
    </w:p>
    <w:p>
      <w:pPr>
        <w:spacing w:after="80"/>
      </w:pPr>
      <w:r>
        <w:rPr>
          <w:b/>
          <w:color w:val="004080"/>
        </w:rPr>
        <w:t xml:space="preserve">Step 3 — Mechanism (How It Works): </w:t>
      </w:r>
      <w:r>
        <w:t>Certified actuarial valuation estimating future policyholder payouts, claims reserves, and Premium Deficiency Reserves (PDR) under IRDAI norms.</w:t>
      </w:r>
    </w:p>
    <w:p>
      <w:pPr>
        <w:spacing w:after="80"/>
      </w:pPr>
      <w:r>
        <w:rPr>
          <w:b/>
          <w:color w:val="004080"/>
        </w:rPr>
        <w:t xml:space="preserve">Step 4 — Purpose (Why It Exists &amp; Problem Solved): </w:t>
      </w:r>
      <w:r>
        <w:t>Ensures insurance subsidiaries maintain 100% adequate cash reserves to pay all future insurance claims.</w:t>
      </w:r>
    </w:p>
    <w:p>
      <w:pPr>
        <w:spacing w:after="80"/>
      </w:pPr>
      <w:r>
        <w:rPr>
          <w:b/>
          <w:color w:val="004080"/>
        </w:rPr>
        <w:t xml:space="preserve">Step 5 — Formal Technical Term: </w:t>
      </w:r>
      <w:r>
        <w:rPr>
          <w:b/>
        </w:rPr>
        <w:t>Actuarial Valuation of Life Liabilities &amp; Non-Life IBNR / IBNER Reserves (Consolidated Auditor Report Notes 10 &amp; 11)</w:t>
      </w:r>
    </w:p>
    <w:p>
      <w:pPr>
        <w:spacing w:after="80"/>
      </w:pPr>
      <w:r>
        <w:rPr>
          <w:b/>
          <w:color w:val="004080"/>
        </w:rPr>
        <w:t xml:space="preserve">Step 6 — Detailed Structure &amp; Components: </w:t>
      </w:r>
      <w:r>
        <w:t>1. HDFC Life Policy Liabilities (Certified by Appointed Actuary)</w:t>
        <w:br/>
        <w:t>2. HDFC ERGO IBNR &amp; IBNER Reserves (Certified by Appointed Actuary).</w:t>
      </w:r>
    </w:p>
    <w:p>
      <w:pPr>
        <w:spacing w:after="80"/>
      </w:pPr>
      <w:r>
        <w:rPr>
          <w:b/>
          <w:color w:val="004080"/>
        </w:rPr>
        <w:t xml:space="preserve">Step 7 — Relationship to Other Concepts: </w:t>
      </w:r>
      <w:r>
        <w:t>Determines Policyholders' Funds (₹3,82,135.20 crore) and Insurance Expenses in Consolidated statements.</w:t>
      </w:r>
    </w:p>
    <w:p>
      <w:pPr>
        <w:spacing w:after="80"/>
      </w:pPr>
      <w:r>
        <w:rPr>
          <w:b/>
          <w:color w:val="004080"/>
        </w:rPr>
        <w:t xml:space="preserve">Step 8 — Practical Real-World Meaning: </w:t>
      </w:r>
      <w:r>
        <w:t>Guarantees insurance policyholders that claim reserves are independently validated by statutory actuaries.</w:t>
      </w:r>
    </w:p>
    <w:tbl>
      <w:tblPr>
        <w:tblW w:type="auto" w:w="0"/>
        <w:jc w:val="center"/>
        <w:tblLayout w:type="fixed"/>
        <w:tblLook w:firstColumn="1" w:firstRow="1" w:lastColumn="0" w:lastRow="0" w:noHBand="0" w:noVBand="1" w:val="04A0"/>
      </w:tblPr>
      <w:tblGrid>
        <w:gridCol w:w="9360"/>
      </w:tblGrid>
      <w:tr>
        <w:tc>
          <w:tcPr>
            <w:tcW w:type="dxa" w:w="9360"/>
            <w:shd w:fill="F0F8F0"/>
            <w:tcMar>
              <w:top w:w="140" w:type="dxa"/>
              <w:bottom w:w="140" w:type="dxa"/>
              <w:left w:w="200" w:type="dxa"/>
              <w:right w:w="200" w:type="dxa"/>
            </w:tcMar>
            <w:tcBorders>
              <w:left w:val="single" w:sz="24" w:space="0" w:color="006633"/>
              <w:top w:val="none"/>
              <w:right w:val="none"/>
              <w:bottom w:val="none"/>
            </w:tcBorders>
          </w:tcPr>
          <w:p>
            <w:pPr>
              <w:spacing w:before="40" w:after="80"/>
            </w:pPr>
            <w:r>
              <w:rPr>
                <w:rFonts w:ascii="Calibri" w:hAnsi="Calibri"/>
                <w:b/>
                <w:color w:val="003366"/>
                <w:sz w:val="22"/>
              </w:rPr>
              <w:t>💡 Step 9: Complete Source-Level Detail — Actuarial Liabilities — Life Insurance Policies &amp; Non-Life IBNR/IBNER Reserves</w:t>
              <w:br/>
            </w:r>
            <w:r>
              <w:rPr>
                <w:rFonts w:ascii="Calibri" w:hAnsi="Calibri"/>
                <w:color w:val="333333"/>
                <w:sz w:val="20"/>
              </w:rPr>
              <w:t>Consolidated Audit Report Notes 10 &amp; 11: Statutory auditors rely on Appointed Actuaries' certificates for life liabilities and non-life IBNR/IBNER reserves.</w:t>
            </w:r>
          </w:p>
        </w:tc>
      </w:tr>
    </w:tbl>
    <w:p>
      <w:pPr>
        <w:spacing w:after="80"/>
      </w:pPr>
    </w:p>
    <w:p>
      <w:r>
        <w:br w:type="page"/>
      </w:r>
    </w:p>
    <w:p>
      <w:pPr>
        <w:pStyle w:val="Heading1"/>
      </w:pPr>
      <w:r>
        <w:t>Part II: Standalone Financial Statements &amp; Detailed Disclosures</w:t>
      </w:r>
    </w:p>
    <w:p>
      <w:pPr>
        <w:pStyle w:val="Heading2"/>
      </w:pPr>
      <w:r>
        <w:t>Table 1: Unaudited Standalone Financial Results for the Quarter Ended June 30, 2026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pPr>
              <w:jc w:val="left"/>
            </w:pPr>
            <w:r>
              <w:rPr>
                <w:rFonts w:ascii="Calibri" w:hAnsi="Calibri"/>
                <w:b/>
                <w:color w:val="FFFFFF"/>
                <w:sz w:val="19"/>
              </w:rPr>
              <w:t>Particulars</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30.06.2026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(Audited Note 5)</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30.06.2025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(Audited Year)</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 Interest earned (a)+(b)+(c)+(d)</w:t>
            </w:r>
          </w:p>
        </w:tc>
        <w:tc>
          <w:tcPr>
            <w:tcW w:type="dxa" w:w="1872"/>
            <w:shd w:fill="FFFFFF"/>
            <w:tcMar>
              <w:top w:w="80" w:type="dxa"/>
              <w:bottom w:w="80" w:type="dxa"/>
              <w:left w:w="100" w:type="dxa"/>
              <w:right w:w="100" w:type="dxa"/>
            </w:tcMar>
          </w:tcPr>
          <w:p>
            <w:pPr>
              <w:jc w:val="right"/>
            </w:pPr>
            <w:r>
              <w:rPr>
                <w:rFonts w:ascii="Calibri" w:hAnsi="Calibri"/>
                <w:color w:val="222222"/>
                <w:sz w:val="18"/>
              </w:rPr>
              <w:t>79,362.78</w:t>
            </w:r>
          </w:p>
        </w:tc>
        <w:tc>
          <w:tcPr>
            <w:tcW w:type="dxa" w:w="1872"/>
            <w:shd w:fill="FFFFFF"/>
            <w:tcMar>
              <w:top w:w="80" w:type="dxa"/>
              <w:bottom w:w="80" w:type="dxa"/>
              <w:left w:w="100" w:type="dxa"/>
              <w:right w:w="100" w:type="dxa"/>
            </w:tcMar>
          </w:tcPr>
          <w:p>
            <w:pPr>
              <w:jc w:val="right"/>
            </w:pPr>
            <w:r>
              <w:rPr>
                <w:rFonts w:ascii="Calibri" w:hAnsi="Calibri"/>
                <w:color w:val="222222"/>
                <w:sz w:val="18"/>
              </w:rPr>
              <w:t>76,610.02</w:t>
            </w:r>
          </w:p>
        </w:tc>
        <w:tc>
          <w:tcPr>
            <w:tcW w:type="dxa" w:w="1872"/>
            <w:shd w:fill="FFFFFF"/>
            <w:tcMar>
              <w:top w:w="80" w:type="dxa"/>
              <w:bottom w:w="80" w:type="dxa"/>
              <w:left w:w="100" w:type="dxa"/>
              <w:right w:w="100" w:type="dxa"/>
            </w:tcMar>
          </w:tcPr>
          <w:p>
            <w:pPr>
              <w:jc w:val="right"/>
            </w:pPr>
            <w:r>
              <w:rPr>
                <w:rFonts w:ascii="Calibri" w:hAnsi="Calibri"/>
                <w:color w:val="222222"/>
                <w:sz w:val="18"/>
              </w:rPr>
              <w:t>77,470.20</w:t>
            </w:r>
          </w:p>
        </w:tc>
        <w:tc>
          <w:tcPr>
            <w:tcW w:type="dxa" w:w="1872"/>
            <w:shd w:fill="FFFFFF"/>
            <w:tcMar>
              <w:top w:w="80" w:type="dxa"/>
              <w:bottom w:w="80" w:type="dxa"/>
              <w:left w:w="100" w:type="dxa"/>
              <w:right w:w="100" w:type="dxa"/>
            </w:tcMar>
          </w:tcPr>
          <w:p>
            <w:pPr>
              <w:jc w:val="right"/>
            </w:pPr>
            <w:r>
              <w:rPr>
                <w:rFonts w:ascii="Calibri" w:hAnsi="Calibri"/>
                <w:color w:val="222222"/>
                <w:sz w:val="18"/>
              </w:rPr>
              <w:t>3,07,522.08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Interest/discount on advances/bills</w:t>
            </w:r>
          </w:p>
        </w:tc>
        <w:tc>
          <w:tcPr>
            <w:tcW w:type="dxa" w:w="1872"/>
            <w:shd w:fill="F9FAFB"/>
            <w:tcMar>
              <w:top w:w="80" w:type="dxa"/>
              <w:bottom w:w="80" w:type="dxa"/>
              <w:left w:w="100" w:type="dxa"/>
              <w:right w:w="100" w:type="dxa"/>
            </w:tcMar>
          </w:tcPr>
          <w:p>
            <w:pPr>
              <w:jc w:val="right"/>
            </w:pPr>
            <w:r>
              <w:rPr>
                <w:rFonts w:ascii="Calibri" w:hAnsi="Calibri"/>
                <w:color w:val="222222"/>
                <w:sz w:val="18"/>
              </w:rPr>
              <w:t>61,953.87</w:t>
            </w:r>
          </w:p>
        </w:tc>
        <w:tc>
          <w:tcPr>
            <w:tcW w:type="dxa" w:w="1872"/>
            <w:shd w:fill="F9FAFB"/>
            <w:tcMar>
              <w:top w:w="80" w:type="dxa"/>
              <w:bottom w:w="80" w:type="dxa"/>
              <w:left w:w="100" w:type="dxa"/>
              <w:right w:w="100" w:type="dxa"/>
            </w:tcMar>
          </w:tcPr>
          <w:p>
            <w:pPr>
              <w:jc w:val="right"/>
            </w:pPr>
            <w:r>
              <w:rPr>
                <w:rFonts w:ascii="Calibri" w:hAnsi="Calibri"/>
                <w:color w:val="222222"/>
                <w:sz w:val="18"/>
              </w:rPr>
              <w:t>60,351.21</w:t>
            </w:r>
          </w:p>
        </w:tc>
        <w:tc>
          <w:tcPr>
            <w:tcW w:type="dxa" w:w="1872"/>
            <w:shd w:fill="F9FAFB"/>
            <w:tcMar>
              <w:top w:w="80" w:type="dxa"/>
              <w:bottom w:w="80" w:type="dxa"/>
              <w:left w:w="100" w:type="dxa"/>
              <w:right w:w="100" w:type="dxa"/>
            </w:tcMar>
          </w:tcPr>
          <w:p>
            <w:pPr>
              <w:jc w:val="right"/>
            </w:pPr>
            <w:r>
              <w:rPr>
                <w:rFonts w:ascii="Calibri" w:hAnsi="Calibri"/>
                <w:color w:val="222222"/>
                <w:sz w:val="18"/>
              </w:rPr>
              <w:t>60,192.64</w:t>
            </w:r>
          </w:p>
        </w:tc>
        <w:tc>
          <w:tcPr>
            <w:tcW w:type="dxa" w:w="1872"/>
            <w:shd w:fill="F9FAFB"/>
            <w:tcMar>
              <w:top w:w="80" w:type="dxa"/>
              <w:bottom w:w="80" w:type="dxa"/>
              <w:left w:w="100" w:type="dxa"/>
              <w:right w:w="100" w:type="dxa"/>
            </w:tcMar>
          </w:tcPr>
          <w:p>
            <w:pPr>
              <w:jc w:val="right"/>
            </w:pPr>
            <w:r>
              <w:rPr>
                <w:rFonts w:ascii="Calibri" w:hAnsi="Calibri"/>
                <w:color w:val="222222"/>
                <w:sz w:val="18"/>
              </w:rPr>
              <w:t>2,39,762.46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Income on investments</w:t>
            </w:r>
          </w:p>
        </w:tc>
        <w:tc>
          <w:tcPr>
            <w:tcW w:type="dxa" w:w="1872"/>
            <w:shd w:fill="FFFFFF"/>
            <w:tcMar>
              <w:top w:w="80" w:type="dxa"/>
              <w:bottom w:w="80" w:type="dxa"/>
              <w:left w:w="100" w:type="dxa"/>
              <w:right w:w="100" w:type="dxa"/>
            </w:tcMar>
          </w:tcPr>
          <w:p>
            <w:pPr>
              <w:jc w:val="right"/>
            </w:pPr>
            <w:r>
              <w:rPr>
                <w:rFonts w:ascii="Calibri" w:hAnsi="Calibri"/>
                <w:color w:val="222222"/>
                <w:sz w:val="18"/>
              </w:rPr>
              <w:t>14,272.21</w:t>
            </w:r>
          </w:p>
        </w:tc>
        <w:tc>
          <w:tcPr>
            <w:tcW w:type="dxa" w:w="1872"/>
            <w:shd w:fill="FFFFFF"/>
            <w:tcMar>
              <w:top w:w="80" w:type="dxa"/>
              <w:bottom w:w="80" w:type="dxa"/>
              <w:left w:w="100" w:type="dxa"/>
              <w:right w:w="100" w:type="dxa"/>
            </w:tcMar>
          </w:tcPr>
          <w:p>
            <w:pPr>
              <w:jc w:val="right"/>
            </w:pPr>
            <w:r>
              <w:rPr>
                <w:rFonts w:ascii="Calibri" w:hAnsi="Calibri"/>
                <w:color w:val="222222"/>
                <w:sz w:val="18"/>
              </w:rPr>
              <w:t>13,923.99</w:t>
            </w:r>
          </w:p>
        </w:tc>
        <w:tc>
          <w:tcPr>
            <w:tcW w:type="dxa" w:w="1872"/>
            <w:shd w:fill="FFFFFF"/>
            <w:tcMar>
              <w:top w:w="80" w:type="dxa"/>
              <w:bottom w:w="80" w:type="dxa"/>
              <w:left w:w="100" w:type="dxa"/>
              <w:right w:w="100" w:type="dxa"/>
            </w:tcMar>
          </w:tcPr>
          <w:p>
            <w:pPr>
              <w:jc w:val="right"/>
            </w:pPr>
            <w:r>
              <w:rPr>
                <w:rFonts w:ascii="Calibri" w:hAnsi="Calibri"/>
                <w:color w:val="222222"/>
                <w:sz w:val="18"/>
              </w:rPr>
              <w:t>15,070.08</w:t>
            </w:r>
          </w:p>
        </w:tc>
        <w:tc>
          <w:tcPr>
            <w:tcW w:type="dxa" w:w="1872"/>
            <w:shd w:fill="FFFFFF"/>
            <w:tcMar>
              <w:top w:w="80" w:type="dxa"/>
              <w:bottom w:w="80" w:type="dxa"/>
              <w:left w:w="100" w:type="dxa"/>
              <w:right w:w="100" w:type="dxa"/>
            </w:tcMar>
          </w:tcPr>
          <w:p>
            <w:pPr>
              <w:jc w:val="right"/>
            </w:pPr>
            <w:r>
              <w:rPr>
                <w:rFonts w:ascii="Calibri" w:hAnsi="Calibri"/>
                <w:color w:val="222222"/>
                <w:sz w:val="18"/>
              </w:rPr>
              <w:t>58,945.38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Interest on RBI balances &amp; inter-bank funds</w:t>
            </w:r>
          </w:p>
        </w:tc>
        <w:tc>
          <w:tcPr>
            <w:tcW w:type="dxa" w:w="1872"/>
            <w:shd w:fill="F9FAFB"/>
            <w:tcMar>
              <w:top w:w="80" w:type="dxa"/>
              <w:bottom w:w="80" w:type="dxa"/>
              <w:left w:w="100" w:type="dxa"/>
              <w:right w:w="100" w:type="dxa"/>
            </w:tcMar>
          </w:tcPr>
          <w:p>
            <w:pPr>
              <w:jc w:val="right"/>
            </w:pPr>
            <w:r>
              <w:rPr>
                <w:rFonts w:ascii="Calibri" w:hAnsi="Calibri"/>
                <w:color w:val="222222"/>
                <w:sz w:val="18"/>
              </w:rPr>
              <w:t>1,365.28</w:t>
            </w:r>
          </w:p>
        </w:tc>
        <w:tc>
          <w:tcPr>
            <w:tcW w:type="dxa" w:w="1872"/>
            <w:shd w:fill="F9FAFB"/>
            <w:tcMar>
              <w:top w:w="80" w:type="dxa"/>
              <w:bottom w:w="80" w:type="dxa"/>
              <w:left w:w="100" w:type="dxa"/>
              <w:right w:w="100" w:type="dxa"/>
            </w:tcMar>
          </w:tcPr>
          <w:p>
            <w:pPr>
              <w:jc w:val="right"/>
            </w:pPr>
            <w:r>
              <w:rPr>
                <w:rFonts w:ascii="Calibri" w:hAnsi="Calibri"/>
                <w:color w:val="222222"/>
                <w:sz w:val="18"/>
              </w:rPr>
              <w:t>879.41</w:t>
            </w:r>
          </w:p>
        </w:tc>
        <w:tc>
          <w:tcPr>
            <w:tcW w:type="dxa" w:w="1872"/>
            <w:shd w:fill="F9FAFB"/>
            <w:tcMar>
              <w:top w:w="80" w:type="dxa"/>
              <w:bottom w:w="80" w:type="dxa"/>
              <w:left w:w="100" w:type="dxa"/>
              <w:right w:w="100" w:type="dxa"/>
            </w:tcMar>
          </w:tcPr>
          <w:p>
            <w:pPr>
              <w:jc w:val="right"/>
            </w:pPr>
            <w:r>
              <w:rPr>
                <w:rFonts w:ascii="Calibri" w:hAnsi="Calibri"/>
                <w:color w:val="222222"/>
                <w:sz w:val="18"/>
              </w:rPr>
              <w:t>670.17</w:t>
            </w:r>
          </w:p>
        </w:tc>
        <w:tc>
          <w:tcPr>
            <w:tcW w:type="dxa" w:w="1872"/>
            <w:shd w:fill="F9FAFB"/>
            <w:tcMar>
              <w:top w:w="80" w:type="dxa"/>
              <w:bottom w:w="80" w:type="dxa"/>
              <w:left w:w="100" w:type="dxa"/>
              <w:right w:w="100" w:type="dxa"/>
            </w:tcMar>
          </w:tcPr>
          <w:p>
            <w:pPr>
              <w:jc w:val="right"/>
            </w:pPr>
            <w:r>
              <w:rPr>
                <w:rFonts w:ascii="Calibri" w:hAnsi="Calibri"/>
                <w:color w:val="222222"/>
                <w:sz w:val="18"/>
              </w:rPr>
              <w:t>2,674.70</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Others</w:t>
            </w:r>
          </w:p>
        </w:tc>
        <w:tc>
          <w:tcPr>
            <w:tcW w:type="dxa" w:w="1872"/>
            <w:shd w:fill="FFFFFF"/>
            <w:tcMar>
              <w:top w:w="80" w:type="dxa"/>
              <w:bottom w:w="80" w:type="dxa"/>
              <w:left w:w="100" w:type="dxa"/>
              <w:right w:w="100" w:type="dxa"/>
            </w:tcMar>
          </w:tcPr>
          <w:p>
            <w:pPr>
              <w:jc w:val="right"/>
            </w:pPr>
            <w:r>
              <w:rPr>
                <w:rFonts w:ascii="Calibri" w:hAnsi="Calibri"/>
                <w:color w:val="222222"/>
                <w:sz w:val="18"/>
              </w:rPr>
              <w:t>1,771.42</w:t>
            </w:r>
          </w:p>
        </w:tc>
        <w:tc>
          <w:tcPr>
            <w:tcW w:type="dxa" w:w="1872"/>
            <w:shd w:fill="FFFFFF"/>
            <w:tcMar>
              <w:top w:w="80" w:type="dxa"/>
              <w:bottom w:w="80" w:type="dxa"/>
              <w:left w:w="100" w:type="dxa"/>
              <w:right w:w="100" w:type="dxa"/>
            </w:tcMar>
          </w:tcPr>
          <w:p>
            <w:pPr>
              <w:jc w:val="right"/>
            </w:pPr>
            <w:r>
              <w:rPr>
                <w:rFonts w:ascii="Calibri" w:hAnsi="Calibri"/>
                <w:color w:val="222222"/>
                <w:sz w:val="18"/>
              </w:rPr>
              <w:t>1,455.41</w:t>
            </w:r>
          </w:p>
        </w:tc>
        <w:tc>
          <w:tcPr>
            <w:tcW w:type="dxa" w:w="1872"/>
            <w:shd w:fill="FFFFFF"/>
            <w:tcMar>
              <w:top w:w="80" w:type="dxa"/>
              <w:bottom w:w="80" w:type="dxa"/>
              <w:left w:w="100" w:type="dxa"/>
              <w:right w:w="100" w:type="dxa"/>
            </w:tcMar>
          </w:tcPr>
          <w:p>
            <w:pPr>
              <w:jc w:val="right"/>
            </w:pPr>
            <w:r>
              <w:rPr>
                <w:rFonts w:ascii="Calibri" w:hAnsi="Calibri"/>
                <w:color w:val="222222"/>
                <w:sz w:val="18"/>
              </w:rPr>
              <w:t>1,537.31</w:t>
            </w:r>
          </w:p>
        </w:tc>
        <w:tc>
          <w:tcPr>
            <w:tcW w:type="dxa" w:w="1872"/>
            <w:shd w:fill="FFFFFF"/>
            <w:tcMar>
              <w:top w:w="80" w:type="dxa"/>
              <w:bottom w:w="80" w:type="dxa"/>
              <w:left w:w="100" w:type="dxa"/>
              <w:right w:w="100" w:type="dxa"/>
            </w:tcMar>
          </w:tcPr>
          <w:p>
            <w:pPr>
              <w:jc w:val="right"/>
            </w:pPr>
            <w:r>
              <w:rPr>
                <w:rFonts w:ascii="Calibri" w:hAnsi="Calibri"/>
                <w:color w:val="222222"/>
                <w:sz w:val="18"/>
              </w:rPr>
              <w:t>6,139.54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2. Other Income (Refer note 12)</w:t>
            </w:r>
          </w:p>
        </w:tc>
        <w:tc>
          <w:tcPr>
            <w:tcW w:type="dxa" w:w="1872"/>
            <w:shd w:fill="F9FAFB"/>
            <w:tcMar>
              <w:top w:w="80" w:type="dxa"/>
              <w:bottom w:w="80" w:type="dxa"/>
              <w:left w:w="100" w:type="dxa"/>
              <w:right w:w="100" w:type="dxa"/>
            </w:tcMar>
          </w:tcPr>
          <w:p>
            <w:pPr>
              <w:jc w:val="right"/>
            </w:pPr>
            <w:r>
              <w:rPr>
                <w:rFonts w:ascii="Calibri" w:hAnsi="Calibri"/>
                <w:color w:val="222222"/>
                <w:sz w:val="18"/>
              </w:rPr>
              <w:t>12,821.60</w:t>
            </w:r>
          </w:p>
        </w:tc>
        <w:tc>
          <w:tcPr>
            <w:tcW w:type="dxa" w:w="1872"/>
            <w:shd w:fill="F9FAFB"/>
            <w:tcMar>
              <w:top w:w="80" w:type="dxa"/>
              <w:bottom w:w="80" w:type="dxa"/>
              <w:left w:w="100" w:type="dxa"/>
              <w:right w:w="100" w:type="dxa"/>
            </w:tcMar>
          </w:tcPr>
          <w:p>
            <w:pPr>
              <w:jc w:val="right"/>
            </w:pPr>
            <w:r>
              <w:rPr>
                <w:rFonts w:ascii="Calibri" w:hAnsi="Calibri"/>
                <w:color w:val="222222"/>
                <w:sz w:val="18"/>
              </w:rPr>
              <w:t>13,198.88</w:t>
            </w:r>
          </w:p>
        </w:tc>
        <w:tc>
          <w:tcPr>
            <w:tcW w:type="dxa" w:w="1872"/>
            <w:shd w:fill="F9FAFB"/>
            <w:tcMar>
              <w:top w:w="80" w:type="dxa"/>
              <w:bottom w:w="80" w:type="dxa"/>
              <w:left w:w="100" w:type="dxa"/>
              <w:right w:w="100" w:type="dxa"/>
            </w:tcMar>
          </w:tcPr>
          <w:p>
            <w:pPr>
              <w:jc w:val="right"/>
            </w:pPr>
            <w:r>
              <w:rPr>
                <w:rFonts w:ascii="Calibri" w:hAnsi="Calibri"/>
                <w:color w:val="222222"/>
                <w:sz w:val="18"/>
              </w:rPr>
              <w:t>21,729.83</w:t>
            </w:r>
          </w:p>
        </w:tc>
        <w:tc>
          <w:tcPr>
            <w:tcW w:type="dxa" w:w="1872"/>
            <w:shd w:fill="F9FAFB"/>
            <w:tcMar>
              <w:top w:w="80" w:type="dxa"/>
              <w:bottom w:w="80" w:type="dxa"/>
              <w:left w:w="100" w:type="dxa"/>
              <w:right w:w="100" w:type="dxa"/>
            </w:tcMar>
          </w:tcPr>
          <w:p>
            <w:pPr>
              <w:jc w:val="right"/>
            </w:pPr>
            <w:r>
              <w:rPr>
                <w:rFonts w:ascii="Calibri" w:hAnsi="Calibri"/>
                <w:color w:val="222222"/>
                <w:sz w:val="18"/>
              </w:rPr>
              <w:t>62,532.57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3. Total Income (1)+(2)</w:t>
            </w:r>
          </w:p>
        </w:tc>
        <w:tc>
          <w:tcPr>
            <w:tcW w:type="dxa" w:w="1872"/>
            <w:shd w:fill="FFFFFF"/>
            <w:tcMar>
              <w:top w:w="80" w:type="dxa"/>
              <w:bottom w:w="80" w:type="dxa"/>
              <w:left w:w="100" w:type="dxa"/>
              <w:right w:w="100" w:type="dxa"/>
            </w:tcMar>
          </w:tcPr>
          <w:p>
            <w:pPr>
              <w:jc w:val="right"/>
            </w:pPr>
            <w:r>
              <w:rPr>
                <w:rFonts w:ascii="Calibri" w:hAnsi="Calibri"/>
                <w:color w:val="222222"/>
                <w:sz w:val="18"/>
              </w:rPr>
              <w:t>92,184.38</w:t>
            </w:r>
          </w:p>
        </w:tc>
        <w:tc>
          <w:tcPr>
            <w:tcW w:type="dxa" w:w="1872"/>
            <w:shd w:fill="FFFFFF"/>
            <w:tcMar>
              <w:top w:w="80" w:type="dxa"/>
              <w:bottom w:w="80" w:type="dxa"/>
              <w:left w:w="100" w:type="dxa"/>
              <w:right w:w="100" w:type="dxa"/>
            </w:tcMar>
          </w:tcPr>
          <w:p>
            <w:pPr>
              <w:jc w:val="right"/>
            </w:pPr>
            <w:r>
              <w:rPr>
                <w:rFonts w:ascii="Calibri" w:hAnsi="Calibri"/>
                <w:color w:val="222222"/>
                <w:sz w:val="18"/>
              </w:rPr>
              <w:t>89,808.90</w:t>
            </w:r>
          </w:p>
        </w:tc>
        <w:tc>
          <w:tcPr>
            <w:tcW w:type="dxa" w:w="1872"/>
            <w:shd w:fill="FFFFFF"/>
            <w:tcMar>
              <w:top w:w="80" w:type="dxa"/>
              <w:bottom w:w="80" w:type="dxa"/>
              <w:left w:w="100" w:type="dxa"/>
              <w:right w:w="100" w:type="dxa"/>
            </w:tcMar>
          </w:tcPr>
          <w:p>
            <w:pPr>
              <w:jc w:val="right"/>
            </w:pPr>
            <w:r>
              <w:rPr>
                <w:rFonts w:ascii="Calibri" w:hAnsi="Calibri"/>
                <w:color w:val="222222"/>
                <w:sz w:val="18"/>
              </w:rPr>
              <w:t>99,200.03</w:t>
            </w:r>
          </w:p>
        </w:tc>
        <w:tc>
          <w:tcPr>
            <w:tcW w:type="dxa" w:w="1872"/>
            <w:shd w:fill="FFFFFF"/>
            <w:tcMar>
              <w:top w:w="80" w:type="dxa"/>
              <w:bottom w:w="80" w:type="dxa"/>
              <w:left w:w="100" w:type="dxa"/>
              <w:right w:w="100" w:type="dxa"/>
            </w:tcMar>
          </w:tcPr>
          <w:p>
            <w:pPr>
              <w:jc w:val="right"/>
            </w:pPr>
            <w:r>
              <w:rPr>
                <w:rFonts w:ascii="Calibri" w:hAnsi="Calibri"/>
                <w:color w:val="222222"/>
                <w:sz w:val="18"/>
              </w:rPr>
              <w:t>3,70,054.65</w:t>
            </w:r>
          </w:p>
        </w:tc>
      </w:tr>
      <w:tr>
        <w:tc>
          <w:tcPr>
            <w:tcW w:type="dxa" w:w="1872"/>
            <w:shd w:fill="F9FAFB"/>
            <w:tcMar>
              <w:top w:w="80" w:type="dxa"/>
              <w:bottom w:w="80" w:type="dxa"/>
              <w:left w:w="100" w:type="dxa"/>
              <w:right w:w="100" w:type="dxa"/>
            </w:tcMar>
          </w:tcPr>
          <w:p>
            <w:pPr>
              <w:jc w:val="left"/>
            </w:pPr>
            <w:r>
              <w:rPr>
                <w:rFonts w:ascii="Calibri" w:hAnsi="Calibri"/>
                <w:color w:val="222222"/>
                <w:sz w:val="18"/>
              </w:rPr>
              <w:t>4. Interest expended</w:t>
            </w:r>
          </w:p>
        </w:tc>
        <w:tc>
          <w:tcPr>
            <w:tcW w:type="dxa" w:w="1872"/>
            <w:shd w:fill="F9FAFB"/>
            <w:tcMar>
              <w:top w:w="80" w:type="dxa"/>
              <w:bottom w:w="80" w:type="dxa"/>
              <w:left w:w="100" w:type="dxa"/>
              <w:right w:w="100" w:type="dxa"/>
            </w:tcMar>
          </w:tcPr>
          <w:p>
            <w:pPr>
              <w:jc w:val="right"/>
            </w:pPr>
            <w:r>
              <w:rPr>
                <w:rFonts w:ascii="Calibri" w:hAnsi="Calibri"/>
                <w:color w:val="222222"/>
                <w:sz w:val="18"/>
              </w:rPr>
              <w:t>45,828.83</w:t>
            </w:r>
          </w:p>
        </w:tc>
        <w:tc>
          <w:tcPr>
            <w:tcW w:type="dxa" w:w="1872"/>
            <w:shd w:fill="F9FAFB"/>
            <w:tcMar>
              <w:top w:w="80" w:type="dxa"/>
              <w:bottom w:w="80" w:type="dxa"/>
              <w:left w:w="100" w:type="dxa"/>
              <w:right w:w="100" w:type="dxa"/>
            </w:tcMar>
          </w:tcPr>
          <w:p>
            <w:pPr>
              <w:jc w:val="right"/>
            </w:pPr>
            <w:r>
              <w:rPr>
                <w:rFonts w:ascii="Calibri" w:hAnsi="Calibri"/>
                <w:color w:val="222222"/>
                <w:sz w:val="18"/>
              </w:rPr>
              <w:t>43,528.45</w:t>
            </w:r>
          </w:p>
        </w:tc>
        <w:tc>
          <w:tcPr>
            <w:tcW w:type="dxa" w:w="1872"/>
            <w:shd w:fill="F9FAFB"/>
            <w:tcMar>
              <w:top w:w="80" w:type="dxa"/>
              <w:bottom w:w="80" w:type="dxa"/>
              <w:left w:w="100" w:type="dxa"/>
              <w:right w:w="100" w:type="dxa"/>
            </w:tcMar>
          </w:tcPr>
          <w:p>
            <w:pPr>
              <w:jc w:val="right"/>
            </w:pPr>
            <w:r>
              <w:rPr>
                <w:rFonts w:ascii="Calibri" w:hAnsi="Calibri"/>
                <w:color w:val="222222"/>
                <w:sz w:val="18"/>
              </w:rPr>
              <w:t>46,032.23</w:t>
            </w:r>
          </w:p>
        </w:tc>
        <w:tc>
          <w:tcPr>
            <w:tcW w:type="dxa" w:w="1872"/>
            <w:shd w:fill="F9FAFB"/>
            <w:tcMar>
              <w:top w:w="80" w:type="dxa"/>
              <w:bottom w:w="80" w:type="dxa"/>
              <w:left w:w="100" w:type="dxa"/>
              <w:right w:w="100" w:type="dxa"/>
            </w:tcMar>
          </w:tcPr>
          <w:p>
            <w:pPr>
              <w:jc w:val="right"/>
            </w:pPr>
            <w:r>
              <w:rPr>
                <w:rFonts w:ascii="Calibri" w:hAnsi="Calibri"/>
                <w:color w:val="222222"/>
                <w:sz w:val="18"/>
              </w:rPr>
              <w:t>1,78,836.04</w:t>
            </w:r>
          </w:p>
        </w:tc>
      </w:tr>
      <w:tr>
        <w:tc>
          <w:tcPr>
            <w:tcW w:type="dxa" w:w="1872"/>
            <w:shd w:fill="FFFFFF"/>
            <w:tcMar>
              <w:top w:w="80" w:type="dxa"/>
              <w:bottom w:w="80" w:type="dxa"/>
              <w:left w:w="100" w:type="dxa"/>
              <w:right w:w="100" w:type="dxa"/>
            </w:tcMar>
          </w:tcPr>
          <w:p>
            <w:pPr>
              <w:jc w:val="left"/>
            </w:pPr>
            <w:r>
              <w:rPr>
                <w:rFonts w:ascii="Calibri" w:hAnsi="Calibri"/>
                <w:color w:val="222222"/>
                <w:sz w:val="18"/>
              </w:rPr>
              <w:t>5. Operating expenses (i)+(ii)</w:t>
            </w:r>
          </w:p>
        </w:tc>
        <w:tc>
          <w:tcPr>
            <w:tcW w:type="dxa" w:w="1872"/>
            <w:shd w:fill="FFFFFF"/>
            <w:tcMar>
              <w:top w:w="80" w:type="dxa"/>
              <w:bottom w:w="80" w:type="dxa"/>
              <w:left w:w="100" w:type="dxa"/>
              <w:right w:w="100" w:type="dxa"/>
            </w:tcMar>
          </w:tcPr>
          <w:p>
            <w:pPr>
              <w:jc w:val="right"/>
            </w:pPr>
            <w:r>
              <w:rPr>
                <w:rFonts w:ascii="Calibri" w:hAnsi="Calibri"/>
                <w:color w:val="222222"/>
                <w:sz w:val="18"/>
              </w:rPr>
              <w:t>18,187.49</w:t>
            </w:r>
          </w:p>
        </w:tc>
        <w:tc>
          <w:tcPr>
            <w:tcW w:type="dxa" w:w="1872"/>
            <w:shd w:fill="FFFFFF"/>
            <w:tcMar>
              <w:top w:w="80" w:type="dxa"/>
              <w:bottom w:w="80" w:type="dxa"/>
              <w:left w:w="100" w:type="dxa"/>
              <w:right w:w="100" w:type="dxa"/>
            </w:tcMar>
          </w:tcPr>
          <w:p>
            <w:pPr>
              <w:jc w:val="right"/>
            </w:pPr>
            <w:r>
              <w:rPr>
                <w:rFonts w:ascii="Calibri" w:hAnsi="Calibri"/>
                <w:color w:val="222222"/>
                <w:sz w:val="18"/>
              </w:rPr>
              <w:t>18,477.53</w:t>
            </w:r>
          </w:p>
        </w:tc>
        <w:tc>
          <w:tcPr>
            <w:tcW w:type="dxa" w:w="1872"/>
            <w:shd w:fill="FFFFFF"/>
            <w:tcMar>
              <w:top w:w="80" w:type="dxa"/>
              <w:bottom w:w="80" w:type="dxa"/>
              <w:left w:w="100" w:type="dxa"/>
              <w:right w:w="100" w:type="dxa"/>
            </w:tcMar>
          </w:tcPr>
          <w:p>
            <w:pPr>
              <w:jc w:val="right"/>
            </w:pPr>
            <w:r>
              <w:rPr>
                <w:rFonts w:ascii="Calibri" w:hAnsi="Calibri"/>
                <w:color w:val="222222"/>
                <w:sz w:val="18"/>
              </w:rPr>
              <w:t>17,433.84</w:t>
            </w:r>
          </w:p>
        </w:tc>
        <w:tc>
          <w:tcPr>
            <w:tcW w:type="dxa" w:w="1872"/>
            <w:shd w:fill="FFFFFF"/>
            <w:tcMar>
              <w:top w:w="80" w:type="dxa"/>
              <w:bottom w:w="80" w:type="dxa"/>
              <w:left w:w="100" w:type="dxa"/>
              <w:right w:w="100" w:type="dxa"/>
            </w:tcMar>
          </w:tcPr>
          <w:p>
            <w:pPr>
              <w:jc w:val="right"/>
            </w:pPr>
            <w:r>
              <w:rPr>
                <w:rFonts w:ascii="Calibri" w:hAnsi="Calibri"/>
                <w:color w:val="222222"/>
                <w:sz w:val="18"/>
              </w:rPr>
              <w:t>72,660.33</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 Employees cost</w:t>
            </w:r>
          </w:p>
        </w:tc>
        <w:tc>
          <w:tcPr>
            <w:tcW w:type="dxa" w:w="1872"/>
            <w:shd w:fill="F9FAFB"/>
            <w:tcMar>
              <w:top w:w="80" w:type="dxa"/>
              <w:bottom w:w="80" w:type="dxa"/>
              <w:left w:w="100" w:type="dxa"/>
              <w:right w:w="100" w:type="dxa"/>
            </w:tcMar>
          </w:tcPr>
          <w:p>
            <w:pPr>
              <w:jc w:val="right"/>
            </w:pPr>
            <w:r>
              <w:rPr>
                <w:rFonts w:ascii="Calibri" w:hAnsi="Calibri"/>
                <w:color w:val="222222"/>
                <w:sz w:val="18"/>
              </w:rPr>
              <w:t>6,414.83</w:t>
            </w:r>
          </w:p>
        </w:tc>
        <w:tc>
          <w:tcPr>
            <w:tcW w:type="dxa" w:w="1872"/>
            <w:shd w:fill="F9FAFB"/>
            <w:tcMar>
              <w:top w:w="80" w:type="dxa"/>
              <w:bottom w:w="80" w:type="dxa"/>
              <w:left w:w="100" w:type="dxa"/>
              <w:right w:w="100" w:type="dxa"/>
            </w:tcMar>
          </w:tcPr>
          <w:p>
            <w:pPr>
              <w:jc w:val="right"/>
            </w:pPr>
            <w:r>
              <w:rPr>
                <w:rFonts w:ascii="Calibri" w:hAnsi="Calibri"/>
                <w:color w:val="222222"/>
                <w:sz w:val="18"/>
              </w:rPr>
              <w:t>6,227.72</w:t>
            </w:r>
          </w:p>
        </w:tc>
        <w:tc>
          <w:tcPr>
            <w:tcW w:type="dxa" w:w="1872"/>
            <w:shd w:fill="F9FAFB"/>
            <w:tcMar>
              <w:top w:w="80" w:type="dxa"/>
              <w:bottom w:w="80" w:type="dxa"/>
              <w:left w:w="100" w:type="dxa"/>
              <w:right w:w="100" w:type="dxa"/>
            </w:tcMar>
          </w:tcPr>
          <w:p>
            <w:pPr>
              <w:jc w:val="right"/>
            </w:pPr>
            <w:r>
              <w:rPr>
                <w:rFonts w:ascii="Calibri" w:hAnsi="Calibri"/>
                <w:color w:val="222222"/>
                <w:sz w:val="18"/>
              </w:rPr>
              <w:t>6,157.97</w:t>
            </w:r>
          </w:p>
        </w:tc>
        <w:tc>
          <w:tcPr>
            <w:tcW w:type="dxa" w:w="1872"/>
            <w:shd w:fill="F9FAFB"/>
            <w:tcMar>
              <w:top w:w="80" w:type="dxa"/>
              <w:bottom w:w="80" w:type="dxa"/>
              <w:left w:w="100" w:type="dxa"/>
              <w:right w:w="100" w:type="dxa"/>
            </w:tcMar>
          </w:tcPr>
          <w:p>
            <w:pPr>
              <w:jc w:val="right"/>
            </w:pPr>
            <w:r>
              <w:rPr>
                <w:rFonts w:ascii="Calibri" w:hAnsi="Calibri"/>
                <w:color w:val="222222"/>
                <w:sz w:val="18"/>
              </w:rPr>
              <w:t>26,050.15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ii) Other operating expenses</w:t>
            </w:r>
          </w:p>
        </w:tc>
        <w:tc>
          <w:tcPr>
            <w:tcW w:type="dxa" w:w="1872"/>
            <w:shd w:fill="FFFFFF"/>
            <w:tcMar>
              <w:top w:w="80" w:type="dxa"/>
              <w:bottom w:w="80" w:type="dxa"/>
              <w:left w:w="100" w:type="dxa"/>
              <w:right w:w="100" w:type="dxa"/>
            </w:tcMar>
          </w:tcPr>
          <w:p>
            <w:pPr>
              <w:jc w:val="right"/>
            </w:pPr>
            <w:r>
              <w:rPr>
                <w:rFonts w:ascii="Calibri" w:hAnsi="Calibri"/>
                <w:color w:val="222222"/>
                <w:sz w:val="18"/>
              </w:rPr>
              <w:t>11,772.66</w:t>
            </w:r>
          </w:p>
        </w:tc>
        <w:tc>
          <w:tcPr>
            <w:tcW w:type="dxa" w:w="1872"/>
            <w:shd w:fill="FFFFFF"/>
            <w:tcMar>
              <w:top w:w="80" w:type="dxa"/>
              <w:bottom w:w="80" w:type="dxa"/>
              <w:left w:w="100" w:type="dxa"/>
              <w:right w:w="100" w:type="dxa"/>
            </w:tcMar>
          </w:tcPr>
          <w:p>
            <w:pPr>
              <w:jc w:val="right"/>
            </w:pPr>
            <w:r>
              <w:rPr>
                <w:rFonts w:ascii="Calibri" w:hAnsi="Calibri"/>
                <w:color w:val="222222"/>
                <w:sz w:val="18"/>
              </w:rPr>
              <w:t>12,249.81</w:t>
            </w:r>
          </w:p>
        </w:tc>
        <w:tc>
          <w:tcPr>
            <w:tcW w:type="dxa" w:w="1872"/>
            <w:shd w:fill="FFFFFF"/>
            <w:tcMar>
              <w:top w:w="80" w:type="dxa"/>
              <w:bottom w:w="80" w:type="dxa"/>
              <w:left w:w="100" w:type="dxa"/>
              <w:right w:w="100" w:type="dxa"/>
            </w:tcMar>
          </w:tcPr>
          <w:p>
            <w:pPr>
              <w:jc w:val="right"/>
            </w:pPr>
            <w:r>
              <w:rPr>
                <w:rFonts w:ascii="Calibri" w:hAnsi="Calibri"/>
                <w:color w:val="222222"/>
                <w:sz w:val="18"/>
              </w:rPr>
              <w:t>11,275.87</w:t>
            </w:r>
          </w:p>
        </w:tc>
        <w:tc>
          <w:tcPr>
            <w:tcW w:type="dxa" w:w="1872"/>
            <w:shd w:fill="FFFFFF"/>
            <w:tcMar>
              <w:top w:w="80" w:type="dxa"/>
              <w:bottom w:w="80" w:type="dxa"/>
              <w:left w:w="100" w:type="dxa"/>
              <w:right w:w="100" w:type="dxa"/>
            </w:tcMar>
          </w:tcPr>
          <w:p>
            <w:pPr>
              <w:jc w:val="right"/>
            </w:pPr>
            <w:r>
              <w:rPr>
                <w:rFonts w:ascii="Calibri" w:hAnsi="Calibri"/>
                <w:color w:val="222222"/>
                <w:sz w:val="18"/>
              </w:rPr>
              <w:t>46,610.18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6. Total Expenditure (4)+(5) (excl. provisions)</w:t>
            </w:r>
          </w:p>
        </w:tc>
        <w:tc>
          <w:tcPr>
            <w:tcW w:type="dxa" w:w="1872"/>
            <w:shd w:fill="F9FAFB"/>
            <w:tcMar>
              <w:top w:w="80" w:type="dxa"/>
              <w:bottom w:w="80" w:type="dxa"/>
              <w:left w:w="100" w:type="dxa"/>
              <w:right w:w="100" w:type="dxa"/>
            </w:tcMar>
          </w:tcPr>
          <w:p>
            <w:pPr>
              <w:jc w:val="right"/>
            </w:pPr>
            <w:r>
              <w:rPr>
                <w:rFonts w:ascii="Calibri" w:hAnsi="Calibri"/>
                <w:color w:val="222222"/>
                <w:sz w:val="18"/>
              </w:rPr>
              <w:t>64,016.32</w:t>
            </w:r>
          </w:p>
        </w:tc>
        <w:tc>
          <w:tcPr>
            <w:tcW w:type="dxa" w:w="1872"/>
            <w:shd w:fill="F9FAFB"/>
            <w:tcMar>
              <w:top w:w="80" w:type="dxa"/>
              <w:bottom w:w="80" w:type="dxa"/>
              <w:left w:w="100" w:type="dxa"/>
              <w:right w:w="100" w:type="dxa"/>
            </w:tcMar>
          </w:tcPr>
          <w:p>
            <w:pPr>
              <w:jc w:val="right"/>
            </w:pPr>
            <w:r>
              <w:rPr>
                <w:rFonts w:ascii="Calibri" w:hAnsi="Calibri"/>
                <w:color w:val="222222"/>
                <w:sz w:val="18"/>
              </w:rPr>
              <w:t>62,005.98</w:t>
            </w:r>
          </w:p>
        </w:tc>
        <w:tc>
          <w:tcPr>
            <w:tcW w:type="dxa" w:w="1872"/>
            <w:shd w:fill="F9FAFB"/>
            <w:tcMar>
              <w:top w:w="80" w:type="dxa"/>
              <w:bottom w:w="80" w:type="dxa"/>
              <w:left w:w="100" w:type="dxa"/>
              <w:right w:w="100" w:type="dxa"/>
            </w:tcMar>
          </w:tcPr>
          <w:p>
            <w:pPr>
              <w:jc w:val="right"/>
            </w:pPr>
            <w:r>
              <w:rPr>
                <w:rFonts w:ascii="Calibri" w:hAnsi="Calibri"/>
                <w:color w:val="222222"/>
                <w:sz w:val="18"/>
              </w:rPr>
              <w:t>63,466.07</w:t>
            </w:r>
          </w:p>
        </w:tc>
        <w:tc>
          <w:tcPr>
            <w:tcW w:type="dxa" w:w="1872"/>
            <w:shd w:fill="F9FAFB"/>
            <w:tcMar>
              <w:top w:w="80" w:type="dxa"/>
              <w:bottom w:w="80" w:type="dxa"/>
              <w:left w:w="100" w:type="dxa"/>
              <w:right w:w="100" w:type="dxa"/>
            </w:tcMar>
          </w:tcPr>
          <w:p>
            <w:pPr>
              <w:jc w:val="right"/>
            </w:pPr>
            <w:r>
              <w:rPr>
                <w:rFonts w:ascii="Calibri" w:hAnsi="Calibri"/>
                <w:color w:val="222222"/>
                <w:sz w:val="18"/>
              </w:rPr>
              <w:t>2,51,496.37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7. Operating Profit before provisions (3)-(6)</w:t>
            </w:r>
          </w:p>
        </w:tc>
        <w:tc>
          <w:tcPr>
            <w:tcW w:type="dxa" w:w="1872"/>
            <w:shd w:fill="FFFFFF"/>
            <w:tcMar>
              <w:top w:w="80" w:type="dxa"/>
              <w:bottom w:w="80" w:type="dxa"/>
              <w:left w:w="100" w:type="dxa"/>
              <w:right w:w="100" w:type="dxa"/>
            </w:tcMar>
          </w:tcPr>
          <w:p>
            <w:pPr>
              <w:jc w:val="right"/>
            </w:pPr>
            <w:r>
              <w:rPr>
                <w:rFonts w:ascii="Calibri" w:hAnsi="Calibri"/>
                <w:color w:val="222222"/>
                <w:sz w:val="18"/>
              </w:rPr>
              <w:t>28,168.06</w:t>
            </w:r>
          </w:p>
        </w:tc>
        <w:tc>
          <w:tcPr>
            <w:tcW w:type="dxa" w:w="1872"/>
            <w:shd w:fill="FFFFFF"/>
            <w:tcMar>
              <w:top w:w="80" w:type="dxa"/>
              <w:bottom w:w="80" w:type="dxa"/>
              <w:left w:w="100" w:type="dxa"/>
              <w:right w:w="100" w:type="dxa"/>
            </w:tcMar>
          </w:tcPr>
          <w:p>
            <w:pPr>
              <w:jc w:val="right"/>
            </w:pPr>
            <w:r>
              <w:rPr>
                <w:rFonts w:ascii="Calibri" w:hAnsi="Calibri"/>
                <w:color w:val="222222"/>
                <w:sz w:val="18"/>
              </w:rPr>
              <w:t>27,802.92</w:t>
            </w:r>
          </w:p>
        </w:tc>
        <w:tc>
          <w:tcPr>
            <w:tcW w:type="dxa" w:w="1872"/>
            <w:shd w:fill="FFFFFF"/>
            <w:tcMar>
              <w:top w:w="80" w:type="dxa"/>
              <w:bottom w:w="80" w:type="dxa"/>
              <w:left w:w="100" w:type="dxa"/>
              <w:right w:w="100" w:type="dxa"/>
            </w:tcMar>
          </w:tcPr>
          <w:p>
            <w:pPr>
              <w:jc w:val="right"/>
            </w:pPr>
            <w:r>
              <w:rPr>
                <w:rFonts w:ascii="Calibri" w:hAnsi="Calibri"/>
                <w:color w:val="222222"/>
                <w:sz w:val="18"/>
              </w:rPr>
              <w:t>35,733.96</w:t>
            </w:r>
          </w:p>
        </w:tc>
        <w:tc>
          <w:tcPr>
            <w:tcW w:type="dxa" w:w="1872"/>
            <w:shd w:fill="FFFFFF"/>
            <w:tcMar>
              <w:top w:w="80" w:type="dxa"/>
              <w:bottom w:w="80" w:type="dxa"/>
              <w:left w:w="100" w:type="dxa"/>
              <w:right w:w="100" w:type="dxa"/>
            </w:tcMar>
          </w:tcPr>
          <w:p>
            <w:pPr>
              <w:jc w:val="right"/>
            </w:pPr>
            <w:r>
              <w:rPr>
                <w:rFonts w:ascii="Calibri" w:hAnsi="Calibri"/>
                <w:color w:val="222222"/>
                <w:sz w:val="18"/>
              </w:rPr>
              <w:t>1,18,558.28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8. Provisions &amp; Contingencies (Refer note 8)</w:t>
            </w:r>
          </w:p>
        </w:tc>
        <w:tc>
          <w:tcPr>
            <w:tcW w:type="dxa" w:w="1872"/>
            <w:shd w:fill="F9FAFB"/>
            <w:tcMar>
              <w:top w:w="80" w:type="dxa"/>
              <w:bottom w:w="80" w:type="dxa"/>
              <w:left w:w="100" w:type="dxa"/>
              <w:right w:w="100" w:type="dxa"/>
            </w:tcMar>
          </w:tcPr>
          <w:p>
            <w:pPr>
              <w:jc w:val="right"/>
            </w:pPr>
            <w:r>
              <w:rPr>
                <w:rFonts w:ascii="Calibri" w:hAnsi="Calibri"/>
                <w:color w:val="222222"/>
                <w:sz w:val="18"/>
              </w:rPr>
              <w:t>3,059.76</w:t>
            </w:r>
          </w:p>
        </w:tc>
        <w:tc>
          <w:tcPr>
            <w:tcW w:type="dxa" w:w="1872"/>
            <w:shd w:fill="F9FAFB"/>
            <w:tcMar>
              <w:top w:w="80" w:type="dxa"/>
              <w:bottom w:w="80" w:type="dxa"/>
              <w:left w:w="100" w:type="dxa"/>
              <w:right w:w="100" w:type="dxa"/>
            </w:tcMar>
          </w:tcPr>
          <w:p>
            <w:pPr>
              <w:jc w:val="right"/>
            </w:pPr>
            <w:r>
              <w:rPr>
                <w:rFonts w:ascii="Calibri" w:hAnsi="Calibri"/>
                <w:color w:val="222222"/>
                <w:sz w:val="18"/>
              </w:rPr>
              <w:t>2,609.57</w:t>
            </w:r>
          </w:p>
        </w:tc>
        <w:tc>
          <w:tcPr>
            <w:tcW w:type="dxa" w:w="1872"/>
            <w:shd w:fill="F9FAFB"/>
            <w:tcMar>
              <w:top w:w="80" w:type="dxa"/>
              <w:bottom w:w="80" w:type="dxa"/>
              <w:left w:w="100" w:type="dxa"/>
              <w:right w:w="100" w:type="dxa"/>
            </w:tcMar>
          </w:tcPr>
          <w:p>
            <w:pPr>
              <w:jc w:val="right"/>
            </w:pPr>
            <w:r>
              <w:rPr>
                <w:rFonts w:ascii="Calibri" w:hAnsi="Calibri"/>
                <w:color w:val="222222"/>
                <w:sz w:val="18"/>
              </w:rPr>
              <w:t>14,441.63</w:t>
            </w:r>
          </w:p>
        </w:tc>
        <w:tc>
          <w:tcPr>
            <w:tcW w:type="dxa" w:w="1872"/>
            <w:shd w:fill="F9FAFB"/>
            <w:tcMar>
              <w:top w:w="80" w:type="dxa"/>
              <w:bottom w:w="80" w:type="dxa"/>
              <w:left w:w="100" w:type="dxa"/>
              <w:right w:w="100" w:type="dxa"/>
            </w:tcMar>
          </w:tcPr>
          <w:p>
            <w:pPr>
              <w:jc w:val="right"/>
            </w:pPr>
            <w:r>
              <w:rPr>
                <w:rFonts w:ascii="Calibri" w:hAnsi="Calibri"/>
                <w:color w:val="222222"/>
                <w:sz w:val="18"/>
              </w:rPr>
              <w:t>23,389.59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9. Exceptional items</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10. Profit from ordinary activities before tax (7)-(8)</w:t>
            </w:r>
          </w:p>
        </w:tc>
        <w:tc>
          <w:tcPr>
            <w:tcW w:type="dxa" w:w="1872"/>
            <w:shd w:fill="F9FAFB"/>
            <w:tcMar>
              <w:top w:w="80" w:type="dxa"/>
              <w:bottom w:w="80" w:type="dxa"/>
              <w:left w:w="100" w:type="dxa"/>
              <w:right w:w="100" w:type="dxa"/>
            </w:tcMar>
          </w:tcPr>
          <w:p>
            <w:pPr>
              <w:jc w:val="right"/>
            </w:pPr>
            <w:r>
              <w:rPr>
                <w:rFonts w:ascii="Calibri" w:hAnsi="Calibri"/>
                <w:color w:val="222222"/>
                <w:sz w:val="18"/>
              </w:rPr>
              <w:t>25,108.30</w:t>
            </w:r>
          </w:p>
        </w:tc>
        <w:tc>
          <w:tcPr>
            <w:tcW w:type="dxa" w:w="1872"/>
            <w:shd w:fill="F9FAFB"/>
            <w:tcMar>
              <w:top w:w="80" w:type="dxa"/>
              <w:bottom w:w="80" w:type="dxa"/>
              <w:left w:w="100" w:type="dxa"/>
              <w:right w:w="100" w:type="dxa"/>
            </w:tcMar>
          </w:tcPr>
          <w:p>
            <w:pPr>
              <w:jc w:val="right"/>
            </w:pPr>
            <w:r>
              <w:rPr>
                <w:rFonts w:ascii="Calibri" w:hAnsi="Calibri"/>
                <w:color w:val="222222"/>
                <w:sz w:val="18"/>
              </w:rPr>
              <w:t>25,193.35</w:t>
            </w:r>
          </w:p>
        </w:tc>
        <w:tc>
          <w:tcPr>
            <w:tcW w:type="dxa" w:w="1872"/>
            <w:shd w:fill="F9FAFB"/>
            <w:tcMar>
              <w:top w:w="80" w:type="dxa"/>
              <w:bottom w:w="80" w:type="dxa"/>
              <w:left w:w="100" w:type="dxa"/>
              <w:right w:w="100" w:type="dxa"/>
            </w:tcMar>
          </w:tcPr>
          <w:p>
            <w:pPr>
              <w:jc w:val="right"/>
            </w:pPr>
            <w:r>
              <w:rPr>
                <w:rFonts w:ascii="Calibri" w:hAnsi="Calibri"/>
                <w:color w:val="222222"/>
                <w:sz w:val="18"/>
              </w:rPr>
              <w:t>21,292.33</w:t>
            </w:r>
          </w:p>
        </w:tc>
        <w:tc>
          <w:tcPr>
            <w:tcW w:type="dxa" w:w="1872"/>
            <w:shd w:fill="F9FAFB"/>
            <w:tcMar>
              <w:top w:w="80" w:type="dxa"/>
              <w:bottom w:w="80" w:type="dxa"/>
              <w:left w:w="100" w:type="dxa"/>
              <w:right w:w="100" w:type="dxa"/>
            </w:tcMar>
          </w:tcPr>
          <w:p>
            <w:pPr>
              <w:jc w:val="right"/>
            </w:pPr>
            <w:r>
              <w:rPr>
                <w:rFonts w:ascii="Calibri" w:hAnsi="Calibri"/>
                <w:color w:val="222222"/>
                <w:sz w:val="18"/>
              </w:rPr>
              <w:t>95,168.69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11. Tax Expense (Refer note 14)</w:t>
            </w:r>
          </w:p>
        </w:tc>
        <w:tc>
          <w:tcPr>
            <w:tcW w:type="dxa" w:w="1872"/>
            <w:shd w:fill="FFFFFF"/>
            <w:tcMar>
              <w:top w:w="80" w:type="dxa"/>
              <w:bottom w:w="80" w:type="dxa"/>
              <w:left w:w="100" w:type="dxa"/>
              <w:right w:w="100" w:type="dxa"/>
            </w:tcMar>
          </w:tcPr>
          <w:p>
            <w:pPr>
              <w:jc w:val="right"/>
            </w:pPr>
            <w:r>
              <w:rPr>
                <w:rFonts w:ascii="Calibri" w:hAnsi="Calibri"/>
                <w:color w:val="222222"/>
                <w:sz w:val="18"/>
              </w:rPr>
              <w:t>6,048.58</w:t>
            </w:r>
          </w:p>
        </w:tc>
        <w:tc>
          <w:tcPr>
            <w:tcW w:type="dxa" w:w="1872"/>
            <w:shd w:fill="FFFFFF"/>
            <w:tcMar>
              <w:top w:w="80" w:type="dxa"/>
              <w:bottom w:w="80" w:type="dxa"/>
              <w:left w:w="100" w:type="dxa"/>
              <w:right w:w="100" w:type="dxa"/>
            </w:tcMar>
          </w:tcPr>
          <w:p>
            <w:pPr>
              <w:jc w:val="right"/>
            </w:pPr>
            <w:r>
              <w:rPr>
                <w:rFonts w:ascii="Calibri" w:hAnsi="Calibri"/>
                <w:color w:val="222222"/>
                <w:sz w:val="18"/>
              </w:rPr>
              <w:t>5,972.30</w:t>
            </w:r>
          </w:p>
        </w:tc>
        <w:tc>
          <w:tcPr>
            <w:tcW w:type="dxa" w:w="1872"/>
            <w:shd w:fill="FFFFFF"/>
            <w:tcMar>
              <w:top w:w="80" w:type="dxa"/>
              <w:bottom w:w="80" w:type="dxa"/>
              <w:left w:w="100" w:type="dxa"/>
              <w:right w:w="100" w:type="dxa"/>
            </w:tcMar>
          </w:tcPr>
          <w:p>
            <w:pPr>
              <w:jc w:val="right"/>
            </w:pPr>
            <w:r>
              <w:rPr>
                <w:rFonts w:ascii="Calibri" w:hAnsi="Calibri"/>
                <w:color w:val="222222"/>
                <w:sz w:val="18"/>
              </w:rPr>
              <w:t>3,137.12</w:t>
            </w:r>
          </w:p>
        </w:tc>
        <w:tc>
          <w:tcPr>
            <w:tcW w:type="dxa" w:w="1872"/>
            <w:shd w:fill="FFFFFF"/>
            <w:tcMar>
              <w:top w:w="80" w:type="dxa"/>
              <w:bottom w:w="80" w:type="dxa"/>
              <w:left w:w="100" w:type="dxa"/>
              <w:right w:w="100" w:type="dxa"/>
            </w:tcMar>
          </w:tcPr>
          <w:p>
            <w:pPr>
              <w:jc w:val="right"/>
            </w:pPr>
            <w:r>
              <w:rPr>
                <w:rFonts w:ascii="Calibri" w:hAnsi="Calibri"/>
                <w:color w:val="222222"/>
                <w:sz w:val="18"/>
              </w:rPr>
              <w:t>20,497.40</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12. Net Profit from ordinary activities after tax (10)-(11)</w:t>
            </w:r>
          </w:p>
        </w:tc>
        <w:tc>
          <w:tcPr>
            <w:tcW w:type="dxa" w:w="1872"/>
            <w:shd w:fill="F9FAFB"/>
            <w:tcMar>
              <w:top w:w="80" w:type="dxa"/>
              <w:bottom w:w="80" w:type="dxa"/>
              <w:left w:w="100" w:type="dxa"/>
              <w:right w:w="100" w:type="dxa"/>
            </w:tcMar>
          </w:tcPr>
          <w:p>
            <w:pPr>
              <w:jc w:val="right"/>
            </w:pPr>
            <w:r>
              <w:rPr>
                <w:rFonts w:ascii="Calibri" w:hAnsi="Calibri"/>
                <w:color w:val="222222"/>
                <w:sz w:val="18"/>
              </w:rPr>
              <w:t>19,059.72</w:t>
            </w:r>
          </w:p>
        </w:tc>
        <w:tc>
          <w:tcPr>
            <w:tcW w:type="dxa" w:w="1872"/>
            <w:shd w:fill="F9FAFB"/>
            <w:tcMar>
              <w:top w:w="80" w:type="dxa"/>
              <w:bottom w:w="80" w:type="dxa"/>
              <w:left w:w="100" w:type="dxa"/>
              <w:right w:w="100" w:type="dxa"/>
            </w:tcMar>
          </w:tcPr>
          <w:p>
            <w:pPr>
              <w:jc w:val="right"/>
            </w:pPr>
            <w:r>
              <w:rPr>
                <w:rFonts w:ascii="Calibri" w:hAnsi="Calibri"/>
                <w:color w:val="222222"/>
                <w:sz w:val="18"/>
              </w:rPr>
              <w:t>19,221.05</w:t>
            </w:r>
          </w:p>
        </w:tc>
        <w:tc>
          <w:tcPr>
            <w:tcW w:type="dxa" w:w="1872"/>
            <w:shd w:fill="F9FAFB"/>
            <w:tcMar>
              <w:top w:w="80" w:type="dxa"/>
              <w:bottom w:w="80" w:type="dxa"/>
              <w:left w:w="100" w:type="dxa"/>
              <w:right w:w="100" w:type="dxa"/>
            </w:tcMar>
          </w:tcPr>
          <w:p>
            <w:pPr>
              <w:jc w:val="right"/>
            </w:pPr>
            <w:r>
              <w:rPr>
                <w:rFonts w:ascii="Calibri" w:hAnsi="Calibri"/>
                <w:color w:val="222222"/>
                <w:sz w:val="18"/>
              </w:rPr>
              <w:t>18,155.21</w:t>
            </w:r>
          </w:p>
        </w:tc>
        <w:tc>
          <w:tcPr>
            <w:tcW w:type="dxa" w:w="1872"/>
            <w:shd w:fill="F9FAFB"/>
            <w:tcMar>
              <w:top w:w="80" w:type="dxa"/>
              <w:bottom w:w="80" w:type="dxa"/>
              <w:left w:w="100" w:type="dxa"/>
              <w:right w:w="100" w:type="dxa"/>
            </w:tcMar>
          </w:tcPr>
          <w:p>
            <w:pPr>
              <w:jc w:val="right"/>
            </w:pPr>
            <w:r>
              <w:rPr>
                <w:rFonts w:ascii="Calibri" w:hAnsi="Calibri"/>
                <w:color w:val="222222"/>
                <w:sz w:val="18"/>
              </w:rPr>
              <w:t>74,671.29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13. Extraordinary items (net of tax)</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14. Net Profit for the period (12)-(13)</w:t>
            </w:r>
          </w:p>
        </w:tc>
        <w:tc>
          <w:tcPr>
            <w:tcW w:type="dxa" w:w="1872"/>
            <w:shd w:fill="F9FAFB"/>
            <w:tcMar>
              <w:top w:w="80" w:type="dxa"/>
              <w:bottom w:w="80" w:type="dxa"/>
              <w:left w:w="100" w:type="dxa"/>
              <w:right w:w="100" w:type="dxa"/>
            </w:tcMar>
          </w:tcPr>
          <w:p>
            <w:pPr>
              <w:jc w:val="right"/>
            </w:pPr>
            <w:r>
              <w:rPr>
                <w:rFonts w:ascii="Calibri" w:hAnsi="Calibri"/>
                <w:color w:val="222222"/>
                <w:sz w:val="18"/>
              </w:rPr>
              <w:t>19,059.72</w:t>
            </w:r>
          </w:p>
        </w:tc>
        <w:tc>
          <w:tcPr>
            <w:tcW w:type="dxa" w:w="1872"/>
            <w:shd w:fill="F9FAFB"/>
            <w:tcMar>
              <w:top w:w="80" w:type="dxa"/>
              <w:bottom w:w="80" w:type="dxa"/>
              <w:left w:w="100" w:type="dxa"/>
              <w:right w:w="100" w:type="dxa"/>
            </w:tcMar>
          </w:tcPr>
          <w:p>
            <w:pPr>
              <w:jc w:val="right"/>
            </w:pPr>
            <w:r>
              <w:rPr>
                <w:rFonts w:ascii="Calibri" w:hAnsi="Calibri"/>
                <w:color w:val="222222"/>
                <w:sz w:val="18"/>
              </w:rPr>
              <w:t>19,221.05</w:t>
            </w:r>
          </w:p>
        </w:tc>
        <w:tc>
          <w:tcPr>
            <w:tcW w:type="dxa" w:w="1872"/>
            <w:shd w:fill="F9FAFB"/>
            <w:tcMar>
              <w:top w:w="80" w:type="dxa"/>
              <w:bottom w:w="80" w:type="dxa"/>
              <w:left w:w="100" w:type="dxa"/>
              <w:right w:w="100" w:type="dxa"/>
            </w:tcMar>
          </w:tcPr>
          <w:p>
            <w:pPr>
              <w:jc w:val="right"/>
            </w:pPr>
            <w:r>
              <w:rPr>
                <w:rFonts w:ascii="Calibri" w:hAnsi="Calibri"/>
                <w:color w:val="222222"/>
                <w:sz w:val="18"/>
              </w:rPr>
              <w:t>18,155.21</w:t>
            </w:r>
          </w:p>
        </w:tc>
        <w:tc>
          <w:tcPr>
            <w:tcW w:type="dxa" w:w="1872"/>
            <w:shd w:fill="F9FAFB"/>
            <w:tcMar>
              <w:top w:w="80" w:type="dxa"/>
              <w:bottom w:w="80" w:type="dxa"/>
              <w:left w:w="100" w:type="dxa"/>
              <w:right w:w="100" w:type="dxa"/>
            </w:tcMar>
          </w:tcPr>
          <w:p>
            <w:pPr>
              <w:jc w:val="right"/>
            </w:pPr>
            <w:r>
              <w:rPr>
                <w:rFonts w:ascii="Calibri" w:hAnsi="Calibri"/>
                <w:color w:val="222222"/>
                <w:sz w:val="18"/>
              </w:rPr>
              <w:t>74,671.29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15. Paid up equity share capital (Face Value ₹1/-)</w:t>
            </w:r>
          </w:p>
        </w:tc>
        <w:tc>
          <w:tcPr>
            <w:tcW w:type="dxa" w:w="1872"/>
            <w:shd w:fill="FFFFFF"/>
            <w:tcMar>
              <w:top w:w="80" w:type="dxa"/>
              <w:bottom w:w="80" w:type="dxa"/>
              <w:left w:w="100" w:type="dxa"/>
              <w:right w:w="100" w:type="dxa"/>
            </w:tcMar>
          </w:tcPr>
          <w:p>
            <w:pPr>
              <w:jc w:val="right"/>
            </w:pPr>
            <w:r>
              <w:rPr>
                <w:rFonts w:ascii="Calibri" w:hAnsi="Calibri"/>
                <w:color w:val="222222"/>
                <w:sz w:val="18"/>
              </w:rPr>
              <w:t>1,540.13</w:t>
            </w:r>
          </w:p>
        </w:tc>
        <w:tc>
          <w:tcPr>
            <w:tcW w:type="dxa" w:w="1872"/>
            <w:shd w:fill="FFFFFF"/>
            <w:tcMar>
              <w:top w:w="80" w:type="dxa"/>
              <w:bottom w:w="80" w:type="dxa"/>
              <w:left w:w="100" w:type="dxa"/>
              <w:right w:w="100" w:type="dxa"/>
            </w:tcMar>
          </w:tcPr>
          <w:p>
            <w:pPr>
              <w:jc w:val="right"/>
            </w:pPr>
            <w:r>
              <w:rPr>
                <w:rFonts w:ascii="Calibri" w:hAnsi="Calibri"/>
                <w:color w:val="222222"/>
                <w:sz w:val="18"/>
              </w:rPr>
              <w:t>1,539.34</w:t>
            </w:r>
          </w:p>
        </w:tc>
        <w:tc>
          <w:tcPr>
            <w:tcW w:type="dxa" w:w="1872"/>
            <w:shd w:fill="FFFFFF"/>
            <w:tcMar>
              <w:top w:w="80" w:type="dxa"/>
              <w:bottom w:w="80" w:type="dxa"/>
              <w:left w:w="100" w:type="dxa"/>
              <w:right w:w="100" w:type="dxa"/>
            </w:tcMar>
          </w:tcPr>
          <w:p>
            <w:pPr>
              <w:jc w:val="right"/>
            </w:pPr>
            <w:r>
              <w:rPr>
                <w:rFonts w:ascii="Calibri" w:hAnsi="Calibri"/>
                <w:color w:val="222222"/>
                <w:sz w:val="18"/>
              </w:rPr>
              <w:t>766.79</w:t>
            </w:r>
          </w:p>
        </w:tc>
        <w:tc>
          <w:tcPr>
            <w:tcW w:type="dxa" w:w="1872"/>
            <w:shd w:fill="FFFFFF"/>
            <w:tcMar>
              <w:top w:w="80" w:type="dxa"/>
              <w:bottom w:w="80" w:type="dxa"/>
              <w:left w:w="100" w:type="dxa"/>
              <w:right w:w="100" w:type="dxa"/>
            </w:tcMar>
          </w:tcPr>
          <w:p>
            <w:pPr>
              <w:jc w:val="right"/>
            </w:pPr>
            <w:r>
              <w:rPr>
                <w:rFonts w:ascii="Calibri" w:hAnsi="Calibri"/>
                <w:color w:val="222222"/>
                <w:sz w:val="18"/>
              </w:rPr>
              <w:t>1,539.34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16. Reserves excluding revaluation reserves</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right"/>
            </w:pPr>
            <w:r>
              <w:rPr>
                <w:rFonts w:ascii="Calibri" w:hAnsi="Calibri"/>
                <w:color w:val="222222"/>
                <w:sz w:val="18"/>
              </w:rPr>
              <w:t>5,56,816.45</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right"/>
            </w:pPr>
            <w:r>
              <w:rPr>
                <w:rFonts w:ascii="Calibri" w:hAnsi="Calibri"/>
                <w:color w:val="222222"/>
                <w:sz w:val="18"/>
              </w:rPr>
              <w:t>5,56,816.45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17. Analytical Ratios &amp; Disclosures:</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 Govt of India Shareholding</w:t>
            </w:r>
          </w:p>
        </w:tc>
        <w:tc>
          <w:tcPr>
            <w:tcW w:type="dxa" w:w="1872"/>
            <w:shd w:fill="F9FAFB"/>
            <w:tcMar>
              <w:top w:w="80" w:type="dxa"/>
              <w:bottom w:w="80" w:type="dxa"/>
              <w:left w:w="100" w:type="dxa"/>
              <w:right w:w="100" w:type="dxa"/>
            </w:tcMar>
          </w:tcPr>
          <w:p>
            <w:pPr>
              <w:jc w:val="left"/>
            </w:pPr>
            <w:r>
              <w:rPr>
                <w:rFonts w:ascii="Calibri" w:hAnsi="Calibri"/>
                <w:color w:val="222222"/>
                <w:sz w:val="18"/>
              </w:rPr>
              <w:t>Nil</w:t>
            </w:r>
          </w:p>
        </w:tc>
        <w:tc>
          <w:tcPr>
            <w:tcW w:type="dxa" w:w="1872"/>
            <w:shd w:fill="F9FAFB"/>
            <w:tcMar>
              <w:top w:w="80" w:type="dxa"/>
              <w:bottom w:w="80" w:type="dxa"/>
              <w:left w:w="100" w:type="dxa"/>
              <w:right w:w="100" w:type="dxa"/>
            </w:tcMar>
          </w:tcPr>
          <w:p>
            <w:pPr>
              <w:jc w:val="left"/>
            </w:pPr>
            <w:r>
              <w:rPr>
                <w:rFonts w:ascii="Calibri" w:hAnsi="Calibri"/>
                <w:color w:val="222222"/>
                <w:sz w:val="18"/>
              </w:rPr>
              <w:t>Nil</w:t>
            </w:r>
          </w:p>
        </w:tc>
        <w:tc>
          <w:tcPr>
            <w:tcW w:type="dxa" w:w="1872"/>
            <w:shd w:fill="F9FAFB"/>
            <w:tcMar>
              <w:top w:w="80" w:type="dxa"/>
              <w:bottom w:w="80" w:type="dxa"/>
              <w:left w:w="100" w:type="dxa"/>
              <w:right w:w="100" w:type="dxa"/>
            </w:tcMar>
          </w:tcPr>
          <w:p>
            <w:pPr>
              <w:jc w:val="left"/>
            </w:pPr>
            <w:r>
              <w:rPr>
                <w:rFonts w:ascii="Calibri" w:hAnsi="Calibri"/>
                <w:color w:val="222222"/>
                <w:sz w:val="18"/>
              </w:rPr>
              <w:t>Nil</w:t>
            </w:r>
          </w:p>
        </w:tc>
        <w:tc>
          <w:tcPr>
            <w:tcW w:type="dxa" w:w="1872"/>
            <w:shd w:fill="F9FAFB"/>
            <w:tcMar>
              <w:top w:w="80" w:type="dxa"/>
              <w:bottom w:w="80" w:type="dxa"/>
              <w:left w:w="100" w:type="dxa"/>
              <w:right w:w="100" w:type="dxa"/>
            </w:tcMar>
          </w:tcPr>
          <w:p>
            <w:pPr>
              <w:jc w:val="left"/>
            </w:pPr>
            <w:r>
              <w:rPr>
                <w:rFonts w:ascii="Calibri" w:hAnsi="Calibri"/>
                <w:color w:val="222222"/>
                <w:sz w:val="18"/>
              </w:rPr>
              <w:t>Nil</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(ii) Capital Adequacy Ratio (%)</w:t>
            </w:r>
          </w:p>
        </w:tc>
        <w:tc>
          <w:tcPr>
            <w:tcW w:type="dxa" w:w="1872"/>
            <w:shd w:fill="FFFFFF"/>
            <w:tcMar>
              <w:top w:w="80" w:type="dxa"/>
              <w:bottom w:w="80" w:type="dxa"/>
              <w:left w:w="100" w:type="dxa"/>
              <w:right w:w="100" w:type="dxa"/>
            </w:tcMar>
          </w:tcPr>
          <w:p>
            <w:pPr>
              <w:jc w:val="right"/>
            </w:pPr>
            <w:r>
              <w:rPr>
                <w:rFonts w:ascii="Calibri" w:hAnsi="Calibri"/>
                <w:color w:val="222222"/>
                <w:sz w:val="18"/>
              </w:rPr>
              <w:t>19.57%</w:t>
            </w:r>
          </w:p>
        </w:tc>
        <w:tc>
          <w:tcPr>
            <w:tcW w:type="dxa" w:w="1872"/>
            <w:shd w:fill="FFFFFF"/>
            <w:tcMar>
              <w:top w:w="80" w:type="dxa"/>
              <w:bottom w:w="80" w:type="dxa"/>
              <w:left w:w="100" w:type="dxa"/>
              <w:right w:w="100" w:type="dxa"/>
            </w:tcMar>
          </w:tcPr>
          <w:p>
            <w:pPr>
              <w:jc w:val="right"/>
            </w:pPr>
            <w:r>
              <w:rPr>
                <w:rFonts w:ascii="Calibri" w:hAnsi="Calibri"/>
                <w:color w:val="222222"/>
                <w:sz w:val="18"/>
              </w:rPr>
              <w:t>19.71%</w:t>
            </w:r>
          </w:p>
        </w:tc>
        <w:tc>
          <w:tcPr>
            <w:tcW w:type="dxa" w:w="1872"/>
            <w:shd w:fill="FFFFFF"/>
            <w:tcMar>
              <w:top w:w="80" w:type="dxa"/>
              <w:bottom w:w="80" w:type="dxa"/>
              <w:left w:w="100" w:type="dxa"/>
              <w:right w:w="100" w:type="dxa"/>
            </w:tcMar>
          </w:tcPr>
          <w:p>
            <w:pPr>
              <w:jc w:val="right"/>
            </w:pPr>
            <w:r>
              <w:rPr>
                <w:rFonts w:ascii="Calibri" w:hAnsi="Calibri"/>
                <w:color w:val="222222"/>
                <w:sz w:val="18"/>
              </w:rPr>
              <w:t>19.88%</w:t>
            </w:r>
          </w:p>
        </w:tc>
        <w:tc>
          <w:tcPr>
            <w:tcW w:type="dxa" w:w="1872"/>
            <w:shd w:fill="FFFFFF"/>
            <w:tcMar>
              <w:top w:w="80" w:type="dxa"/>
              <w:bottom w:w="80" w:type="dxa"/>
              <w:left w:w="100" w:type="dxa"/>
              <w:right w:w="100" w:type="dxa"/>
            </w:tcMar>
          </w:tcPr>
          <w:p>
            <w:pPr>
              <w:jc w:val="right"/>
            </w:pPr>
            <w:r>
              <w:rPr>
                <w:rFonts w:ascii="Calibri" w:hAnsi="Calibri"/>
                <w:color w:val="222222"/>
                <w:sz w:val="18"/>
              </w:rPr>
              <w:t>19.71%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(iii) Earnings Per Share (EPS) (₹):</w:t>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(a) Basic EPS (not annualized)</w:t>
            </w:r>
          </w:p>
        </w:tc>
        <w:tc>
          <w:tcPr>
            <w:tcW w:type="dxa" w:w="1872"/>
            <w:shd w:fill="FFFFFF"/>
            <w:tcMar>
              <w:top w:w="80" w:type="dxa"/>
              <w:bottom w:w="80" w:type="dxa"/>
              <w:left w:w="100" w:type="dxa"/>
              <w:right w:w="100" w:type="dxa"/>
            </w:tcMar>
          </w:tcPr>
          <w:p>
            <w:pPr>
              <w:jc w:val="right"/>
            </w:pPr>
            <w:r>
              <w:rPr>
                <w:rFonts w:ascii="Calibri" w:hAnsi="Calibri"/>
                <w:color w:val="222222"/>
                <w:sz w:val="18"/>
              </w:rPr>
              <w:t>12.38</w:t>
            </w:r>
          </w:p>
        </w:tc>
        <w:tc>
          <w:tcPr>
            <w:tcW w:type="dxa" w:w="1872"/>
            <w:shd w:fill="FFFFFF"/>
            <w:tcMar>
              <w:top w:w="80" w:type="dxa"/>
              <w:bottom w:w="80" w:type="dxa"/>
              <w:left w:w="100" w:type="dxa"/>
              <w:right w:w="100" w:type="dxa"/>
            </w:tcMar>
          </w:tcPr>
          <w:p>
            <w:pPr>
              <w:jc w:val="right"/>
            </w:pPr>
            <w:r>
              <w:rPr>
                <w:rFonts w:ascii="Calibri" w:hAnsi="Calibri"/>
                <w:color w:val="222222"/>
                <w:sz w:val="18"/>
              </w:rPr>
              <w:t>12.49</w:t>
            </w:r>
          </w:p>
        </w:tc>
        <w:tc>
          <w:tcPr>
            <w:tcW w:type="dxa" w:w="1872"/>
            <w:shd w:fill="FFFFFF"/>
            <w:tcMar>
              <w:top w:w="80" w:type="dxa"/>
              <w:bottom w:w="80" w:type="dxa"/>
              <w:left w:w="100" w:type="dxa"/>
              <w:right w:w="100" w:type="dxa"/>
            </w:tcMar>
          </w:tcPr>
          <w:p>
            <w:pPr>
              <w:jc w:val="right"/>
            </w:pPr>
            <w:r>
              <w:rPr>
                <w:rFonts w:ascii="Calibri" w:hAnsi="Calibri"/>
                <w:color w:val="222222"/>
                <w:sz w:val="18"/>
              </w:rPr>
              <w:t>11.86</w:t>
            </w:r>
          </w:p>
        </w:tc>
        <w:tc>
          <w:tcPr>
            <w:tcW w:type="dxa" w:w="1872"/>
            <w:shd w:fill="FFFFFF"/>
            <w:tcMar>
              <w:top w:w="80" w:type="dxa"/>
              <w:bottom w:w="80" w:type="dxa"/>
              <w:left w:w="100" w:type="dxa"/>
              <w:right w:w="100" w:type="dxa"/>
            </w:tcMar>
          </w:tcPr>
          <w:p>
            <w:pPr>
              <w:jc w:val="right"/>
            </w:pPr>
            <w:r>
              <w:rPr>
                <w:rFonts w:ascii="Calibri" w:hAnsi="Calibri"/>
                <w:color w:val="222222"/>
                <w:sz w:val="18"/>
              </w:rPr>
              <w:t>48.62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(b) Diluted EPS (not annualized)</w:t>
            </w:r>
          </w:p>
        </w:tc>
        <w:tc>
          <w:tcPr>
            <w:tcW w:type="dxa" w:w="1872"/>
            <w:shd w:fill="F9FAFB"/>
            <w:tcMar>
              <w:top w:w="80" w:type="dxa"/>
              <w:bottom w:w="80" w:type="dxa"/>
              <w:left w:w="100" w:type="dxa"/>
              <w:right w:w="100" w:type="dxa"/>
            </w:tcMar>
          </w:tcPr>
          <w:p>
            <w:pPr>
              <w:jc w:val="right"/>
            </w:pPr>
            <w:r>
              <w:rPr>
                <w:rFonts w:ascii="Calibri" w:hAnsi="Calibri"/>
                <w:color w:val="222222"/>
                <w:sz w:val="18"/>
              </w:rPr>
              <w:t>12.35</w:t>
            </w:r>
          </w:p>
        </w:tc>
        <w:tc>
          <w:tcPr>
            <w:tcW w:type="dxa" w:w="1872"/>
            <w:shd w:fill="F9FAFB"/>
            <w:tcMar>
              <w:top w:w="80" w:type="dxa"/>
              <w:bottom w:w="80" w:type="dxa"/>
              <w:left w:w="100" w:type="dxa"/>
              <w:right w:w="100" w:type="dxa"/>
            </w:tcMar>
          </w:tcPr>
          <w:p>
            <w:pPr>
              <w:jc w:val="right"/>
            </w:pPr>
            <w:r>
              <w:rPr>
                <w:rFonts w:ascii="Calibri" w:hAnsi="Calibri"/>
                <w:color w:val="222222"/>
                <w:sz w:val="18"/>
              </w:rPr>
              <w:t>12.45</w:t>
            </w:r>
          </w:p>
        </w:tc>
        <w:tc>
          <w:tcPr>
            <w:tcW w:type="dxa" w:w="1872"/>
            <w:shd w:fill="F9FAFB"/>
            <w:tcMar>
              <w:top w:w="80" w:type="dxa"/>
              <w:bottom w:w="80" w:type="dxa"/>
              <w:left w:w="100" w:type="dxa"/>
              <w:right w:w="100" w:type="dxa"/>
            </w:tcMar>
          </w:tcPr>
          <w:p>
            <w:pPr>
              <w:jc w:val="right"/>
            </w:pPr>
            <w:r>
              <w:rPr>
                <w:rFonts w:ascii="Calibri" w:hAnsi="Calibri"/>
                <w:color w:val="222222"/>
                <w:sz w:val="18"/>
              </w:rPr>
              <w:t>11.79</w:t>
            </w:r>
          </w:p>
        </w:tc>
        <w:tc>
          <w:tcPr>
            <w:tcW w:type="dxa" w:w="1872"/>
            <w:shd w:fill="F9FAFB"/>
            <w:tcMar>
              <w:top w:w="80" w:type="dxa"/>
              <w:bottom w:w="80" w:type="dxa"/>
              <w:left w:w="100" w:type="dxa"/>
              <w:right w:w="100" w:type="dxa"/>
            </w:tcMar>
          </w:tcPr>
          <w:p>
            <w:pPr>
              <w:jc w:val="right"/>
            </w:pPr>
            <w:r>
              <w:rPr>
                <w:rFonts w:ascii="Calibri" w:hAnsi="Calibri"/>
                <w:color w:val="222222"/>
                <w:sz w:val="18"/>
              </w:rPr>
              <w:t>48.40</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(iv) NPA Ratios:</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Gross NPAs (₹ in crore)</w:t>
            </w:r>
          </w:p>
        </w:tc>
        <w:tc>
          <w:tcPr>
            <w:tcW w:type="dxa" w:w="1872"/>
            <w:shd w:fill="F9FAFB"/>
            <w:tcMar>
              <w:top w:w="80" w:type="dxa"/>
              <w:bottom w:w="80" w:type="dxa"/>
              <w:left w:w="100" w:type="dxa"/>
              <w:right w:w="100" w:type="dxa"/>
            </w:tcMar>
          </w:tcPr>
          <w:p>
            <w:pPr>
              <w:jc w:val="right"/>
            </w:pPr>
            <w:r>
              <w:rPr>
                <w:rFonts w:ascii="Calibri" w:hAnsi="Calibri"/>
                <w:color w:val="222222"/>
                <w:sz w:val="18"/>
              </w:rPr>
              <w:t>35,846.35</w:t>
            </w:r>
          </w:p>
        </w:tc>
        <w:tc>
          <w:tcPr>
            <w:tcW w:type="dxa" w:w="1872"/>
            <w:shd w:fill="F9FAFB"/>
            <w:tcMar>
              <w:top w:w="80" w:type="dxa"/>
              <w:bottom w:w="80" w:type="dxa"/>
              <w:left w:w="100" w:type="dxa"/>
              <w:right w:w="100" w:type="dxa"/>
            </w:tcMar>
          </w:tcPr>
          <w:p>
            <w:pPr>
              <w:jc w:val="right"/>
            </w:pPr>
            <w:r>
              <w:rPr>
                <w:rFonts w:ascii="Calibri" w:hAnsi="Calibri"/>
                <w:color w:val="222222"/>
                <w:sz w:val="18"/>
              </w:rPr>
              <w:t>34,061.19</w:t>
            </w:r>
          </w:p>
        </w:tc>
        <w:tc>
          <w:tcPr>
            <w:tcW w:type="dxa" w:w="1872"/>
            <w:shd w:fill="F9FAFB"/>
            <w:tcMar>
              <w:top w:w="80" w:type="dxa"/>
              <w:bottom w:w="80" w:type="dxa"/>
              <w:left w:w="100" w:type="dxa"/>
              <w:right w:w="100" w:type="dxa"/>
            </w:tcMar>
          </w:tcPr>
          <w:p>
            <w:pPr>
              <w:jc w:val="right"/>
            </w:pPr>
            <w:r>
              <w:rPr>
                <w:rFonts w:ascii="Calibri" w:hAnsi="Calibri"/>
                <w:color w:val="222222"/>
                <w:sz w:val="18"/>
              </w:rPr>
              <w:t>37,040.80</w:t>
            </w:r>
          </w:p>
        </w:tc>
        <w:tc>
          <w:tcPr>
            <w:tcW w:type="dxa" w:w="1872"/>
            <w:shd w:fill="F9FAFB"/>
            <w:tcMar>
              <w:top w:w="80" w:type="dxa"/>
              <w:bottom w:w="80" w:type="dxa"/>
              <w:left w:w="100" w:type="dxa"/>
              <w:right w:w="100" w:type="dxa"/>
            </w:tcMar>
          </w:tcPr>
          <w:p>
            <w:pPr>
              <w:jc w:val="right"/>
            </w:pPr>
            <w:r>
              <w:rPr>
                <w:rFonts w:ascii="Calibri" w:hAnsi="Calibri"/>
                <w:color w:val="222222"/>
                <w:sz w:val="18"/>
              </w:rPr>
              <w:t>34,061.19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Net NPAs (₹ in crore)</w:t>
            </w:r>
          </w:p>
        </w:tc>
        <w:tc>
          <w:tcPr>
            <w:tcW w:type="dxa" w:w="1872"/>
            <w:shd w:fill="FFFFFF"/>
            <w:tcMar>
              <w:top w:w="80" w:type="dxa"/>
              <w:bottom w:w="80" w:type="dxa"/>
              <w:left w:w="100" w:type="dxa"/>
              <w:right w:w="100" w:type="dxa"/>
            </w:tcMar>
          </w:tcPr>
          <w:p>
            <w:pPr>
              <w:jc w:val="right"/>
            </w:pPr>
            <w:r>
              <w:rPr>
                <w:rFonts w:ascii="Calibri" w:hAnsi="Calibri"/>
                <w:color w:val="222222"/>
                <w:sz w:val="18"/>
              </w:rPr>
              <w:t>12,357.27</w:t>
            </w:r>
          </w:p>
        </w:tc>
        <w:tc>
          <w:tcPr>
            <w:tcW w:type="dxa" w:w="1872"/>
            <w:shd w:fill="FFFFFF"/>
            <w:tcMar>
              <w:top w:w="80" w:type="dxa"/>
              <w:bottom w:w="80" w:type="dxa"/>
              <w:left w:w="100" w:type="dxa"/>
              <w:right w:w="100" w:type="dxa"/>
            </w:tcMar>
          </w:tcPr>
          <w:p>
            <w:pPr>
              <w:jc w:val="right"/>
            </w:pPr>
            <w:r>
              <w:rPr>
                <w:rFonts w:ascii="Calibri" w:hAnsi="Calibri"/>
                <w:color w:val="222222"/>
                <w:sz w:val="18"/>
              </w:rPr>
              <w:t>11,169.54</w:t>
            </w:r>
          </w:p>
        </w:tc>
        <w:tc>
          <w:tcPr>
            <w:tcW w:type="dxa" w:w="1872"/>
            <w:shd w:fill="FFFFFF"/>
            <w:tcMar>
              <w:top w:w="80" w:type="dxa"/>
              <w:bottom w:w="80" w:type="dxa"/>
              <w:left w:w="100" w:type="dxa"/>
              <w:right w:w="100" w:type="dxa"/>
            </w:tcMar>
          </w:tcPr>
          <w:p>
            <w:pPr>
              <w:jc w:val="right"/>
            </w:pPr>
            <w:r>
              <w:rPr>
                <w:rFonts w:ascii="Calibri" w:hAnsi="Calibri"/>
                <w:color w:val="222222"/>
                <w:sz w:val="18"/>
              </w:rPr>
              <w:t>12,275.99</w:t>
            </w:r>
          </w:p>
        </w:tc>
        <w:tc>
          <w:tcPr>
            <w:tcW w:type="dxa" w:w="1872"/>
            <w:shd w:fill="FFFFFF"/>
            <w:tcMar>
              <w:top w:w="80" w:type="dxa"/>
              <w:bottom w:w="80" w:type="dxa"/>
              <w:left w:w="100" w:type="dxa"/>
              <w:right w:w="100" w:type="dxa"/>
            </w:tcMar>
          </w:tcPr>
          <w:p>
            <w:pPr>
              <w:jc w:val="right"/>
            </w:pPr>
            <w:r>
              <w:rPr>
                <w:rFonts w:ascii="Calibri" w:hAnsi="Calibri"/>
                <w:color w:val="222222"/>
                <w:sz w:val="18"/>
              </w:rPr>
              <w:t>11,169.54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 Gross NPAs to Gross Advances</w:t>
            </w:r>
          </w:p>
        </w:tc>
        <w:tc>
          <w:tcPr>
            <w:tcW w:type="dxa" w:w="1872"/>
            <w:shd w:fill="F9FAFB"/>
            <w:tcMar>
              <w:top w:w="80" w:type="dxa"/>
              <w:bottom w:w="80" w:type="dxa"/>
              <w:left w:w="100" w:type="dxa"/>
              <w:right w:w="100" w:type="dxa"/>
            </w:tcMar>
          </w:tcPr>
          <w:p>
            <w:pPr>
              <w:jc w:val="right"/>
            </w:pPr>
            <w:r>
              <w:rPr>
                <w:rFonts w:ascii="Calibri" w:hAnsi="Calibri"/>
                <w:color w:val="222222"/>
                <w:sz w:val="18"/>
              </w:rPr>
              <w:t>1.17%</w:t>
            </w:r>
          </w:p>
        </w:tc>
        <w:tc>
          <w:tcPr>
            <w:tcW w:type="dxa" w:w="1872"/>
            <w:shd w:fill="F9FAFB"/>
            <w:tcMar>
              <w:top w:w="80" w:type="dxa"/>
              <w:bottom w:w="80" w:type="dxa"/>
              <w:left w:w="100" w:type="dxa"/>
              <w:right w:w="100" w:type="dxa"/>
            </w:tcMar>
          </w:tcPr>
          <w:p>
            <w:pPr>
              <w:jc w:val="right"/>
            </w:pPr>
            <w:r>
              <w:rPr>
                <w:rFonts w:ascii="Calibri" w:hAnsi="Calibri"/>
                <w:color w:val="222222"/>
                <w:sz w:val="18"/>
              </w:rPr>
              <w:t>1.15%</w:t>
            </w:r>
          </w:p>
        </w:tc>
        <w:tc>
          <w:tcPr>
            <w:tcW w:type="dxa" w:w="1872"/>
            <w:shd w:fill="F9FAFB"/>
            <w:tcMar>
              <w:top w:w="80" w:type="dxa"/>
              <w:bottom w:w="80" w:type="dxa"/>
              <w:left w:w="100" w:type="dxa"/>
              <w:right w:w="100" w:type="dxa"/>
            </w:tcMar>
          </w:tcPr>
          <w:p>
            <w:pPr>
              <w:jc w:val="right"/>
            </w:pPr>
            <w:r>
              <w:rPr>
                <w:rFonts w:ascii="Calibri" w:hAnsi="Calibri"/>
                <w:color w:val="222222"/>
                <w:sz w:val="18"/>
              </w:rPr>
              <w:t>1.40%</w:t>
            </w:r>
          </w:p>
        </w:tc>
        <w:tc>
          <w:tcPr>
            <w:tcW w:type="dxa" w:w="1872"/>
            <w:shd w:fill="F9FAFB"/>
            <w:tcMar>
              <w:top w:w="80" w:type="dxa"/>
              <w:bottom w:w="80" w:type="dxa"/>
              <w:left w:w="100" w:type="dxa"/>
              <w:right w:w="100" w:type="dxa"/>
            </w:tcMar>
          </w:tcPr>
          <w:p>
            <w:pPr>
              <w:jc w:val="right"/>
            </w:pPr>
            <w:r>
              <w:rPr>
                <w:rFonts w:ascii="Calibri" w:hAnsi="Calibri"/>
                <w:color w:val="222222"/>
                <w:sz w:val="18"/>
              </w:rPr>
              <w:t>1.15%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 Net NPAs to Net Advances</w:t>
            </w:r>
          </w:p>
        </w:tc>
        <w:tc>
          <w:tcPr>
            <w:tcW w:type="dxa" w:w="1872"/>
            <w:shd w:fill="FFFFFF"/>
            <w:tcMar>
              <w:top w:w="80" w:type="dxa"/>
              <w:bottom w:w="80" w:type="dxa"/>
              <w:left w:w="100" w:type="dxa"/>
              <w:right w:w="100" w:type="dxa"/>
            </w:tcMar>
          </w:tcPr>
          <w:p>
            <w:pPr>
              <w:jc w:val="right"/>
            </w:pPr>
            <w:r>
              <w:rPr>
                <w:rFonts w:ascii="Calibri" w:hAnsi="Calibri"/>
                <w:color w:val="222222"/>
                <w:sz w:val="18"/>
              </w:rPr>
              <w:t>0.41%</w:t>
            </w:r>
          </w:p>
        </w:tc>
        <w:tc>
          <w:tcPr>
            <w:tcW w:type="dxa" w:w="1872"/>
            <w:shd w:fill="FFFFFF"/>
            <w:tcMar>
              <w:top w:w="80" w:type="dxa"/>
              <w:bottom w:w="80" w:type="dxa"/>
              <w:left w:w="100" w:type="dxa"/>
              <w:right w:w="100" w:type="dxa"/>
            </w:tcMar>
          </w:tcPr>
          <w:p>
            <w:pPr>
              <w:jc w:val="right"/>
            </w:pPr>
            <w:r>
              <w:rPr>
                <w:rFonts w:ascii="Calibri" w:hAnsi="Calibri"/>
                <w:color w:val="222222"/>
                <w:sz w:val="18"/>
              </w:rPr>
              <w:t>0.38%</w:t>
            </w:r>
          </w:p>
        </w:tc>
        <w:tc>
          <w:tcPr>
            <w:tcW w:type="dxa" w:w="1872"/>
            <w:shd w:fill="FFFFFF"/>
            <w:tcMar>
              <w:top w:w="80" w:type="dxa"/>
              <w:bottom w:w="80" w:type="dxa"/>
              <w:left w:w="100" w:type="dxa"/>
              <w:right w:w="100" w:type="dxa"/>
            </w:tcMar>
          </w:tcPr>
          <w:p>
            <w:pPr>
              <w:jc w:val="right"/>
            </w:pPr>
            <w:r>
              <w:rPr>
                <w:rFonts w:ascii="Calibri" w:hAnsi="Calibri"/>
                <w:color w:val="222222"/>
                <w:sz w:val="18"/>
              </w:rPr>
              <w:t>0.47%</w:t>
            </w:r>
          </w:p>
        </w:tc>
        <w:tc>
          <w:tcPr>
            <w:tcW w:type="dxa" w:w="1872"/>
            <w:shd w:fill="FFFFFF"/>
            <w:tcMar>
              <w:top w:w="80" w:type="dxa"/>
              <w:bottom w:w="80" w:type="dxa"/>
              <w:left w:w="100" w:type="dxa"/>
              <w:right w:w="100" w:type="dxa"/>
            </w:tcMar>
          </w:tcPr>
          <w:p>
            <w:pPr>
              <w:jc w:val="right"/>
            </w:pPr>
            <w:r>
              <w:rPr>
                <w:rFonts w:ascii="Calibri" w:hAnsi="Calibri"/>
                <w:color w:val="222222"/>
                <w:sz w:val="18"/>
              </w:rPr>
              <w:t>0.38%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(v) Return on Assets (average - not annualized)</w:t>
            </w:r>
          </w:p>
        </w:tc>
        <w:tc>
          <w:tcPr>
            <w:tcW w:type="dxa" w:w="1872"/>
            <w:shd w:fill="F9FAFB"/>
            <w:tcMar>
              <w:top w:w="80" w:type="dxa"/>
              <w:bottom w:w="80" w:type="dxa"/>
              <w:left w:w="100" w:type="dxa"/>
              <w:right w:w="100" w:type="dxa"/>
            </w:tcMar>
          </w:tcPr>
          <w:p>
            <w:pPr>
              <w:jc w:val="right"/>
            </w:pPr>
            <w:r>
              <w:rPr>
                <w:rFonts w:ascii="Calibri" w:hAnsi="Calibri"/>
                <w:color w:val="222222"/>
                <w:sz w:val="18"/>
              </w:rPr>
              <w:t>0.46%</w:t>
            </w:r>
          </w:p>
        </w:tc>
        <w:tc>
          <w:tcPr>
            <w:tcW w:type="dxa" w:w="1872"/>
            <w:shd w:fill="F9FAFB"/>
            <w:tcMar>
              <w:top w:w="80" w:type="dxa"/>
              <w:bottom w:w="80" w:type="dxa"/>
              <w:left w:w="100" w:type="dxa"/>
              <w:right w:w="100" w:type="dxa"/>
            </w:tcMar>
          </w:tcPr>
          <w:p>
            <w:pPr>
              <w:jc w:val="right"/>
            </w:pPr>
            <w:r>
              <w:rPr>
                <w:rFonts w:ascii="Calibri" w:hAnsi="Calibri"/>
                <w:color w:val="222222"/>
                <w:sz w:val="18"/>
              </w:rPr>
              <w:t>0.48%</w:t>
            </w:r>
          </w:p>
        </w:tc>
        <w:tc>
          <w:tcPr>
            <w:tcW w:type="dxa" w:w="1872"/>
            <w:shd w:fill="F9FAFB"/>
            <w:tcMar>
              <w:top w:w="80" w:type="dxa"/>
              <w:bottom w:w="80" w:type="dxa"/>
              <w:left w:w="100" w:type="dxa"/>
              <w:right w:w="100" w:type="dxa"/>
            </w:tcMar>
          </w:tcPr>
          <w:p>
            <w:pPr>
              <w:jc w:val="right"/>
            </w:pPr>
            <w:r>
              <w:rPr>
                <w:rFonts w:ascii="Calibri" w:hAnsi="Calibri"/>
                <w:color w:val="222222"/>
                <w:sz w:val="18"/>
              </w:rPr>
              <w:t>0.48%</w:t>
            </w:r>
          </w:p>
        </w:tc>
        <w:tc>
          <w:tcPr>
            <w:tcW w:type="dxa" w:w="1872"/>
            <w:shd w:fill="F9FAFB"/>
            <w:tcMar>
              <w:top w:w="80" w:type="dxa"/>
              <w:bottom w:w="80" w:type="dxa"/>
              <w:left w:w="100" w:type="dxa"/>
              <w:right w:w="100" w:type="dxa"/>
            </w:tcMar>
          </w:tcPr>
          <w:p>
            <w:pPr>
              <w:jc w:val="right"/>
            </w:pPr>
            <w:r>
              <w:rPr>
                <w:rFonts w:ascii="Calibri" w:hAnsi="Calibri"/>
                <w:color w:val="222222"/>
                <w:sz w:val="18"/>
              </w:rPr>
              <w:t>1.94%</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(vi) Net Worth (₹ in crore)</w:t>
            </w:r>
          </w:p>
        </w:tc>
        <w:tc>
          <w:tcPr>
            <w:tcW w:type="dxa" w:w="1872"/>
            <w:shd w:fill="FFFFFF"/>
            <w:tcMar>
              <w:top w:w="80" w:type="dxa"/>
              <w:bottom w:w="80" w:type="dxa"/>
              <w:left w:w="100" w:type="dxa"/>
              <w:right w:w="100" w:type="dxa"/>
            </w:tcMar>
          </w:tcPr>
          <w:p>
            <w:pPr>
              <w:jc w:val="right"/>
            </w:pPr>
            <w:r>
              <w:rPr>
                <w:rFonts w:ascii="Calibri" w:hAnsi="Calibri"/>
                <w:color w:val="222222"/>
                <w:sz w:val="18"/>
              </w:rPr>
              <w:t>5,66,201.13</w:t>
            </w:r>
          </w:p>
        </w:tc>
        <w:tc>
          <w:tcPr>
            <w:tcW w:type="dxa" w:w="1872"/>
            <w:shd w:fill="FFFFFF"/>
            <w:tcMar>
              <w:top w:w="80" w:type="dxa"/>
              <w:bottom w:w="80" w:type="dxa"/>
              <w:left w:w="100" w:type="dxa"/>
              <w:right w:w="100" w:type="dxa"/>
            </w:tcMar>
          </w:tcPr>
          <w:p>
            <w:pPr>
              <w:jc w:val="right"/>
            </w:pPr>
            <w:r>
              <w:rPr>
                <w:rFonts w:ascii="Calibri" w:hAnsi="Calibri"/>
                <w:color w:val="222222"/>
                <w:sz w:val="18"/>
              </w:rPr>
              <w:t>5,46,325.46</w:t>
            </w:r>
          </w:p>
        </w:tc>
        <w:tc>
          <w:tcPr>
            <w:tcW w:type="dxa" w:w="1872"/>
            <w:shd w:fill="FFFFFF"/>
            <w:tcMar>
              <w:top w:w="80" w:type="dxa"/>
              <w:bottom w:w="80" w:type="dxa"/>
              <w:left w:w="100" w:type="dxa"/>
              <w:right w:w="100" w:type="dxa"/>
            </w:tcMar>
          </w:tcPr>
          <w:p>
            <w:pPr>
              <w:jc w:val="right"/>
            </w:pPr>
            <w:r>
              <w:rPr>
                <w:rFonts w:ascii="Calibri" w:hAnsi="Calibri"/>
                <w:color w:val="222222"/>
                <w:sz w:val="18"/>
              </w:rPr>
              <w:t>5,08,803.89</w:t>
            </w:r>
          </w:p>
        </w:tc>
        <w:tc>
          <w:tcPr>
            <w:tcW w:type="dxa" w:w="1872"/>
            <w:shd w:fill="FFFFFF"/>
            <w:tcMar>
              <w:top w:w="80" w:type="dxa"/>
              <w:bottom w:w="80" w:type="dxa"/>
              <w:left w:w="100" w:type="dxa"/>
              <w:right w:w="100" w:type="dxa"/>
            </w:tcMar>
          </w:tcPr>
          <w:p>
            <w:pPr>
              <w:jc w:val="right"/>
            </w:pPr>
            <w:r>
              <w:rPr>
                <w:rFonts w:ascii="Calibri" w:hAnsi="Calibri"/>
                <w:color w:val="222222"/>
                <w:sz w:val="18"/>
              </w:rPr>
              <w:t>5,46,325.46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(vii) Outstanding Redeemable Preference Shares</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(viii) Capital Redemption Reserve</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(ix) Debt Equity Ratio</w:t>
            </w:r>
          </w:p>
        </w:tc>
        <w:tc>
          <w:tcPr>
            <w:tcW w:type="dxa" w:w="1872"/>
            <w:shd w:fill="F9FAFB"/>
            <w:tcMar>
              <w:top w:w="80" w:type="dxa"/>
              <w:bottom w:w="80" w:type="dxa"/>
              <w:left w:w="100" w:type="dxa"/>
              <w:right w:w="100" w:type="dxa"/>
            </w:tcMar>
          </w:tcPr>
          <w:p>
            <w:pPr>
              <w:jc w:val="right"/>
            </w:pPr>
            <w:r>
              <w:rPr>
                <w:rFonts w:ascii="Calibri" w:hAnsi="Calibri"/>
                <w:color w:val="222222"/>
                <w:sz w:val="18"/>
              </w:rPr>
              <w:t>0.56</w:t>
            </w:r>
          </w:p>
        </w:tc>
        <w:tc>
          <w:tcPr>
            <w:tcW w:type="dxa" w:w="1872"/>
            <w:shd w:fill="F9FAFB"/>
            <w:tcMar>
              <w:top w:w="80" w:type="dxa"/>
              <w:bottom w:w="80" w:type="dxa"/>
              <w:left w:w="100" w:type="dxa"/>
              <w:right w:w="100" w:type="dxa"/>
            </w:tcMar>
          </w:tcPr>
          <w:p>
            <w:pPr>
              <w:jc w:val="right"/>
            </w:pPr>
            <w:r>
              <w:rPr>
                <w:rFonts w:ascii="Calibri" w:hAnsi="Calibri"/>
                <w:color w:val="222222"/>
                <w:sz w:val="18"/>
              </w:rPr>
              <w:t>0.53</w:t>
            </w:r>
          </w:p>
        </w:tc>
        <w:tc>
          <w:tcPr>
            <w:tcW w:type="dxa" w:w="1872"/>
            <w:shd w:fill="F9FAFB"/>
            <w:tcMar>
              <w:top w:w="80" w:type="dxa"/>
              <w:bottom w:w="80" w:type="dxa"/>
              <w:left w:w="100" w:type="dxa"/>
              <w:right w:w="100" w:type="dxa"/>
            </w:tcMar>
          </w:tcPr>
          <w:p>
            <w:pPr>
              <w:jc w:val="right"/>
            </w:pPr>
            <w:r>
              <w:rPr>
                <w:rFonts w:ascii="Calibri" w:hAnsi="Calibri"/>
                <w:color w:val="222222"/>
                <w:sz w:val="18"/>
              </w:rPr>
              <w:t>0.61</w:t>
            </w:r>
          </w:p>
        </w:tc>
        <w:tc>
          <w:tcPr>
            <w:tcW w:type="dxa" w:w="1872"/>
            <w:shd w:fill="F9FAFB"/>
            <w:tcMar>
              <w:top w:w="80" w:type="dxa"/>
              <w:bottom w:w="80" w:type="dxa"/>
              <w:left w:w="100" w:type="dxa"/>
              <w:right w:w="100" w:type="dxa"/>
            </w:tcMar>
          </w:tcPr>
          <w:p>
            <w:pPr>
              <w:jc w:val="right"/>
            </w:pPr>
            <w:r>
              <w:rPr>
                <w:rFonts w:ascii="Calibri" w:hAnsi="Calibri"/>
                <w:color w:val="222222"/>
                <w:sz w:val="18"/>
              </w:rPr>
              <w:t>0.53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(x) Total Debts to Total Assets (%)</w:t>
            </w:r>
          </w:p>
        </w:tc>
        <w:tc>
          <w:tcPr>
            <w:tcW w:type="dxa" w:w="1872"/>
            <w:shd w:fill="FFFFFF"/>
            <w:tcMar>
              <w:top w:w="80" w:type="dxa"/>
              <w:bottom w:w="80" w:type="dxa"/>
              <w:left w:w="100" w:type="dxa"/>
              <w:right w:w="100" w:type="dxa"/>
            </w:tcMar>
          </w:tcPr>
          <w:p>
            <w:pPr>
              <w:jc w:val="right"/>
            </w:pPr>
            <w:r>
              <w:rPr>
                <w:rFonts w:ascii="Calibri" w:hAnsi="Calibri"/>
                <w:color w:val="222222"/>
                <w:sz w:val="18"/>
              </w:rPr>
              <w:t>10.50%</w:t>
            </w:r>
          </w:p>
        </w:tc>
        <w:tc>
          <w:tcPr>
            <w:tcW w:type="dxa" w:w="1872"/>
            <w:shd w:fill="FFFFFF"/>
            <w:tcMar>
              <w:top w:w="80" w:type="dxa"/>
              <w:bottom w:w="80" w:type="dxa"/>
              <w:left w:w="100" w:type="dxa"/>
              <w:right w:w="100" w:type="dxa"/>
            </w:tcMar>
          </w:tcPr>
          <w:p>
            <w:pPr>
              <w:jc w:val="right"/>
            </w:pPr>
            <w:r>
              <w:rPr>
                <w:rFonts w:ascii="Calibri" w:hAnsi="Calibri"/>
                <w:color w:val="222222"/>
                <w:sz w:val="18"/>
              </w:rPr>
              <w:t>11.21%</w:t>
            </w:r>
          </w:p>
        </w:tc>
        <w:tc>
          <w:tcPr>
            <w:tcW w:type="dxa" w:w="1872"/>
            <w:shd w:fill="FFFFFF"/>
            <w:tcMar>
              <w:top w:w="80" w:type="dxa"/>
              <w:bottom w:w="80" w:type="dxa"/>
              <w:left w:w="100" w:type="dxa"/>
              <w:right w:w="100" w:type="dxa"/>
            </w:tcMar>
          </w:tcPr>
          <w:p>
            <w:pPr>
              <w:jc w:val="right"/>
            </w:pPr>
            <w:r>
              <w:rPr>
                <w:rFonts w:ascii="Calibri" w:hAnsi="Calibri"/>
                <w:color w:val="222222"/>
                <w:sz w:val="18"/>
              </w:rPr>
              <w:t>12.90%</w:t>
            </w:r>
          </w:p>
        </w:tc>
        <w:tc>
          <w:tcPr>
            <w:tcW w:type="dxa" w:w="1872"/>
            <w:shd w:fill="FFFFFF"/>
            <w:tcMar>
              <w:top w:w="80" w:type="dxa"/>
              <w:bottom w:w="80" w:type="dxa"/>
              <w:left w:w="100" w:type="dxa"/>
              <w:right w:w="100" w:type="dxa"/>
            </w:tcMar>
          </w:tcPr>
          <w:p>
            <w:pPr>
              <w:jc w:val="right"/>
            </w:pPr>
            <w:r>
              <w:rPr>
                <w:rFonts w:ascii="Calibri" w:hAnsi="Calibri"/>
                <w:color w:val="222222"/>
                <w:sz w:val="18"/>
              </w:rPr>
              <w:t>11.21%</w:t>
            </w:r>
          </w:p>
        </w:tc>
      </w:tr>
    </w:tbl>
    <w:p>
      <w:pPr>
        <w:spacing w:after="240"/>
      </w:pPr>
    </w:p>
    <w:p>
      <w:pPr>
        <w:pStyle w:val="Heading2"/>
      </w:pPr>
      <w:r>
        <w:t>Table 2: Standalone Segment Information (AS-17 / RBI Guidelines)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pPr>
              <w:jc w:val="left"/>
            </w:pPr>
            <w:r>
              <w:rPr>
                <w:rFonts w:ascii="Calibri" w:hAnsi="Calibri"/>
                <w:b/>
                <w:color w:val="FFFFFF"/>
                <w:sz w:val="19"/>
              </w:rPr>
              <w:t>Segment Particulars</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30.06.2026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30.06.2025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(Full Year)</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 Segment Revenue:</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18,192.38</w:t>
            </w:r>
          </w:p>
        </w:tc>
        <w:tc>
          <w:tcPr>
            <w:tcW w:type="dxa" w:w="1872"/>
            <w:shd w:fill="F9FAFB"/>
            <w:tcMar>
              <w:top w:w="80" w:type="dxa"/>
              <w:bottom w:w="80" w:type="dxa"/>
              <w:left w:w="100" w:type="dxa"/>
              <w:right w:w="100" w:type="dxa"/>
            </w:tcMar>
          </w:tcPr>
          <w:p>
            <w:pPr>
              <w:jc w:val="right"/>
            </w:pPr>
            <w:r>
              <w:rPr>
                <w:rFonts w:ascii="Calibri" w:hAnsi="Calibri"/>
                <w:color w:val="222222"/>
                <w:sz w:val="18"/>
              </w:rPr>
              <w:t>17,295.96</w:t>
            </w:r>
          </w:p>
        </w:tc>
        <w:tc>
          <w:tcPr>
            <w:tcW w:type="dxa" w:w="1872"/>
            <w:shd w:fill="F9FAFB"/>
            <w:tcMar>
              <w:top w:w="80" w:type="dxa"/>
              <w:bottom w:w="80" w:type="dxa"/>
              <w:left w:w="100" w:type="dxa"/>
              <w:right w:w="100" w:type="dxa"/>
            </w:tcMar>
          </w:tcPr>
          <w:p>
            <w:pPr>
              <w:jc w:val="right"/>
            </w:pPr>
            <w:r>
              <w:rPr>
                <w:rFonts w:ascii="Calibri" w:hAnsi="Calibri"/>
                <w:color w:val="222222"/>
                <w:sz w:val="18"/>
              </w:rPr>
              <w:t>28,283.34</w:t>
            </w:r>
          </w:p>
        </w:tc>
        <w:tc>
          <w:tcPr>
            <w:tcW w:type="dxa" w:w="1872"/>
            <w:shd w:fill="F9FAFB"/>
            <w:tcMar>
              <w:top w:w="80" w:type="dxa"/>
              <w:bottom w:w="80" w:type="dxa"/>
              <w:left w:w="100" w:type="dxa"/>
              <w:right w:w="100" w:type="dxa"/>
            </w:tcMar>
          </w:tcPr>
          <w:p>
            <w:pPr>
              <w:jc w:val="right"/>
            </w:pPr>
            <w:r>
              <w:rPr>
                <w:rFonts w:ascii="Calibri" w:hAnsi="Calibri"/>
                <w:color w:val="222222"/>
                <w:sz w:val="18"/>
              </w:rPr>
              <w:t>84,337.48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75,888.80</w:t>
            </w:r>
          </w:p>
        </w:tc>
        <w:tc>
          <w:tcPr>
            <w:tcW w:type="dxa" w:w="1872"/>
            <w:shd w:fill="FFFFFF"/>
            <w:tcMar>
              <w:top w:w="80" w:type="dxa"/>
              <w:bottom w:w="80" w:type="dxa"/>
              <w:left w:w="100" w:type="dxa"/>
              <w:right w:w="100" w:type="dxa"/>
            </w:tcMar>
          </w:tcPr>
          <w:p>
            <w:pPr>
              <w:jc w:val="right"/>
            </w:pPr>
            <w:r>
              <w:rPr>
                <w:rFonts w:ascii="Calibri" w:hAnsi="Calibri"/>
                <w:color w:val="222222"/>
                <w:sz w:val="18"/>
              </w:rPr>
              <w:t>74,757.59</w:t>
            </w:r>
          </w:p>
        </w:tc>
        <w:tc>
          <w:tcPr>
            <w:tcW w:type="dxa" w:w="1872"/>
            <w:shd w:fill="FFFFFF"/>
            <w:tcMar>
              <w:top w:w="80" w:type="dxa"/>
              <w:bottom w:w="80" w:type="dxa"/>
              <w:left w:w="100" w:type="dxa"/>
              <w:right w:w="100" w:type="dxa"/>
            </w:tcMar>
          </w:tcPr>
          <w:p>
            <w:pPr>
              <w:jc w:val="right"/>
            </w:pPr>
            <w:r>
              <w:rPr>
                <w:rFonts w:ascii="Calibri" w:hAnsi="Calibri"/>
                <w:color w:val="222222"/>
                <w:sz w:val="18"/>
              </w:rPr>
              <w:t>75,191.18</w:t>
            </w:r>
          </w:p>
        </w:tc>
        <w:tc>
          <w:tcPr>
            <w:tcW w:type="dxa" w:w="1872"/>
            <w:shd w:fill="FFFFFF"/>
            <w:tcMar>
              <w:top w:w="80" w:type="dxa"/>
              <w:bottom w:w="80" w:type="dxa"/>
              <w:left w:w="100" w:type="dxa"/>
              <w:right w:w="100" w:type="dxa"/>
            </w:tcMar>
          </w:tcPr>
          <w:p>
            <w:pPr>
              <w:jc w:val="right"/>
            </w:pPr>
            <w:r>
              <w:rPr>
                <w:rFonts w:ascii="Calibri" w:hAnsi="Calibri"/>
                <w:color w:val="222222"/>
                <w:sz w:val="18"/>
              </w:rPr>
              <w:t>3,01,853.51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 Digital Banking Units</w:t>
            </w:r>
          </w:p>
        </w:tc>
        <w:tc>
          <w:tcPr>
            <w:tcW w:type="dxa" w:w="1872"/>
            <w:shd w:fill="F9FAFB"/>
            <w:tcMar>
              <w:top w:w="80" w:type="dxa"/>
              <w:bottom w:w="80" w:type="dxa"/>
              <w:left w:w="100" w:type="dxa"/>
              <w:right w:w="100" w:type="dxa"/>
            </w:tcMar>
          </w:tcPr>
          <w:p>
            <w:pPr>
              <w:jc w:val="right"/>
            </w:pPr>
            <w:r>
              <w:rPr>
                <w:rFonts w:ascii="Calibri" w:hAnsi="Calibri"/>
                <w:color w:val="222222"/>
                <w:sz w:val="18"/>
              </w:rPr>
              <w:t>3.39</w:t>
            </w:r>
          </w:p>
        </w:tc>
        <w:tc>
          <w:tcPr>
            <w:tcW w:type="dxa" w:w="1872"/>
            <w:shd w:fill="F9FAFB"/>
            <w:tcMar>
              <w:top w:w="80" w:type="dxa"/>
              <w:bottom w:w="80" w:type="dxa"/>
              <w:left w:w="100" w:type="dxa"/>
              <w:right w:w="100" w:type="dxa"/>
            </w:tcMar>
          </w:tcPr>
          <w:p>
            <w:pPr>
              <w:jc w:val="right"/>
            </w:pPr>
            <w:r>
              <w:rPr>
                <w:rFonts w:ascii="Calibri" w:hAnsi="Calibri"/>
                <w:color w:val="222222"/>
                <w:sz w:val="18"/>
              </w:rPr>
              <w:t>2.76</w:t>
            </w:r>
          </w:p>
        </w:tc>
        <w:tc>
          <w:tcPr>
            <w:tcW w:type="dxa" w:w="1872"/>
            <w:shd w:fill="F9FAFB"/>
            <w:tcMar>
              <w:top w:w="80" w:type="dxa"/>
              <w:bottom w:w="80" w:type="dxa"/>
              <w:left w:w="100" w:type="dxa"/>
              <w:right w:w="100" w:type="dxa"/>
            </w:tcMar>
          </w:tcPr>
          <w:p>
            <w:pPr>
              <w:jc w:val="right"/>
            </w:pPr>
            <w:r>
              <w:rPr>
                <w:rFonts w:ascii="Calibri" w:hAnsi="Calibri"/>
                <w:color w:val="222222"/>
                <w:sz w:val="18"/>
              </w:rPr>
              <w:t>2.49</w:t>
            </w:r>
          </w:p>
        </w:tc>
        <w:tc>
          <w:tcPr>
            <w:tcW w:type="dxa" w:w="1872"/>
            <w:shd w:fill="F9FAFB"/>
            <w:tcMar>
              <w:top w:w="80" w:type="dxa"/>
              <w:bottom w:w="80" w:type="dxa"/>
              <w:left w:w="100" w:type="dxa"/>
              <w:right w:w="100" w:type="dxa"/>
            </w:tcMar>
          </w:tcPr>
          <w:p>
            <w:pPr>
              <w:jc w:val="right"/>
            </w:pPr>
            <w:r>
              <w:rPr>
                <w:rFonts w:ascii="Calibri" w:hAnsi="Calibri"/>
                <w:color w:val="222222"/>
                <w:sz w:val="18"/>
              </w:rPr>
              <w:t>10.37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(ii) Non-Digital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75,885.41</w:t>
            </w:r>
          </w:p>
        </w:tc>
        <w:tc>
          <w:tcPr>
            <w:tcW w:type="dxa" w:w="1872"/>
            <w:shd w:fill="FFFFFF"/>
            <w:tcMar>
              <w:top w:w="80" w:type="dxa"/>
              <w:bottom w:w="80" w:type="dxa"/>
              <w:left w:w="100" w:type="dxa"/>
              <w:right w:w="100" w:type="dxa"/>
            </w:tcMar>
          </w:tcPr>
          <w:p>
            <w:pPr>
              <w:jc w:val="right"/>
            </w:pPr>
            <w:r>
              <w:rPr>
                <w:rFonts w:ascii="Calibri" w:hAnsi="Calibri"/>
                <w:color w:val="222222"/>
                <w:sz w:val="18"/>
              </w:rPr>
              <w:t>74,754.83</w:t>
            </w:r>
          </w:p>
        </w:tc>
        <w:tc>
          <w:tcPr>
            <w:tcW w:type="dxa" w:w="1872"/>
            <w:shd w:fill="FFFFFF"/>
            <w:tcMar>
              <w:top w:w="80" w:type="dxa"/>
              <w:bottom w:w="80" w:type="dxa"/>
              <w:left w:w="100" w:type="dxa"/>
              <w:right w:w="100" w:type="dxa"/>
            </w:tcMar>
          </w:tcPr>
          <w:p>
            <w:pPr>
              <w:jc w:val="right"/>
            </w:pPr>
            <w:r>
              <w:rPr>
                <w:rFonts w:ascii="Calibri" w:hAnsi="Calibri"/>
                <w:color w:val="222222"/>
                <w:sz w:val="18"/>
              </w:rPr>
              <w:t>75,188.69</w:t>
            </w:r>
          </w:p>
        </w:tc>
        <w:tc>
          <w:tcPr>
            <w:tcW w:type="dxa" w:w="1872"/>
            <w:shd w:fill="FFFFFF"/>
            <w:tcMar>
              <w:top w:w="80" w:type="dxa"/>
              <w:bottom w:w="80" w:type="dxa"/>
              <w:left w:w="100" w:type="dxa"/>
              <w:right w:w="100" w:type="dxa"/>
            </w:tcMar>
          </w:tcPr>
          <w:p>
            <w:pPr>
              <w:jc w:val="right"/>
            </w:pPr>
            <w:r>
              <w:rPr>
                <w:rFonts w:ascii="Calibri" w:hAnsi="Calibri"/>
                <w:color w:val="222222"/>
                <w:sz w:val="18"/>
              </w:rPr>
              <w:t>3,01,843.14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48,670.85</w:t>
            </w:r>
          </w:p>
        </w:tc>
        <w:tc>
          <w:tcPr>
            <w:tcW w:type="dxa" w:w="1872"/>
            <w:shd w:fill="F9FAFB"/>
            <w:tcMar>
              <w:top w:w="80" w:type="dxa"/>
              <w:bottom w:w="80" w:type="dxa"/>
              <w:left w:w="100" w:type="dxa"/>
              <w:right w:w="100" w:type="dxa"/>
            </w:tcMar>
          </w:tcPr>
          <w:p>
            <w:pPr>
              <w:jc w:val="right"/>
            </w:pPr>
            <w:r>
              <w:rPr>
                <w:rFonts w:ascii="Calibri" w:hAnsi="Calibri"/>
                <w:color w:val="222222"/>
                <w:sz w:val="18"/>
              </w:rPr>
              <w:t>44,643.71</w:t>
            </w:r>
          </w:p>
        </w:tc>
        <w:tc>
          <w:tcPr>
            <w:tcW w:type="dxa" w:w="1872"/>
            <w:shd w:fill="F9FAFB"/>
            <w:tcMar>
              <w:top w:w="80" w:type="dxa"/>
              <w:bottom w:w="80" w:type="dxa"/>
              <w:left w:w="100" w:type="dxa"/>
              <w:right w:w="100" w:type="dxa"/>
            </w:tcMar>
          </w:tcPr>
          <w:p>
            <w:pPr>
              <w:jc w:val="right"/>
            </w:pPr>
            <w:r>
              <w:rPr>
                <w:rFonts w:ascii="Calibri" w:hAnsi="Calibri"/>
                <w:color w:val="222222"/>
                <w:sz w:val="18"/>
              </w:rPr>
              <w:t>44,790.22</w:t>
            </w:r>
          </w:p>
        </w:tc>
        <w:tc>
          <w:tcPr>
            <w:tcW w:type="dxa" w:w="1872"/>
            <w:shd w:fill="F9FAFB"/>
            <w:tcMar>
              <w:top w:w="80" w:type="dxa"/>
              <w:bottom w:w="80" w:type="dxa"/>
              <w:left w:w="100" w:type="dxa"/>
              <w:right w:w="100" w:type="dxa"/>
            </w:tcMar>
          </w:tcPr>
          <w:p>
            <w:pPr>
              <w:jc w:val="right"/>
            </w:pPr>
            <w:r>
              <w:rPr>
                <w:rFonts w:ascii="Calibri" w:hAnsi="Calibri"/>
                <w:color w:val="222222"/>
                <w:sz w:val="18"/>
              </w:rPr>
              <w:t>1,74,506.30</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9,044.03</w:t>
            </w:r>
          </w:p>
        </w:tc>
        <w:tc>
          <w:tcPr>
            <w:tcW w:type="dxa" w:w="1872"/>
            <w:shd w:fill="FFFFFF"/>
            <w:tcMar>
              <w:top w:w="80" w:type="dxa"/>
              <w:bottom w:w="80" w:type="dxa"/>
              <w:left w:w="100" w:type="dxa"/>
              <w:right w:w="100" w:type="dxa"/>
            </w:tcMar>
          </w:tcPr>
          <w:p>
            <w:pPr>
              <w:jc w:val="right"/>
            </w:pPr>
            <w:r>
              <w:rPr>
                <w:rFonts w:ascii="Calibri" w:hAnsi="Calibri"/>
                <w:color w:val="222222"/>
                <w:sz w:val="18"/>
              </w:rPr>
              <w:t>9,265.09</w:t>
            </w:r>
          </w:p>
        </w:tc>
        <w:tc>
          <w:tcPr>
            <w:tcW w:type="dxa" w:w="1872"/>
            <w:shd w:fill="FFFFFF"/>
            <w:tcMar>
              <w:top w:w="80" w:type="dxa"/>
              <w:bottom w:w="80" w:type="dxa"/>
              <w:left w:w="100" w:type="dxa"/>
              <w:right w:w="100" w:type="dxa"/>
            </w:tcMar>
          </w:tcPr>
          <w:p>
            <w:pPr>
              <w:jc w:val="right"/>
            </w:pPr>
            <w:r>
              <w:rPr>
                <w:rFonts w:ascii="Calibri" w:hAnsi="Calibri"/>
                <w:color w:val="222222"/>
                <w:sz w:val="18"/>
              </w:rPr>
              <w:t>8,693.64</w:t>
            </w:r>
          </w:p>
        </w:tc>
        <w:tc>
          <w:tcPr>
            <w:tcW w:type="dxa" w:w="1872"/>
            <w:shd w:fill="FFFFFF"/>
            <w:tcMar>
              <w:top w:w="80" w:type="dxa"/>
              <w:bottom w:w="80" w:type="dxa"/>
              <w:left w:w="100" w:type="dxa"/>
              <w:right w:w="100" w:type="dxa"/>
            </w:tcMar>
          </w:tcPr>
          <w:p>
            <w:pPr>
              <w:jc w:val="right"/>
            </w:pPr>
            <w:r>
              <w:rPr>
                <w:rFonts w:ascii="Calibri" w:hAnsi="Calibri"/>
                <w:color w:val="222222"/>
                <w:sz w:val="18"/>
              </w:rPr>
              <w:t>36,840.96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Total Segment Revenue</w:t>
            </w:r>
          </w:p>
        </w:tc>
        <w:tc>
          <w:tcPr>
            <w:tcW w:type="dxa" w:w="1872"/>
            <w:shd w:fill="F9FAFB"/>
            <w:tcMar>
              <w:top w:w="80" w:type="dxa"/>
              <w:bottom w:w="80" w:type="dxa"/>
              <w:left w:w="100" w:type="dxa"/>
              <w:right w:w="100" w:type="dxa"/>
            </w:tcMar>
          </w:tcPr>
          <w:p>
            <w:pPr>
              <w:jc w:val="right"/>
            </w:pPr>
            <w:r>
              <w:rPr>
                <w:rFonts w:ascii="Calibri" w:hAnsi="Calibri"/>
                <w:color w:val="222222"/>
                <w:sz w:val="18"/>
              </w:rPr>
              <w:t>1,51,796.06</w:t>
            </w:r>
          </w:p>
        </w:tc>
        <w:tc>
          <w:tcPr>
            <w:tcW w:type="dxa" w:w="1872"/>
            <w:shd w:fill="F9FAFB"/>
            <w:tcMar>
              <w:top w:w="80" w:type="dxa"/>
              <w:bottom w:w="80" w:type="dxa"/>
              <w:left w:w="100" w:type="dxa"/>
              <w:right w:w="100" w:type="dxa"/>
            </w:tcMar>
          </w:tcPr>
          <w:p>
            <w:pPr>
              <w:jc w:val="right"/>
            </w:pPr>
            <w:r>
              <w:rPr>
                <w:rFonts w:ascii="Calibri" w:hAnsi="Calibri"/>
                <w:color w:val="222222"/>
                <w:sz w:val="18"/>
              </w:rPr>
              <w:t>1,45,962.35</w:t>
            </w:r>
          </w:p>
        </w:tc>
        <w:tc>
          <w:tcPr>
            <w:tcW w:type="dxa" w:w="1872"/>
            <w:shd w:fill="F9FAFB"/>
            <w:tcMar>
              <w:top w:w="80" w:type="dxa"/>
              <w:bottom w:w="80" w:type="dxa"/>
              <w:left w:w="100" w:type="dxa"/>
              <w:right w:w="100" w:type="dxa"/>
            </w:tcMar>
          </w:tcPr>
          <w:p>
            <w:pPr>
              <w:jc w:val="right"/>
            </w:pPr>
            <w:r>
              <w:rPr>
                <w:rFonts w:ascii="Calibri" w:hAnsi="Calibri"/>
                <w:color w:val="222222"/>
                <w:sz w:val="18"/>
              </w:rPr>
              <w:t>1,56,958.38</w:t>
            </w:r>
          </w:p>
        </w:tc>
        <w:tc>
          <w:tcPr>
            <w:tcW w:type="dxa" w:w="1872"/>
            <w:shd w:fill="F9FAFB"/>
            <w:tcMar>
              <w:top w:w="80" w:type="dxa"/>
              <w:bottom w:w="80" w:type="dxa"/>
              <w:left w:w="100" w:type="dxa"/>
              <w:right w:w="100" w:type="dxa"/>
            </w:tcMar>
          </w:tcPr>
          <w:p>
            <w:pPr>
              <w:jc w:val="right"/>
            </w:pPr>
            <w:r>
              <w:rPr>
                <w:rFonts w:ascii="Calibri" w:hAnsi="Calibri"/>
                <w:color w:val="222222"/>
                <w:sz w:val="18"/>
              </w:rPr>
              <w:t>5,97,538.25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Less: Inter Segment Revenue</w:t>
            </w:r>
          </w:p>
        </w:tc>
        <w:tc>
          <w:tcPr>
            <w:tcW w:type="dxa" w:w="1872"/>
            <w:shd w:fill="FFFFFF"/>
            <w:tcMar>
              <w:top w:w="80" w:type="dxa"/>
              <w:bottom w:w="80" w:type="dxa"/>
              <w:left w:w="100" w:type="dxa"/>
              <w:right w:w="100" w:type="dxa"/>
            </w:tcMar>
          </w:tcPr>
          <w:p>
            <w:pPr>
              <w:jc w:val="right"/>
            </w:pPr>
            <w:r>
              <w:rPr>
                <w:rFonts w:ascii="Calibri" w:hAnsi="Calibri"/>
                <w:color w:val="222222"/>
                <w:sz w:val="18"/>
              </w:rPr>
              <w:t>59,611.68</w:t>
            </w:r>
          </w:p>
        </w:tc>
        <w:tc>
          <w:tcPr>
            <w:tcW w:type="dxa" w:w="1872"/>
            <w:shd w:fill="FFFFFF"/>
            <w:tcMar>
              <w:top w:w="80" w:type="dxa"/>
              <w:bottom w:w="80" w:type="dxa"/>
              <w:left w:w="100" w:type="dxa"/>
              <w:right w:w="100" w:type="dxa"/>
            </w:tcMar>
          </w:tcPr>
          <w:p>
            <w:pPr>
              <w:jc w:val="right"/>
            </w:pPr>
            <w:r>
              <w:rPr>
                <w:rFonts w:ascii="Calibri" w:hAnsi="Calibri"/>
                <w:color w:val="222222"/>
                <w:sz w:val="18"/>
              </w:rPr>
              <w:t>56,153.45</w:t>
            </w:r>
          </w:p>
        </w:tc>
        <w:tc>
          <w:tcPr>
            <w:tcW w:type="dxa" w:w="1872"/>
            <w:shd w:fill="FFFFFF"/>
            <w:tcMar>
              <w:top w:w="80" w:type="dxa"/>
              <w:bottom w:w="80" w:type="dxa"/>
              <w:left w:w="100" w:type="dxa"/>
              <w:right w:w="100" w:type="dxa"/>
            </w:tcMar>
          </w:tcPr>
          <w:p>
            <w:pPr>
              <w:jc w:val="right"/>
            </w:pPr>
            <w:r>
              <w:rPr>
                <w:rFonts w:ascii="Calibri" w:hAnsi="Calibri"/>
                <w:color w:val="222222"/>
                <w:sz w:val="18"/>
              </w:rPr>
              <w:t>57,758.35</w:t>
            </w:r>
          </w:p>
        </w:tc>
        <w:tc>
          <w:tcPr>
            <w:tcW w:type="dxa" w:w="1872"/>
            <w:shd w:fill="FFFFFF"/>
            <w:tcMar>
              <w:top w:w="80" w:type="dxa"/>
              <w:bottom w:w="80" w:type="dxa"/>
              <w:left w:w="100" w:type="dxa"/>
              <w:right w:w="100" w:type="dxa"/>
            </w:tcMar>
          </w:tcPr>
          <w:p>
            <w:pPr>
              <w:jc w:val="right"/>
            </w:pPr>
            <w:r>
              <w:rPr>
                <w:rFonts w:ascii="Calibri" w:hAnsi="Calibri"/>
                <w:color w:val="222222"/>
                <w:sz w:val="18"/>
              </w:rPr>
              <w:t>2,27,483.60</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Income from Operations</w:t>
            </w:r>
          </w:p>
        </w:tc>
        <w:tc>
          <w:tcPr>
            <w:tcW w:type="dxa" w:w="1872"/>
            <w:shd w:fill="F9FAFB"/>
            <w:tcMar>
              <w:top w:w="80" w:type="dxa"/>
              <w:bottom w:w="80" w:type="dxa"/>
              <w:left w:w="100" w:type="dxa"/>
              <w:right w:w="100" w:type="dxa"/>
            </w:tcMar>
          </w:tcPr>
          <w:p>
            <w:pPr>
              <w:jc w:val="right"/>
            </w:pPr>
            <w:r>
              <w:rPr>
                <w:rFonts w:ascii="Calibri" w:hAnsi="Calibri"/>
                <w:color w:val="222222"/>
                <w:sz w:val="18"/>
              </w:rPr>
              <w:t>92,184.38</w:t>
            </w:r>
          </w:p>
        </w:tc>
        <w:tc>
          <w:tcPr>
            <w:tcW w:type="dxa" w:w="1872"/>
            <w:shd w:fill="F9FAFB"/>
            <w:tcMar>
              <w:top w:w="80" w:type="dxa"/>
              <w:bottom w:w="80" w:type="dxa"/>
              <w:left w:w="100" w:type="dxa"/>
              <w:right w:w="100" w:type="dxa"/>
            </w:tcMar>
          </w:tcPr>
          <w:p>
            <w:pPr>
              <w:jc w:val="right"/>
            </w:pPr>
            <w:r>
              <w:rPr>
                <w:rFonts w:ascii="Calibri" w:hAnsi="Calibri"/>
                <w:color w:val="222222"/>
                <w:sz w:val="18"/>
              </w:rPr>
              <w:t>89,808.90</w:t>
            </w:r>
          </w:p>
        </w:tc>
        <w:tc>
          <w:tcPr>
            <w:tcW w:type="dxa" w:w="1872"/>
            <w:shd w:fill="F9FAFB"/>
            <w:tcMar>
              <w:top w:w="80" w:type="dxa"/>
              <w:bottom w:w="80" w:type="dxa"/>
              <w:left w:w="100" w:type="dxa"/>
              <w:right w:w="100" w:type="dxa"/>
            </w:tcMar>
          </w:tcPr>
          <w:p>
            <w:pPr>
              <w:jc w:val="right"/>
            </w:pPr>
            <w:r>
              <w:rPr>
                <w:rFonts w:ascii="Calibri" w:hAnsi="Calibri"/>
                <w:color w:val="222222"/>
                <w:sz w:val="18"/>
              </w:rPr>
              <w:t>99,200.03</w:t>
            </w:r>
          </w:p>
        </w:tc>
        <w:tc>
          <w:tcPr>
            <w:tcW w:type="dxa" w:w="1872"/>
            <w:shd w:fill="F9FAFB"/>
            <w:tcMar>
              <w:top w:w="80" w:type="dxa"/>
              <w:bottom w:w="80" w:type="dxa"/>
              <w:left w:w="100" w:type="dxa"/>
              <w:right w:w="100" w:type="dxa"/>
            </w:tcMar>
          </w:tcPr>
          <w:p>
            <w:pPr>
              <w:jc w:val="right"/>
            </w:pPr>
            <w:r>
              <w:rPr>
                <w:rFonts w:ascii="Calibri" w:hAnsi="Calibri"/>
                <w:color w:val="222222"/>
                <w:sz w:val="18"/>
              </w:rPr>
              <w:t>3,70,054.65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2. Segment Results (Profit Before Tax):</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2,406.59</w:t>
            </w:r>
          </w:p>
        </w:tc>
        <w:tc>
          <w:tcPr>
            <w:tcW w:type="dxa" w:w="1872"/>
            <w:shd w:fill="F9FAFB"/>
            <w:tcMar>
              <w:top w:w="80" w:type="dxa"/>
              <w:bottom w:w="80" w:type="dxa"/>
              <w:left w:w="100" w:type="dxa"/>
              <w:right w:w="100" w:type="dxa"/>
            </w:tcMar>
          </w:tcPr>
          <w:p>
            <w:pPr>
              <w:jc w:val="right"/>
            </w:pPr>
            <w:r>
              <w:rPr>
                <w:rFonts w:ascii="Calibri" w:hAnsi="Calibri"/>
                <w:color w:val="222222"/>
                <w:sz w:val="18"/>
              </w:rPr>
              <w:t>1,925.23</w:t>
            </w:r>
          </w:p>
        </w:tc>
        <w:tc>
          <w:tcPr>
            <w:tcW w:type="dxa" w:w="1872"/>
            <w:shd w:fill="F9FAFB"/>
            <w:tcMar>
              <w:top w:w="80" w:type="dxa"/>
              <w:bottom w:w="80" w:type="dxa"/>
              <w:left w:w="100" w:type="dxa"/>
              <w:right w:w="100" w:type="dxa"/>
            </w:tcMar>
          </w:tcPr>
          <w:p>
            <w:pPr>
              <w:jc w:val="right"/>
            </w:pPr>
            <w:r>
              <w:rPr>
                <w:rFonts w:ascii="Calibri" w:hAnsi="Calibri"/>
                <w:color w:val="222222"/>
                <w:sz w:val="18"/>
              </w:rPr>
              <w:t>12,776.86</w:t>
            </w:r>
          </w:p>
        </w:tc>
        <w:tc>
          <w:tcPr>
            <w:tcW w:type="dxa" w:w="1872"/>
            <w:shd w:fill="F9FAFB"/>
            <w:tcMar>
              <w:top w:w="80" w:type="dxa"/>
              <w:bottom w:w="80" w:type="dxa"/>
              <w:left w:w="100" w:type="dxa"/>
              <w:right w:w="100" w:type="dxa"/>
            </w:tcMar>
          </w:tcPr>
          <w:p>
            <w:pPr>
              <w:jc w:val="right"/>
            </w:pPr>
            <w:r>
              <w:rPr>
                <w:rFonts w:ascii="Calibri" w:hAnsi="Calibri"/>
                <w:color w:val="222222"/>
                <w:sz w:val="18"/>
              </w:rPr>
              <w:t>21,142.48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10,131.32</w:t>
            </w:r>
          </w:p>
        </w:tc>
        <w:tc>
          <w:tcPr>
            <w:tcW w:type="dxa" w:w="1872"/>
            <w:shd w:fill="FFFFFF"/>
            <w:tcMar>
              <w:top w:w="80" w:type="dxa"/>
              <w:bottom w:w="80" w:type="dxa"/>
              <w:left w:w="100" w:type="dxa"/>
              <w:right w:w="100" w:type="dxa"/>
            </w:tcMar>
          </w:tcPr>
          <w:p>
            <w:pPr>
              <w:jc w:val="right"/>
            </w:pPr>
            <w:r>
              <w:rPr>
                <w:rFonts w:ascii="Calibri" w:hAnsi="Calibri"/>
                <w:color w:val="222222"/>
                <w:sz w:val="18"/>
              </w:rPr>
              <w:t>10,897.98</w:t>
            </w:r>
          </w:p>
        </w:tc>
        <w:tc>
          <w:tcPr>
            <w:tcW w:type="dxa" w:w="1872"/>
            <w:shd w:fill="FFFFFF"/>
            <w:tcMar>
              <w:top w:w="80" w:type="dxa"/>
              <w:bottom w:w="80" w:type="dxa"/>
              <w:left w:w="100" w:type="dxa"/>
              <w:right w:w="100" w:type="dxa"/>
            </w:tcMar>
          </w:tcPr>
          <w:p>
            <w:pPr>
              <w:jc w:val="right"/>
            </w:pPr>
            <w:r>
              <w:rPr>
                <w:rFonts w:ascii="Calibri" w:hAnsi="Calibri"/>
                <w:color w:val="222222"/>
                <w:sz w:val="18"/>
              </w:rPr>
              <w:t>3,381.70</w:t>
            </w:r>
          </w:p>
        </w:tc>
        <w:tc>
          <w:tcPr>
            <w:tcW w:type="dxa" w:w="1872"/>
            <w:shd w:fill="FFFFFF"/>
            <w:tcMar>
              <w:top w:w="80" w:type="dxa"/>
              <w:bottom w:w="80" w:type="dxa"/>
              <w:left w:w="100" w:type="dxa"/>
              <w:right w:w="100" w:type="dxa"/>
            </w:tcMar>
          </w:tcPr>
          <w:p>
            <w:pPr>
              <w:jc w:val="right"/>
            </w:pPr>
            <w:r>
              <w:rPr>
                <w:rFonts w:ascii="Calibri" w:hAnsi="Calibri"/>
                <w:color w:val="222222"/>
                <w:sz w:val="18"/>
              </w:rPr>
              <w:t>32,026.72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 Digital Banking Units</w:t>
            </w:r>
          </w:p>
        </w:tc>
        <w:tc>
          <w:tcPr>
            <w:tcW w:type="dxa" w:w="1872"/>
            <w:shd w:fill="F9FAFB"/>
            <w:tcMar>
              <w:top w:w="80" w:type="dxa"/>
              <w:bottom w:w="80" w:type="dxa"/>
              <w:left w:w="100" w:type="dxa"/>
              <w:right w:w="100" w:type="dxa"/>
            </w:tcMar>
          </w:tcPr>
          <w:p>
            <w:pPr>
              <w:jc w:val="right"/>
            </w:pPr>
            <w:r>
              <w:rPr>
                <w:rFonts w:ascii="Calibri" w:hAnsi="Calibri"/>
                <w:color w:val="222222"/>
                <w:sz w:val="18"/>
              </w:rPr>
              <w:t>0.07</w:t>
            </w:r>
          </w:p>
        </w:tc>
        <w:tc>
          <w:tcPr>
            <w:tcW w:type="dxa" w:w="1872"/>
            <w:shd w:fill="F9FAFB"/>
            <w:tcMar>
              <w:top w:w="80" w:type="dxa"/>
              <w:bottom w:w="80" w:type="dxa"/>
              <w:left w:w="100" w:type="dxa"/>
              <w:right w:w="100" w:type="dxa"/>
            </w:tcMar>
          </w:tcPr>
          <w:p>
            <w:pPr>
              <w:jc w:val="right"/>
            </w:pPr>
            <w:r>
              <w:rPr>
                <w:rFonts w:ascii="Calibri" w:hAnsi="Calibri"/>
                <w:color w:val="222222"/>
                <w:sz w:val="18"/>
              </w:rPr>
              <w:t>(0.56)</w:t>
            </w:r>
          </w:p>
        </w:tc>
        <w:tc>
          <w:tcPr>
            <w:tcW w:type="dxa" w:w="1872"/>
            <w:shd w:fill="F9FAFB"/>
            <w:tcMar>
              <w:top w:w="80" w:type="dxa"/>
              <w:bottom w:w="80" w:type="dxa"/>
              <w:left w:w="100" w:type="dxa"/>
              <w:right w:w="100" w:type="dxa"/>
            </w:tcMar>
          </w:tcPr>
          <w:p>
            <w:pPr>
              <w:jc w:val="right"/>
            </w:pPr>
            <w:r>
              <w:rPr>
                <w:rFonts w:ascii="Calibri" w:hAnsi="Calibri"/>
                <w:color w:val="222222"/>
                <w:sz w:val="18"/>
              </w:rPr>
              <w:t>(0.20)</w:t>
            </w:r>
          </w:p>
        </w:tc>
        <w:tc>
          <w:tcPr>
            <w:tcW w:type="dxa" w:w="1872"/>
            <w:shd w:fill="F9FAFB"/>
            <w:tcMar>
              <w:top w:w="80" w:type="dxa"/>
              <w:bottom w:w="80" w:type="dxa"/>
              <w:left w:w="100" w:type="dxa"/>
              <w:right w:w="100" w:type="dxa"/>
            </w:tcMar>
          </w:tcPr>
          <w:p>
            <w:pPr>
              <w:jc w:val="right"/>
            </w:pPr>
            <w:r>
              <w:rPr>
                <w:rFonts w:ascii="Calibri" w:hAnsi="Calibri"/>
                <w:color w:val="222222"/>
                <w:sz w:val="18"/>
              </w:rPr>
              <w:t>(1.59)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(ii) Non-Digital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10,131.25</w:t>
            </w:r>
          </w:p>
        </w:tc>
        <w:tc>
          <w:tcPr>
            <w:tcW w:type="dxa" w:w="1872"/>
            <w:shd w:fill="FFFFFF"/>
            <w:tcMar>
              <w:top w:w="80" w:type="dxa"/>
              <w:bottom w:w="80" w:type="dxa"/>
              <w:left w:w="100" w:type="dxa"/>
              <w:right w:w="100" w:type="dxa"/>
            </w:tcMar>
          </w:tcPr>
          <w:p>
            <w:pPr>
              <w:jc w:val="right"/>
            </w:pPr>
            <w:r>
              <w:rPr>
                <w:rFonts w:ascii="Calibri" w:hAnsi="Calibri"/>
                <w:color w:val="222222"/>
                <w:sz w:val="18"/>
              </w:rPr>
              <w:t>10,898.54</w:t>
            </w:r>
          </w:p>
        </w:tc>
        <w:tc>
          <w:tcPr>
            <w:tcW w:type="dxa" w:w="1872"/>
            <w:shd w:fill="FFFFFF"/>
            <w:tcMar>
              <w:top w:w="80" w:type="dxa"/>
              <w:bottom w:w="80" w:type="dxa"/>
              <w:left w:w="100" w:type="dxa"/>
              <w:right w:w="100" w:type="dxa"/>
            </w:tcMar>
          </w:tcPr>
          <w:p>
            <w:pPr>
              <w:jc w:val="right"/>
            </w:pPr>
            <w:r>
              <w:rPr>
                <w:rFonts w:ascii="Calibri" w:hAnsi="Calibri"/>
                <w:color w:val="222222"/>
                <w:sz w:val="18"/>
              </w:rPr>
              <w:t>3,381.90</w:t>
            </w:r>
          </w:p>
        </w:tc>
        <w:tc>
          <w:tcPr>
            <w:tcW w:type="dxa" w:w="1872"/>
            <w:shd w:fill="FFFFFF"/>
            <w:tcMar>
              <w:top w:w="80" w:type="dxa"/>
              <w:bottom w:w="80" w:type="dxa"/>
              <w:left w:w="100" w:type="dxa"/>
              <w:right w:w="100" w:type="dxa"/>
            </w:tcMar>
          </w:tcPr>
          <w:p>
            <w:pPr>
              <w:jc w:val="right"/>
            </w:pPr>
            <w:r>
              <w:rPr>
                <w:rFonts w:ascii="Calibri" w:hAnsi="Calibri"/>
                <w:color w:val="222222"/>
                <w:sz w:val="18"/>
              </w:rPr>
              <w:t>32,028.31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10,364.04</w:t>
            </w:r>
          </w:p>
        </w:tc>
        <w:tc>
          <w:tcPr>
            <w:tcW w:type="dxa" w:w="1872"/>
            <w:shd w:fill="F9FAFB"/>
            <w:tcMar>
              <w:top w:w="80" w:type="dxa"/>
              <w:bottom w:w="80" w:type="dxa"/>
              <w:left w:w="100" w:type="dxa"/>
              <w:right w:w="100" w:type="dxa"/>
            </w:tcMar>
          </w:tcPr>
          <w:p>
            <w:pPr>
              <w:jc w:val="right"/>
            </w:pPr>
            <w:r>
              <w:rPr>
                <w:rFonts w:ascii="Calibri" w:hAnsi="Calibri"/>
                <w:color w:val="222222"/>
                <w:sz w:val="18"/>
              </w:rPr>
              <w:t>10,398.96</w:t>
            </w:r>
          </w:p>
        </w:tc>
        <w:tc>
          <w:tcPr>
            <w:tcW w:type="dxa" w:w="1872"/>
            <w:shd w:fill="F9FAFB"/>
            <w:tcMar>
              <w:top w:w="80" w:type="dxa"/>
              <w:bottom w:w="80" w:type="dxa"/>
              <w:left w:w="100" w:type="dxa"/>
              <w:right w:w="100" w:type="dxa"/>
            </w:tcMar>
          </w:tcPr>
          <w:p>
            <w:pPr>
              <w:jc w:val="right"/>
            </w:pPr>
            <w:r>
              <w:rPr>
                <w:rFonts w:ascii="Calibri" w:hAnsi="Calibri"/>
                <w:color w:val="222222"/>
                <w:sz w:val="18"/>
              </w:rPr>
              <w:t>3,698.39</w:t>
            </w:r>
          </w:p>
        </w:tc>
        <w:tc>
          <w:tcPr>
            <w:tcW w:type="dxa" w:w="1872"/>
            <w:shd w:fill="F9FAFB"/>
            <w:tcMar>
              <w:top w:w="80" w:type="dxa"/>
              <w:bottom w:w="80" w:type="dxa"/>
              <w:left w:w="100" w:type="dxa"/>
              <w:right w:w="100" w:type="dxa"/>
            </w:tcMar>
          </w:tcPr>
          <w:p>
            <w:pPr>
              <w:jc w:val="right"/>
            </w:pPr>
            <w:r>
              <w:rPr>
                <w:rFonts w:ascii="Calibri" w:hAnsi="Calibri"/>
                <w:color w:val="222222"/>
                <w:sz w:val="18"/>
              </w:rPr>
              <w:t>33,947.96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2,795.81</w:t>
            </w:r>
          </w:p>
        </w:tc>
        <w:tc>
          <w:tcPr>
            <w:tcW w:type="dxa" w:w="1872"/>
            <w:shd w:fill="FFFFFF"/>
            <w:tcMar>
              <w:top w:w="80" w:type="dxa"/>
              <w:bottom w:w="80" w:type="dxa"/>
              <w:left w:w="100" w:type="dxa"/>
              <w:right w:w="100" w:type="dxa"/>
            </w:tcMar>
          </w:tcPr>
          <w:p>
            <w:pPr>
              <w:jc w:val="right"/>
            </w:pPr>
            <w:r>
              <w:rPr>
                <w:rFonts w:ascii="Calibri" w:hAnsi="Calibri"/>
                <w:color w:val="222222"/>
                <w:sz w:val="18"/>
              </w:rPr>
              <w:t>2,562.40</w:t>
            </w:r>
          </w:p>
        </w:tc>
        <w:tc>
          <w:tcPr>
            <w:tcW w:type="dxa" w:w="1872"/>
            <w:shd w:fill="FFFFFF"/>
            <w:tcMar>
              <w:top w:w="80" w:type="dxa"/>
              <w:bottom w:w="80" w:type="dxa"/>
              <w:left w:w="100" w:type="dxa"/>
              <w:right w:w="100" w:type="dxa"/>
            </w:tcMar>
          </w:tcPr>
          <w:p>
            <w:pPr>
              <w:jc w:val="right"/>
            </w:pPr>
            <w:r>
              <w:rPr>
                <w:rFonts w:ascii="Calibri" w:hAnsi="Calibri"/>
                <w:color w:val="222222"/>
                <w:sz w:val="18"/>
              </w:rPr>
              <w:t>2,016.76</w:t>
            </w:r>
          </w:p>
        </w:tc>
        <w:tc>
          <w:tcPr>
            <w:tcW w:type="dxa" w:w="1872"/>
            <w:shd w:fill="FFFFFF"/>
            <w:tcMar>
              <w:top w:w="80" w:type="dxa"/>
              <w:bottom w:w="80" w:type="dxa"/>
              <w:left w:w="100" w:type="dxa"/>
              <w:right w:w="100" w:type="dxa"/>
            </w:tcMar>
          </w:tcPr>
          <w:p>
            <w:pPr>
              <w:jc w:val="right"/>
            </w:pPr>
            <w:r>
              <w:rPr>
                <w:rFonts w:ascii="Calibri" w:hAnsi="Calibri"/>
                <w:color w:val="222222"/>
                <w:sz w:val="18"/>
              </w:rPr>
              <w:t>10,415.96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e) Unallocated</w:t>
            </w:r>
          </w:p>
        </w:tc>
        <w:tc>
          <w:tcPr>
            <w:tcW w:type="dxa" w:w="1872"/>
            <w:shd w:fill="F9FAFB"/>
            <w:tcMar>
              <w:top w:w="80" w:type="dxa"/>
              <w:bottom w:w="80" w:type="dxa"/>
              <w:left w:w="100" w:type="dxa"/>
              <w:right w:w="100" w:type="dxa"/>
            </w:tcMar>
          </w:tcPr>
          <w:p>
            <w:pPr>
              <w:jc w:val="right"/>
            </w:pPr>
            <w:r>
              <w:rPr>
                <w:rFonts w:ascii="Calibri" w:hAnsi="Calibri"/>
                <w:color w:val="222222"/>
                <w:sz w:val="18"/>
              </w:rPr>
              <w:t>(589.46)</w:t>
            </w:r>
          </w:p>
        </w:tc>
        <w:tc>
          <w:tcPr>
            <w:tcW w:type="dxa" w:w="1872"/>
            <w:shd w:fill="F9FAFB"/>
            <w:tcMar>
              <w:top w:w="80" w:type="dxa"/>
              <w:bottom w:w="80" w:type="dxa"/>
              <w:left w:w="100" w:type="dxa"/>
              <w:right w:w="100" w:type="dxa"/>
            </w:tcMar>
          </w:tcPr>
          <w:p>
            <w:pPr>
              <w:jc w:val="right"/>
            </w:pPr>
            <w:r>
              <w:rPr>
                <w:rFonts w:ascii="Calibri" w:hAnsi="Calibri"/>
                <w:color w:val="222222"/>
                <w:sz w:val="18"/>
              </w:rPr>
              <w:t>(591.22)</w:t>
            </w:r>
          </w:p>
        </w:tc>
        <w:tc>
          <w:tcPr>
            <w:tcW w:type="dxa" w:w="1872"/>
            <w:shd w:fill="F9FAFB"/>
            <w:tcMar>
              <w:top w:w="80" w:type="dxa"/>
              <w:bottom w:w="80" w:type="dxa"/>
              <w:left w:w="100" w:type="dxa"/>
              <w:right w:w="100" w:type="dxa"/>
            </w:tcMar>
          </w:tcPr>
          <w:p>
            <w:pPr>
              <w:jc w:val="right"/>
            </w:pPr>
            <w:r>
              <w:rPr>
                <w:rFonts w:ascii="Calibri" w:hAnsi="Calibri"/>
                <w:color w:val="222222"/>
                <w:sz w:val="18"/>
              </w:rPr>
              <w:t>(581.38)</w:t>
            </w:r>
          </w:p>
        </w:tc>
        <w:tc>
          <w:tcPr>
            <w:tcW w:type="dxa" w:w="1872"/>
            <w:shd w:fill="F9FAFB"/>
            <w:tcMar>
              <w:top w:w="80" w:type="dxa"/>
              <w:bottom w:w="80" w:type="dxa"/>
              <w:left w:w="100" w:type="dxa"/>
              <w:right w:w="100" w:type="dxa"/>
            </w:tcMar>
          </w:tcPr>
          <w:p>
            <w:pPr>
              <w:jc w:val="right"/>
            </w:pPr>
            <w:r>
              <w:rPr>
                <w:rFonts w:ascii="Calibri" w:hAnsi="Calibri"/>
                <w:color w:val="222222"/>
                <w:sz w:val="18"/>
              </w:rPr>
              <w:t>(2,364.43)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Total Profit Before Tax</w:t>
            </w:r>
          </w:p>
        </w:tc>
        <w:tc>
          <w:tcPr>
            <w:tcW w:type="dxa" w:w="1872"/>
            <w:shd w:fill="FFFFFF"/>
            <w:tcMar>
              <w:top w:w="80" w:type="dxa"/>
              <w:bottom w:w="80" w:type="dxa"/>
              <w:left w:w="100" w:type="dxa"/>
              <w:right w:w="100" w:type="dxa"/>
            </w:tcMar>
          </w:tcPr>
          <w:p>
            <w:pPr>
              <w:jc w:val="right"/>
            </w:pPr>
            <w:r>
              <w:rPr>
                <w:rFonts w:ascii="Calibri" w:hAnsi="Calibri"/>
                <w:color w:val="222222"/>
                <w:sz w:val="18"/>
              </w:rPr>
              <w:t>25,108.30</w:t>
            </w:r>
          </w:p>
        </w:tc>
        <w:tc>
          <w:tcPr>
            <w:tcW w:type="dxa" w:w="1872"/>
            <w:shd w:fill="FFFFFF"/>
            <w:tcMar>
              <w:top w:w="80" w:type="dxa"/>
              <w:bottom w:w="80" w:type="dxa"/>
              <w:left w:w="100" w:type="dxa"/>
              <w:right w:w="100" w:type="dxa"/>
            </w:tcMar>
          </w:tcPr>
          <w:p>
            <w:pPr>
              <w:jc w:val="right"/>
            </w:pPr>
            <w:r>
              <w:rPr>
                <w:rFonts w:ascii="Calibri" w:hAnsi="Calibri"/>
                <w:color w:val="222222"/>
                <w:sz w:val="18"/>
              </w:rPr>
              <w:t>25,193.35</w:t>
            </w:r>
          </w:p>
        </w:tc>
        <w:tc>
          <w:tcPr>
            <w:tcW w:type="dxa" w:w="1872"/>
            <w:shd w:fill="FFFFFF"/>
            <w:tcMar>
              <w:top w:w="80" w:type="dxa"/>
              <w:bottom w:w="80" w:type="dxa"/>
              <w:left w:w="100" w:type="dxa"/>
              <w:right w:w="100" w:type="dxa"/>
            </w:tcMar>
          </w:tcPr>
          <w:p>
            <w:pPr>
              <w:jc w:val="right"/>
            </w:pPr>
            <w:r>
              <w:rPr>
                <w:rFonts w:ascii="Calibri" w:hAnsi="Calibri"/>
                <w:color w:val="222222"/>
                <w:sz w:val="18"/>
              </w:rPr>
              <w:t>21,292.33</w:t>
            </w:r>
          </w:p>
        </w:tc>
        <w:tc>
          <w:tcPr>
            <w:tcW w:type="dxa" w:w="1872"/>
            <w:shd w:fill="FFFFFF"/>
            <w:tcMar>
              <w:top w:w="80" w:type="dxa"/>
              <w:bottom w:w="80" w:type="dxa"/>
              <w:left w:w="100" w:type="dxa"/>
              <w:right w:w="100" w:type="dxa"/>
            </w:tcMar>
          </w:tcPr>
          <w:p>
            <w:pPr>
              <w:jc w:val="right"/>
            </w:pPr>
            <w:r>
              <w:rPr>
                <w:rFonts w:ascii="Calibri" w:hAnsi="Calibri"/>
                <w:color w:val="222222"/>
                <w:sz w:val="18"/>
              </w:rPr>
              <w:t>95,168.69</w:t>
            </w:r>
          </w:p>
        </w:tc>
      </w:tr>
      <w:tr>
        <w:tc>
          <w:tcPr>
            <w:tcW w:type="dxa" w:w="1872"/>
            <w:shd w:fill="F9FAFB"/>
            <w:tcMar>
              <w:top w:w="80" w:type="dxa"/>
              <w:bottom w:w="80" w:type="dxa"/>
              <w:left w:w="100" w:type="dxa"/>
              <w:right w:w="100" w:type="dxa"/>
            </w:tcMar>
          </w:tcPr>
          <w:p>
            <w:pPr>
              <w:jc w:val="left"/>
            </w:pPr>
            <w:r>
              <w:rPr>
                <w:rFonts w:ascii="Calibri" w:hAnsi="Calibri"/>
                <w:color w:val="222222"/>
                <w:sz w:val="18"/>
              </w:rPr>
              <w:t>3. Segment Assets:</w:t>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FFFFF"/>
            <w:tcMar>
              <w:top w:w="80" w:type="dxa"/>
              <w:bottom w:w="80" w:type="dxa"/>
              <w:left w:w="100" w:type="dxa"/>
              <w:right w:w="100" w:type="dxa"/>
            </w:tcMar>
          </w:tcPr>
          <w:p>
            <w:pPr>
              <w:jc w:val="right"/>
            </w:pPr>
            <w:r>
              <w:rPr>
                <w:rFonts w:ascii="Calibri" w:hAnsi="Calibri"/>
                <w:color w:val="222222"/>
                <w:sz w:val="18"/>
              </w:rPr>
              <w:t>10,86,021.85</w:t>
            </w:r>
          </w:p>
        </w:tc>
        <w:tc>
          <w:tcPr>
            <w:tcW w:type="dxa" w:w="1872"/>
            <w:shd w:fill="FFFFFF"/>
            <w:tcMar>
              <w:top w:w="80" w:type="dxa"/>
              <w:bottom w:w="80" w:type="dxa"/>
              <w:left w:w="100" w:type="dxa"/>
              <w:right w:w="100" w:type="dxa"/>
            </w:tcMar>
          </w:tcPr>
          <w:p>
            <w:pPr>
              <w:jc w:val="right"/>
            </w:pPr>
            <w:r>
              <w:rPr>
                <w:rFonts w:ascii="Calibri" w:hAnsi="Calibri"/>
                <w:color w:val="222222"/>
                <w:sz w:val="18"/>
              </w:rPr>
              <w:t>11,49,929.44</w:t>
            </w:r>
          </w:p>
        </w:tc>
        <w:tc>
          <w:tcPr>
            <w:tcW w:type="dxa" w:w="1872"/>
            <w:shd w:fill="FFFFFF"/>
            <w:tcMar>
              <w:top w:w="80" w:type="dxa"/>
              <w:bottom w:w="80" w:type="dxa"/>
              <w:left w:w="100" w:type="dxa"/>
              <w:right w:w="100" w:type="dxa"/>
            </w:tcMar>
          </w:tcPr>
          <w:p>
            <w:pPr>
              <w:jc w:val="right"/>
            </w:pPr>
            <w:r>
              <w:rPr>
                <w:rFonts w:ascii="Calibri" w:hAnsi="Calibri"/>
                <w:color w:val="222222"/>
                <w:sz w:val="18"/>
              </w:rPr>
              <w:t>10,24,344.73</w:t>
            </w:r>
          </w:p>
        </w:tc>
        <w:tc>
          <w:tcPr>
            <w:tcW w:type="dxa" w:w="1872"/>
            <w:shd w:fill="FFFFFF"/>
            <w:tcMar>
              <w:top w:w="80" w:type="dxa"/>
              <w:bottom w:w="80" w:type="dxa"/>
              <w:left w:w="100" w:type="dxa"/>
              <w:right w:w="100" w:type="dxa"/>
            </w:tcMar>
          </w:tcPr>
          <w:p>
            <w:pPr>
              <w:jc w:val="right"/>
            </w:pPr>
            <w:r>
              <w:rPr>
                <w:rFonts w:ascii="Calibri" w:hAnsi="Calibri"/>
                <w:color w:val="222222"/>
                <w:sz w:val="18"/>
              </w:rPr>
              <w:t>11,49,929.44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b) Retail Banking (incl. Digital)</w:t>
            </w:r>
          </w:p>
        </w:tc>
        <w:tc>
          <w:tcPr>
            <w:tcW w:type="dxa" w:w="1872"/>
            <w:shd w:fill="F9FAFB"/>
            <w:tcMar>
              <w:top w:w="80" w:type="dxa"/>
              <w:bottom w:w="80" w:type="dxa"/>
              <w:left w:w="100" w:type="dxa"/>
              <w:right w:w="100" w:type="dxa"/>
            </w:tcMar>
          </w:tcPr>
          <w:p>
            <w:pPr>
              <w:jc w:val="right"/>
            </w:pPr>
            <w:r>
              <w:rPr>
                <w:rFonts w:ascii="Calibri" w:hAnsi="Calibri"/>
                <w:color w:val="222222"/>
                <w:sz w:val="18"/>
              </w:rPr>
              <w:t>16,18,976.54</w:t>
            </w:r>
          </w:p>
        </w:tc>
        <w:tc>
          <w:tcPr>
            <w:tcW w:type="dxa" w:w="1872"/>
            <w:shd w:fill="F9FAFB"/>
            <w:tcMar>
              <w:top w:w="80" w:type="dxa"/>
              <w:bottom w:w="80" w:type="dxa"/>
              <w:left w:w="100" w:type="dxa"/>
              <w:right w:w="100" w:type="dxa"/>
            </w:tcMar>
          </w:tcPr>
          <w:p>
            <w:pPr>
              <w:jc w:val="right"/>
            </w:pPr>
            <w:r>
              <w:rPr>
                <w:rFonts w:ascii="Calibri" w:hAnsi="Calibri"/>
                <w:color w:val="222222"/>
                <w:sz w:val="18"/>
              </w:rPr>
              <w:t>15,80,887.11</w:t>
            </w:r>
          </w:p>
        </w:tc>
        <w:tc>
          <w:tcPr>
            <w:tcW w:type="dxa" w:w="1872"/>
            <w:shd w:fill="F9FAFB"/>
            <w:tcMar>
              <w:top w:w="80" w:type="dxa"/>
              <w:bottom w:w="80" w:type="dxa"/>
              <w:left w:w="100" w:type="dxa"/>
              <w:right w:w="100" w:type="dxa"/>
            </w:tcMar>
          </w:tcPr>
          <w:p>
            <w:pPr>
              <w:jc w:val="right"/>
            </w:pPr>
            <w:r>
              <w:rPr>
                <w:rFonts w:ascii="Calibri" w:hAnsi="Calibri"/>
                <w:color w:val="222222"/>
                <w:sz w:val="18"/>
              </w:rPr>
              <w:t>15,28,135.60</w:t>
            </w:r>
          </w:p>
        </w:tc>
        <w:tc>
          <w:tcPr>
            <w:tcW w:type="dxa" w:w="1872"/>
            <w:shd w:fill="F9FAFB"/>
            <w:tcMar>
              <w:top w:w="80" w:type="dxa"/>
              <w:bottom w:w="80" w:type="dxa"/>
              <w:left w:w="100" w:type="dxa"/>
              <w:right w:w="100" w:type="dxa"/>
            </w:tcMar>
          </w:tcPr>
          <w:p>
            <w:pPr>
              <w:jc w:val="right"/>
            </w:pPr>
            <w:r>
              <w:rPr>
                <w:rFonts w:ascii="Calibri" w:hAnsi="Calibri"/>
                <w:color w:val="222222"/>
                <w:sz w:val="18"/>
              </w:rPr>
              <w:t>15,80,887.11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15,59,292.84</w:t>
            </w:r>
          </w:p>
        </w:tc>
        <w:tc>
          <w:tcPr>
            <w:tcW w:type="dxa" w:w="1872"/>
            <w:shd w:fill="FFFFFF"/>
            <w:tcMar>
              <w:top w:w="80" w:type="dxa"/>
              <w:bottom w:w="80" w:type="dxa"/>
              <w:left w:w="100" w:type="dxa"/>
              <w:right w:w="100" w:type="dxa"/>
            </w:tcMar>
          </w:tcPr>
          <w:p>
            <w:pPr>
              <w:jc w:val="right"/>
            </w:pPr>
            <w:r>
              <w:rPr>
                <w:rFonts w:ascii="Calibri" w:hAnsi="Calibri"/>
                <w:color w:val="222222"/>
                <w:sz w:val="18"/>
              </w:rPr>
              <w:t>14,99,816.13</w:t>
            </w:r>
          </w:p>
        </w:tc>
        <w:tc>
          <w:tcPr>
            <w:tcW w:type="dxa" w:w="1872"/>
            <w:shd w:fill="FFFFFF"/>
            <w:tcMar>
              <w:top w:w="80" w:type="dxa"/>
              <w:bottom w:w="80" w:type="dxa"/>
              <w:left w:w="100" w:type="dxa"/>
              <w:right w:w="100" w:type="dxa"/>
            </w:tcMar>
          </w:tcPr>
          <w:p>
            <w:pPr>
              <w:jc w:val="right"/>
            </w:pPr>
            <w:r>
              <w:rPr>
                <w:rFonts w:ascii="Calibri" w:hAnsi="Calibri"/>
                <w:color w:val="222222"/>
                <w:sz w:val="18"/>
              </w:rPr>
              <w:t>12,69,139.82</w:t>
            </w:r>
          </w:p>
        </w:tc>
        <w:tc>
          <w:tcPr>
            <w:tcW w:type="dxa" w:w="1872"/>
            <w:shd w:fill="FFFFFF"/>
            <w:tcMar>
              <w:top w:w="80" w:type="dxa"/>
              <w:bottom w:w="80" w:type="dxa"/>
              <w:left w:w="100" w:type="dxa"/>
              <w:right w:w="100" w:type="dxa"/>
            </w:tcMar>
          </w:tcPr>
          <w:p>
            <w:pPr>
              <w:jc w:val="right"/>
            </w:pPr>
            <w:r>
              <w:rPr>
                <w:rFonts w:ascii="Calibri" w:hAnsi="Calibri"/>
                <w:color w:val="222222"/>
                <w:sz w:val="18"/>
              </w:rPr>
              <w:t>14,99,816.13</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9FAFB"/>
            <w:tcMar>
              <w:top w:w="80" w:type="dxa"/>
              <w:bottom w:w="80" w:type="dxa"/>
              <w:left w:w="100" w:type="dxa"/>
              <w:right w:w="100" w:type="dxa"/>
            </w:tcMar>
          </w:tcPr>
          <w:p>
            <w:pPr>
              <w:jc w:val="right"/>
            </w:pPr>
            <w:r>
              <w:rPr>
                <w:rFonts w:ascii="Calibri" w:hAnsi="Calibri"/>
                <w:color w:val="222222"/>
                <w:sz w:val="18"/>
              </w:rPr>
              <w:t>1,15,884.08</w:t>
            </w:r>
          </w:p>
        </w:tc>
        <w:tc>
          <w:tcPr>
            <w:tcW w:type="dxa" w:w="1872"/>
            <w:shd w:fill="F9FAFB"/>
            <w:tcMar>
              <w:top w:w="80" w:type="dxa"/>
              <w:bottom w:w="80" w:type="dxa"/>
              <w:left w:w="100" w:type="dxa"/>
              <w:right w:w="100" w:type="dxa"/>
            </w:tcMar>
          </w:tcPr>
          <w:p>
            <w:pPr>
              <w:jc w:val="right"/>
            </w:pPr>
            <w:r>
              <w:rPr>
                <w:rFonts w:ascii="Calibri" w:hAnsi="Calibri"/>
                <w:color w:val="222222"/>
                <w:sz w:val="18"/>
              </w:rPr>
              <w:t>1,12,867.13</w:t>
            </w:r>
          </w:p>
        </w:tc>
        <w:tc>
          <w:tcPr>
            <w:tcW w:type="dxa" w:w="1872"/>
            <w:shd w:fill="F9FAFB"/>
            <w:tcMar>
              <w:top w:w="80" w:type="dxa"/>
              <w:bottom w:w="80" w:type="dxa"/>
              <w:left w:w="100" w:type="dxa"/>
              <w:right w:w="100" w:type="dxa"/>
            </w:tcMar>
          </w:tcPr>
          <w:p>
            <w:pPr>
              <w:jc w:val="right"/>
            </w:pPr>
            <w:r>
              <w:rPr>
                <w:rFonts w:ascii="Calibri" w:hAnsi="Calibri"/>
                <w:color w:val="222222"/>
                <w:sz w:val="18"/>
              </w:rPr>
              <w:t>1,10,854.88</w:t>
            </w:r>
          </w:p>
        </w:tc>
        <w:tc>
          <w:tcPr>
            <w:tcW w:type="dxa" w:w="1872"/>
            <w:shd w:fill="F9FAFB"/>
            <w:tcMar>
              <w:top w:w="80" w:type="dxa"/>
              <w:bottom w:w="80" w:type="dxa"/>
              <w:left w:w="100" w:type="dxa"/>
              <w:right w:w="100" w:type="dxa"/>
            </w:tcMar>
          </w:tcPr>
          <w:p>
            <w:pPr>
              <w:jc w:val="right"/>
            </w:pPr>
            <w:r>
              <w:rPr>
                <w:rFonts w:ascii="Calibri" w:hAnsi="Calibri"/>
                <w:color w:val="222222"/>
                <w:sz w:val="18"/>
              </w:rPr>
              <w:t>1,12,867.13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e) Unallocated</w:t>
            </w:r>
          </w:p>
        </w:tc>
        <w:tc>
          <w:tcPr>
            <w:tcW w:type="dxa" w:w="1872"/>
            <w:shd w:fill="FFFFFF"/>
            <w:tcMar>
              <w:top w:w="80" w:type="dxa"/>
              <w:bottom w:w="80" w:type="dxa"/>
              <w:left w:w="100" w:type="dxa"/>
              <w:right w:w="100" w:type="dxa"/>
            </w:tcMar>
          </w:tcPr>
          <w:p>
            <w:pPr>
              <w:jc w:val="right"/>
            </w:pPr>
            <w:r>
              <w:rPr>
                <w:rFonts w:ascii="Calibri" w:hAnsi="Calibri"/>
                <w:color w:val="222222"/>
                <w:sz w:val="18"/>
              </w:rPr>
              <w:t>17,285.97</w:t>
            </w:r>
          </w:p>
        </w:tc>
        <w:tc>
          <w:tcPr>
            <w:tcW w:type="dxa" w:w="1872"/>
            <w:shd w:fill="FFFFFF"/>
            <w:tcMar>
              <w:top w:w="80" w:type="dxa"/>
              <w:bottom w:w="80" w:type="dxa"/>
              <w:left w:w="100" w:type="dxa"/>
              <w:right w:w="100" w:type="dxa"/>
            </w:tcMar>
          </w:tcPr>
          <w:p>
            <w:pPr>
              <w:jc w:val="right"/>
            </w:pPr>
            <w:r>
              <w:rPr>
                <w:rFonts w:ascii="Calibri" w:hAnsi="Calibri"/>
                <w:color w:val="222222"/>
                <w:sz w:val="18"/>
              </w:rPr>
              <w:t>21,386.51</w:t>
            </w:r>
          </w:p>
        </w:tc>
        <w:tc>
          <w:tcPr>
            <w:tcW w:type="dxa" w:w="1872"/>
            <w:shd w:fill="FFFFFF"/>
            <w:tcMar>
              <w:top w:w="80" w:type="dxa"/>
              <w:bottom w:w="80" w:type="dxa"/>
              <w:left w:w="100" w:type="dxa"/>
              <w:right w:w="100" w:type="dxa"/>
            </w:tcMar>
          </w:tcPr>
          <w:p>
            <w:pPr>
              <w:jc w:val="right"/>
            </w:pPr>
            <w:r>
              <w:rPr>
                <w:rFonts w:ascii="Calibri" w:hAnsi="Calibri"/>
                <w:color w:val="222222"/>
                <w:sz w:val="18"/>
              </w:rPr>
              <w:t>21,601.63</w:t>
            </w:r>
          </w:p>
        </w:tc>
        <w:tc>
          <w:tcPr>
            <w:tcW w:type="dxa" w:w="1872"/>
            <w:shd w:fill="FFFFFF"/>
            <w:tcMar>
              <w:top w:w="80" w:type="dxa"/>
              <w:bottom w:w="80" w:type="dxa"/>
              <w:left w:w="100" w:type="dxa"/>
              <w:right w:w="100" w:type="dxa"/>
            </w:tcMar>
          </w:tcPr>
          <w:p>
            <w:pPr>
              <w:jc w:val="right"/>
            </w:pPr>
            <w:r>
              <w:rPr>
                <w:rFonts w:ascii="Calibri" w:hAnsi="Calibri"/>
                <w:color w:val="222222"/>
                <w:sz w:val="18"/>
              </w:rPr>
              <w:t>21,386.51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Total Segment Assets</w:t>
            </w:r>
          </w:p>
        </w:tc>
        <w:tc>
          <w:tcPr>
            <w:tcW w:type="dxa" w:w="1872"/>
            <w:shd w:fill="F9FAFB"/>
            <w:tcMar>
              <w:top w:w="80" w:type="dxa"/>
              <w:bottom w:w="80" w:type="dxa"/>
              <w:left w:w="100" w:type="dxa"/>
              <w:right w:w="100" w:type="dxa"/>
            </w:tcMar>
          </w:tcPr>
          <w:p>
            <w:pPr>
              <w:jc w:val="right"/>
            </w:pPr>
            <w:r>
              <w:rPr>
                <w:rFonts w:ascii="Calibri" w:hAnsi="Calibri"/>
                <w:color w:val="222222"/>
                <w:sz w:val="18"/>
              </w:rPr>
              <w:t>43,97,461.28</w:t>
            </w:r>
          </w:p>
        </w:tc>
        <w:tc>
          <w:tcPr>
            <w:tcW w:type="dxa" w:w="1872"/>
            <w:shd w:fill="F9FAFB"/>
            <w:tcMar>
              <w:top w:w="80" w:type="dxa"/>
              <w:bottom w:w="80" w:type="dxa"/>
              <w:left w:w="100" w:type="dxa"/>
              <w:right w:w="100" w:type="dxa"/>
            </w:tcMar>
          </w:tcPr>
          <w:p>
            <w:pPr>
              <w:jc w:val="right"/>
            </w:pPr>
            <w:r>
              <w:rPr>
                <w:rFonts w:ascii="Calibri" w:hAnsi="Calibri"/>
                <w:color w:val="222222"/>
                <w:sz w:val="18"/>
              </w:rPr>
              <w:t>43,64,886.32</w:t>
            </w:r>
          </w:p>
        </w:tc>
        <w:tc>
          <w:tcPr>
            <w:tcW w:type="dxa" w:w="1872"/>
            <w:shd w:fill="F9FAFB"/>
            <w:tcMar>
              <w:top w:w="80" w:type="dxa"/>
              <w:bottom w:w="80" w:type="dxa"/>
              <w:left w:w="100" w:type="dxa"/>
              <w:right w:w="100" w:type="dxa"/>
            </w:tcMar>
          </w:tcPr>
          <w:p>
            <w:pPr>
              <w:jc w:val="right"/>
            </w:pPr>
            <w:r>
              <w:rPr>
                <w:rFonts w:ascii="Calibri" w:hAnsi="Calibri"/>
                <w:color w:val="222222"/>
                <w:sz w:val="18"/>
              </w:rPr>
              <w:t>39,54,076.66</w:t>
            </w:r>
          </w:p>
        </w:tc>
        <w:tc>
          <w:tcPr>
            <w:tcW w:type="dxa" w:w="1872"/>
            <w:shd w:fill="F9FAFB"/>
            <w:tcMar>
              <w:top w:w="80" w:type="dxa"/>
              <w:bottom w:w="80" w:type="dxa"/>
              <w:left w:w="100" w:type="dxa"/>
              <w:right w:w="100" w:type="dxa"/>
            </w:tcMar>
          </w:tcPr>
          <w:p>
            <w:pPr>
              <w:jc w:val="right"/>
            </w:pPr>
            <w:r>
              <w:rPr>
                <w:rFonts w:ascii="Calibri" w:hAnsi="Calibri"/>
                <w:color w:val="222222"/>
                <w:sz w:val="18"/>
              </w:rPr>
              <w:t>43,64,886.32</w:t>
            </w:r>
          </w:p>
        </w:tc>
      </w:tr>
      <w:tr>
        <w:tc>
          <w:tcPr>
            <w:tcW w:type="dxa" w:w="1872"/>
            <w:shd w:fill="FFFFFF"/>
            <w:tcMar>
              <w:top w:w="80" w:type="dxa"/>
              <w:bottom w:w="80" w:type="dxa"/>
              <w:left w:w="100" w:type="dxa"/>
              <w:right w:w="100" w:type="dxa"/>
            </w:tcMar>
          </w:tcPr>
          <w:p>
            <w:pPr>
              <w:jc w:val="left"/>
            </w:pPr>
            <w:r>
              <w:rPr>
                <w:rFonts w:ascii="Calibri" w:hAnsi="Calibri"/>
                <w:color w:val="222222"/>
                <w:sz w:val="18"/>
              </w:rPr>
              <w:t>4. Segment Liabilities:</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78,998.60</w:t>
            </w:r>
          </w:p>
        </w:tc>
        <w:tc>
          <w:tcPr>
            <w:tcW w:type="dxa" w:w="1872"/>
            <w:shd w:fill="F9FAFB"/>
            <w:tcMar>
              <w:top w:w="80" w:type="dxa"/>
              <w:bottom w:w="80" w:type="dxa"/>
              <w:left w:w="100" w:type="dxa"/>
              <w:right w:w="100" w:type="dxa"/>
            </w:tcMar>
          </w:tcPr>
          <w:p>
            <w:pPr>
              <w:jc w:val="right"/>
            </w:pPr>
            <w:r>
              <w:rPr>
                <w:rFonts w:ascii="Calibri" w:hAnsi="Calibri"/>
                <w:color w:val="222222"/>
                <w:sz w:val="18"/>
              </w:rPr>
              <w:t>98,273.66</w:t>
            </w:r>
          </w:p>
        </w:tc>
        <w:tc>
          <w:tcPr>
            <w:tcW w:type="dxa" w:w="1872"/>
            <w:shd w:fill="F9FAFB"/>
            <w:tcMar>
              <w:top w:w="80" w:type="dxa"/>
              <w:bottom w:w="80" w:type="dxa"/>
              <w:left w:w="100" w:type="dxa"/>
              <w:right w:w="100" w:type="dxa"/>
            </w:tcMar>
          </w:tcPr>
          <w:p>
            <w:pPr>
              <w:jc w:val="right"/>
            </w:pPr>
            <w:r>
              <w:rPr>
                <w:rFonts w:ascii="Calibri" w:hAnsi="Calibri"/>
                <w:color w:val="222222"/>
                <w:sz w:val="18"/>
              </w:rPr>
              <w:t>84,025.64</w:t>
            </w:r>
          </w:p>
        </w:tc>
        <w:tc>
          <w:tcPr>
            <w:tcW w:type="dxa" w:w="1872"/>
            <w:shd w:fill="F9FAFB"/>
            <w:tcMar>
              <w:top w:w="80" w:type="dxa"/>
              <w:bottom w:w="80" w:type="dxa"/>
              <w:left w:w="100" w:type="dxa"/>
              <w:right w:w="100" w:type="dxa"/>
            </w:tcMar>
          </w:tcPr>
          <w:p>
            <w:pPr>
              <w:jc w:val="right"/>
            </w:pPr>
            <w:r>
              <w:rPr>
                <w:rFonts w:ascii="Calibri" w:hAnsi="Calibri"/>
                <w:color w:val="222222"/>
                <w:sz w:val="18"/>
              </w:rPr>
              <w:t>98,273.66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 (incl. Digital)</w:t>
            </w:r>
          </w:p>
        </w:tc>
        <w:tc>
          <w:tcPr>
            <w:tcW w:type="dxa" w:w="1872"/>
            <w:shd w:fill="FFFFFF"/>
            <w:tcMar>
              <w:top w:w="80" w:type="dxa"/>
              <w:bottom w:w="80" w:type="dxa"/>
              <w:left w:w="100" w:type="dxa"/>
              <w:right w:w="100" w:type="dxa"/>
            </w:tcMar>
          </w:tcPr>
          <w:p>
            <w:pPr>
              <w:jc w:val="right"/>
            </w:pPr>
            <w:r>
              <w:rPr>
                <w:rFonts w:ascii="Calibri" w:hAnsi="Calibri"/>
                <w:color w:val="222222"/>
                <w:sz w:val="18"/>
              </w:rPr>
              <w:t>25,32,744.34</w:t>
            </w:r>
          </w:p>
        </w:tc>
        <w:tc>
          <w:tcPr>
            <w:tcW w:type="dxa" w:w="1872"/>
            <w:shd w:fill="FFFFFF"/>
            <w:tcMar>
              <w:top w:w="80" w:type="dxa"/>
              <w:bottom w:w="80" w:type="dxa"/>
              <w:left w:w="100" w:type="dxa"/>
              <w:right w:w="100" w:type="dxa"/>
            </w:tcMar>
          </w:tcPr>
          <w:p>
            <w:pPr>
              <w:jc w:val="right"/>
            </w:pPr>
            <w:r>
              <w:rPr>
                <w:rFonts w:ascii="Calibri" w:hAnsi="Calibri"/>
                <w:color w:val="222222"/>
                <w:sz w:val="18"/>
              </w:rPr>
              <w:t>25,28,789.64</w:t>
            </w:r>
          </w:p>
        </w:tc>
        <w:tc>
          <w:tcPr>
            <w:tcW w:type="dxa" w:w="1872"/>
            <w:shd w:fill="FFFFFF"/>
            <w:tcMar>
              <w:top w:w="80" w:type="dxa"/>
              <w:bottom w:w="80" w:type="dxa"/>
              <w:left w:w="100" w:type="dxa"/>
              <w:right w:w="100" w:type="dxa"/>
            </w:tcMar>
          </w:tcPr>
          <w:p>
            <w:pPr>
              <w:jc w:val="right"/>
            </w:pPr>
            <w:r>
              <w:rPr>
                <w:rFonts w:ascii="Calibri" w:hAnsi="Calibri"/>
                <w:color w:val="222222"/>
                <w:sz w:val="18"/>
              </w:rPr>
              <w:t>23,22,644.57</w:t>
            </w:r>
          </w:p>
        </w:tc>
        <w:tc>
          <w:tcPr>
            <w:tcW w:type="dxa" w:w="1872"/>
            <w:shd w:fill="FFFFFF"/>
            <w:tcMar>
              <w:top w:w="80" w:type="dxa"/>
              <w:bottom w:w="80" w:type="dxa"/>
              <w:left w:w="100" w:type="dxa"/>
              <w:right w:w="100" w:type="dxa"/>
            </w:tcMar>
          </w:tcPr>
          <w:p>
            <w:pPr>
              <w:jc w:val="right"/>
            </w:pPr>
            <w:r>
              <w:rPr>
                <w:rFonts w:ascii="Calibri" w:hAnsi="Calibri"/>
                <w:color w:val="222222"/>
                <w:sz w:val="18"/>
              </w:rPr>
              <w:t>25,28,789.64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11,59,025.98</w:t>
            </w:r>
          </w:p>
        </w:tc>
        <w:tc>
          <w:tcPr>
            <w:tcW w:type="dxa" w:w="1872"/>
            <w:shd w:fill="F9FAFB"/>
            <w:tcMar>
              <w:top w:w="80" w:type="dxa"/>
              <w:bottom w:w="80" w:type="dxa"/>
              <w:left w:w="100" w:type="dxa"/>
              <w:right w:w="100" w:type="dxa"/>
            </w:tcMar>
          </w:tcPr>
          <w:p>
            <w:pPr>
              <w:jc w:val="right"/>
            </w:pPr>
            <w:r>
              <w:rPr>
                <w:rFonts w:ascii="Calibri" w:hAnsi="Calibri"/>
                <w:color w:val="222222"/>
                <w:sz w:val="18"/>
              </w:rPr>
              <w:t>11,30,276.17</w:t>
            </w:r>
          </w:p>
        </w:tc>
        <w:tc>
          <w:tcPr>
            <w:tcW w:type="dxa" w:w="1872"/>
            <w:shd w:fill="F9FAFB"/>
            <w:tcMar>
              <w:top w:w="80" w:type="dxa"/>
              <w:bottom w:w="80" w:type="dxa"/>
              <w:left w:w="100" w:type="dxa"/>
              <w:right w:w="100" w:type="dxa"/>
            </w:tcMar>
          </w:tcPr>
          <w:p>
            <w:pPr>
              <w:jc w:val="right"/>
            </w:pPr>
            <w:r>
              <w:rPr>
                <w:rFonts w:ascii="Calibri" w:hAnsi="Calibri"/>
                <w:color w:val="222222"/>
                <w:sz w:val="18"/>
              </w:rPr>
              <w:t>9,66,071.31</w:t>
            </w:r>
          </w:p>
        </w:tc>
        <w:tc>
          <w:tcPr>
            <w:tcW w:type="dxa" w:w="1872"/>
            <w:shd w:fill="F9FAFB"/>
            <w:tcMar>
              <w:top w:w="80" w:type="dxa"/>
              <w:bottom w:w="80" w:type="dxa"/>
              <w:left w:w="100" w:type="dxa"/>
              <w:right w:w="100" w:type="dxa"/>
            </w:tcMar>
          </w:tcPr>
          <w:p>
            <w:pPr>
              <w:jc w:val="right"/>
            </w:pPr>
            <w:r>
              <w:rPr>
                <w:rFonts w:ascii="Calibri" w:hAnsi="Calibri"/>
                <w:color w:val="222222"/>
                <w:sz w:val="18"/>
              </w:rPr>
              <w:t>11,30,276.17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4,100.45</w:t>
            </w:r>
          </w:p>
        </w:tc>
        <w:tc>
          <w:tcPr>
            <w:tcW w:type="dxa" w:w="1872"/>
            <w:shd w:fill="FFFFFF"/>
            <w:tcMar>
              <w:top w:w="80" w:type="dxa"/>
              <w:bottom w:w="80" w:type="dxa"/>
              <w:left w:w="100" w:type="dxa"/>
              <w:right w:w="100" w:type="dxa"/>
            </w:tcMar>
          </w:tcPr>
          <w:p>
            <w:pPr>
              <w:jc w:val="right"/>
            </w:pPr>
            <w:r>
              <w:rPr>
                <w:rFonts w:ascii="Calibri" w:hAnsi="Calibri"/>
                <w:color w:val="222222"/>
                <w:sz w:val="18"/>
              </w:rPr>
              <w:t>3,997.87</w:t>
            </w:r>
          </w:p>
        </w:tc>
        <w:tc>
          <w:tcPr>
            <w:tcW w:type="dxa" w:w="1872"/>
            <w:shd w:fill="FFFFFF"/>
            <w:tcMar>
              <w:top w:w="80" w:type="dxa"/>
              <w:bottom w:w="80" w:type="dxa"/>
              <w:left w:w="100" w:type="dxa"/>
              <w:right w:w="100" w:type="dxa"/>
            </w:tcMar>
          </w:tcPr>
          <w:p>
            <w:pPr>
              <w:jc w:val="right"/>
            </w:pPr>
            <w:r>
              <w:rPr>
                <w:rFonts w:ascii="Calibri" w:hAnsi="Calibri"/>
                <w:color w:val="222222"/>
                <w:sz w:val="18"/>
              </w:rPr>
              <w:t>9,253.99</w:t>
            </w:r>
          </w:p>
        </w:tc>
        <w:tc>
          <w:tcPr>
            <w:tcW w:type="dxa" w:w="1872"/>
            <w:shd w:fill="FFFFFF"/>
            <w:tcMar>
              <w:top w:w="80" w:type="dxa"/>
              <w:bottom w:w="80" w:type="dxa"/>
              <w:left w:w="100" w:type="dxa"/>
              <w:right w:w="100" w:type="dxa"/>
            </w:tcMar>
          </w:tcPr>
          <w:p>
            <w:pPr>
              <w:jc w:val="right"/>
            </w:pPr>
            <w:r>
              <w:rPr>
                <w:rFonts w:ascii="Calibri" w:hAnsi="Calibri"/>
                <w:color w:val="222222"/>
                <w:sz w:val="18"/>
              </w:rPr>
              <w:t>3,997.87</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e) Unallocated</w:t>
            </w:r>
          </w:p>
        </w:tc>
        <w:tc>
          <w:tcPr>
            <w:tcW w:type="dxa" w:w="1872"/>
            <w:shd w:fill="F9FAFB"/>
            <w:tcMar>
              <w:top w:w="80" w:type="dxa"/>
              <w:bottom w:w="80" w:type="dxa"/>
              <w:left w:w="100" w:type="dxa"/>
              <w:right w:w="100" w:type="dxa"/>
            </w:tcMar>
          </w:tcPr>
          <w:p>
            <w:pPr>
              <w:jc w:val="right"/>
            </w:pPr>
            <w:r>
              <w:rPr>
                <w:rFonts w:ascii="Calibri" w:hAnsi="Calibri"/>
                <w:color w:val="222222"/>
                <w:sz w:val="18"/>
              </w:rPr>
              <w:t>39,498.81</w:t>
            </w:r>
          </w:p>
        </w:tc>
        <w:tc>
          <w:tcPr>
            <w:tcW w:type="dxa" w:w="1872"/>
            <w:shd w:fill="F9FAFB"/>
            <w:tcMar>
              <w:top w:w="80" w:type="dxa"/>
              <w:bottom w:w="80" w:type="dxa"/>
              <w:left w:w="100" w:type="dxa"/>
              <w:right w:w="100" w:type="dxa"/>
            </w:tcMar>
          </w:tcPr>
          <w:p>
            <w:pPr>
              <w:jc w:val="right"/>
            </w:pPr>
            <w:r>
              <w:rPr>
                <w:rFonts w:ascii="Calibri" w:hAnsi="Calibri"/>
                <w:color w:val="222222"/>
                <w:sz w:val="18"/>
              </w:rPr>
              <w:t>40,648.08</w:t>
            </w:r>
          </w:p>
        </w:tc>
        <w:tc>
          <w:tcPr>
            <w:tcW w:type="dxa" w:w="1872"/>
            <w:shd w:fill="F9FAFB"/>
            <w:tcMar>
              <w:top w:w="80" w:type="dxa"/>
              <w:bottom w:w="80" w:type="dxa"/>
              <w:left w:w="100" w:type="dxa"/>
              <w:right w:w="100" w:type="dxa"/>
            </w:tcMar>
          </w:tcPr>
          <w:p>
            <w:pPr>
              <w:jc w:val="right"/>
            </w:pPr>
            <w:r>
              <w:rPr>
                <w:rFonts w:ascii="Calibri" w:hAnsi="Calibri"/>
                <w:color w:val="222222"/>
                <w:sz w:val="18"/>
              </w:rPr>
              <w:t>49,441.01</w:t>
            </w:r>
          </w:p>
        </w:tc>
        <w:tc>
          <w:tcPr>
            <w:tcW w:type="dxa" w:w="1872"/>
            <w:shd w:fill="F9FAFB"/>
            <w:tcMar>
              <w:top w:w="80" w:type="dxa"/>
              <w:bottom w:w="80" w:type="dxa"/>
              <w:left w:w="100" w:type="dxa"/>
              <w:right w:w="100" w:type="dxa"/>
            </w:tcMar>
          </w:tcPr>
          <w:p>
            <w:pPr>
              <w:jc w:val="right"/>
            </w:pPr>
            <w:r>
              <w:rPr>
                <w:rFonts w:ascii="Calibri" w:hAnsi="Calibri"/>
                <w:color w:val="222222"/>
                <w:sz w:val="18"/>
              </w:rPr>
              <w:t>40,648.08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Total Segment Liabilities</w:t>
            </w:r>
          </w:p>
        </w:tc>
        <w:tc>
          <w:tcPr>
            <w:tcW w:type="dxa" w:w="1872"/>
            <w:shd w:fill="FFFFFF"/>
            <w:tcMar>
              <w:top w:w="80" w:type="dxa"/>
              <w:bottom w:w="80" w:type="dxa"/>
              <w:left w:w="100" w:type="dxa"/>
              <w:right w:w="100" w:type="dxa"/>
            </w:tcMar>
          </w:tcPr>
          <w:p>
            <w:pPr>
              <w:jc w:val="right"/>
            </w:pPr>
            <w:r>
              <w:rPr>
                <w:rFonts w:ascii="Calibri" w:hAnsi="Calibri"/>
                <w:color w:val="222222"/>
                <w:sz w:val="18"/>
              </w:rPr>
              <w:t>38,14,368.18</w:t>
            </w:r>
          </w:p>
        </w:tc>
        <w:tc>
          <w:tcPr>
            <w:tcW w:type="dxa" w:w="1872"/>
            <w:shd w:fill="FFFFFF"/>
            <w:tcMar>
              <w:top w:w="80" w:type="dxa"/>
              <w:bottom w:w="80" w:type="dxa"/>
              <w:left w:w="100" w:type="dxa"/>
              <w:right w:w="100" w:type="dxa"/>
            </w:tcMar>
          </w:tcPr>
          <w:p>
            <w:pPr>
              <w:jc w:val="right"/>
            </w:pPr>
            <w:r>
              <w:rPr>
                <w:rFonts w:ascii="Calibri" w:hAnsi="Calibri"/>
                <w:color w:val="222222"/>
                <w:sz w:val="18"/>
              </w:rPr>
              <w:t>38,01,985.42</w:t>
            </w:r>
          </w:p>
        </w:tc>
        <w:tc>
          <w:tcPr>
            <w:tcW w:type="dxa" w:w="1872"/>
            <w:shd w:fill="FFFFFF"/>
            <w:tcMar>
              <w:top w:w="80" w:type="dxa"/>
              <w:bottom w:w="80" w:type="dxa"/>
              <w:left w:w="100" w:type="dxa"/>
              <w:right w:w="100" w:type="dxa"/>
            </w:tcMar>
          </w:tcPr>
          <w:p>
            <w:pPr>
              <w:jc w:val="right"/>
            </w:pPr>
            <w:r>
              <w:rPr>
                <w:rFonts w:ascii="Calibri" w:hAnsi="Calibri"/>
                <w:color w:val="222222"/>
                <w:sz w:val="18"/>
              </w:rPr>
              <w:t>34,31,436.52</w:t>
            </w:r>
          </w:p>
        </w:tc>
        <w:tc>
          <w:tcPr>
            <w:tcW w:type="dxa" w:w="1872"/>
            <w:shd w:fill="FFFFFF"/>
            <w:tcMar>
              <w:top w:w="80" w:type="dxa"/>
              <w:bottom w:w="80" w:type="dxa"/>
              <w:left w:w="100" w:type="dxa"/>
              <w:right w:w="100" w:type="dxa"/>
            </w:tcMar>
          </w:tcPr>
          <w:p>
            <w:pPr>
              <w:jc w:val="right"/>
            </w:pPr>
            <w:r>
              <w:rPr>
                <w:rFonts w:ascii="Calibri" w:hAnsi="Calibri"/>
                <w:color w:val="222222"/>
                <w:sz w:val="18"/>
              </w:rPr>
              <w:t>38,01,985.42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5. Capital, ESOPs &amp; Reserves</w:t>
            </w:r>
          </w:p>
        </w:tc>
        <w:tc>
          <w:tcPr>
            <w:tcW w:type="dxa" w:w="1872"/>
            <w:shd w:fill="F9FAFB"/>
            <w:tcMar>
              <w:top w:w="80" w:type="dxa"/>
              <w:bottom w:w="80" w:type="dxa"/>
              <w:left w:w="100" w:type="dxa"/>
              <w:right w:w="100" w:type="dxa"/>
            </w:tcMar>
          </w:tcPr>
          <w:p>
            <w:pPr>
              <w:jc w:val="right"/>
            </w:pPr>
            <w:r>
              <w:rPr>
                <w:rFonts w:ascii="Calibri" w:hAnsi="Calibri"/>
                <w:color w:val="222222"/>
                <w:sz w:val="18"/>
              </w:rPr>
              <w:t>5,83,093.10</w:t>
            </w:r>
          </w:p>
        </w:tc>
        <w:tc>
          <w:tcPr>
            <w:tcW w:type="dxa" w:w="1872"/>
            <w:shd w:fill="F9FAFB"/>
            <w:tcMar>
              <w:top w:w="80" w:type="dxa"/>
              <w:bottom w:w="80" w:type="dxa"/>
              <w:left w:w="100" w:type="dxa"/>
              <w:right w:w="100" w:type="dxa"/>
            </w:tcMar>
          </w:tcPr>
          <w:p>
            <w:pPr>
              <w:jc w:val="right"/>
            </w:pPr>
            <w:r>
              <w:rPr>
                <w:rFonts w:ascii="Calibri" w:hAnsi="Calibri"/>
                <w:color w:val="222222"/>
                <w:sz w:val="18"/>
              </w:rPr>
              <w:t>5,62,900.90</w:t>
            </w:r>
          </w:p>
        </w:tc>
        <w:tc>
          <w:tcPr>
            <w:tcW w:type="dxa" w:w="1872"/>
            <w:shd w:fill="F9FAFB"/>
            <w:tcMar>
              <w:top w:w="80" w:type="dxa"/>
              <w:bottom w:w="80" w:type="dxa"/>
              <w:left w:w="100" w:type="dxa"/>
              <w:right w:w="100" w:type="dxa"/>
            </w:tcMar>
          </w:tcPr>
          <w:p>
            <w:pPr>
              <w:jc w:val="right"/>
            </w:pPr>
            <w:r>
              <w:rPr>
                <w:rFonts w:ascii="Calibri" w:hAnsi="Calibri"/>
                <w:color w:val="222222"/>
                <w:sz w:val="18"/>
              </w:rPr>
              <w:t>5,22,640.14</w:t>
            </w:r>
          </w:p>
        </w:tc>
        <w:tc>
          <w:tcPr>
            <w:tcW w:type="dxa" w:w="1872"/>
            <w:shd w:fill="F9FAFB"/>
            <w:tcMar>
              <w:top w:w="80" w:type="dxa"/>
              <w:bottom w:w="80" w:type="dxa"/>
              <w:left w:w="100" w:type="dxa"/>
              <w:right w:w="100" w:type="dxa"/>
            </w:tcMar>
          </w:tcPr>
          <w:p>
            <w:pPr>
              <w:jc w:val="right"/>
            </w:pPr>
            <w:r>
              <w:rPr>
                <w:rFonts w:ascii="Calibri" w:hAnsi="Calibri"/>
                <w:color w:val="222222"/>
                <w:sz w:val="18"/>
              </w:rPr>
              <w:t>5,62,900.90</w:t>
            </w:r>
          </w:p>
        </w:tc>
      </w:tr>
      <w:tr>
        <w:tc>
          <w:tcPr>
            <w:tcW w:type="dxa" w:w="1872"/>
            <w:shd w:fill="FFFFFF"/>
            <w:tcMar>
              <w:top w:w="80" w:type="dxa"/>
              <w:bottom w:w="80" w:type="dxa"/>
              <w:left w:w="100" w:type="dxa"/>
              <w:right w:w="100" w:type="dxa"/>
            </w:tcMar>
          </w:tcPr>
          <w:p>
            <w:pPr>
              <w:jc w:val="left"/>
            </w:pPr>
            <w:r>
              <w:rPr>
                <w:rFonts w:ascii="Calibri" w:hAnsi="Calibri"/>
                <w:color w:val="222222"/>
                <w:sz w:val="18"/>
              </w:rPr>
              <w:t>6. Total Liabilities &amp; Equity</w:t>
            </w:r>
          </w:p>
        </w:tc>
        <w:tc>
          <w:tcPr>
            <w:tcW w:type="dxa" w:w="1872"/>
            <w:shd w:fill="FFFFFF"/>
            <w:tcMar>
              <w:top w:w="80" w:type="dxa"/>
              <w:bottom w:w="80" w:type="dxa"/>
              <w:left w:w="100" w:type="dxa"/>
              <w:right w:w="100" w:type="dxa"/>
            </w:tcMar>
          </w:tcPr>
          <w:p>
            <w:pPr>
              <w:jc w:val="right"/>
            </w:pPr>
            <w:r>
              <w:rPr>
                <w:rFonts w:ascii="Calibri" w:hAnsi="Calibri"/>
                <w:color w:val="222222"/>
                <w:sz w:val="18"/>
              </w:rPr>
              <w:t>43,97,461.28</w:t>
            </w:r>
          </w:p>
        </w:tc>
        <w:tc>
          <w:tcPr>
            <w:tcW w:type="dxa" w:w="1872"/>
            <w:shd w:fill="FFFFFF"/>
            <w:tcMar>
              <w:top w:w="80" w:type="dxa"/>
              <w:bottom w:w="80" w:type="dxa"/>
              <w:left w:w="100" w:type="dxa"/>
              <w:right w:w="100" w:type="dxa"/>
            </w:tcMar>
          </w:tcPr>
          <w:p>
            <w:pPr>
              <w:jc w:val="right"/>
            </w:pPr>
            <w:r>
              <w:rPr>
                <w:rFonts w:ascii="Calibri" w:hAnsi="Calibri"/>
                <w:color w:val="222222"/>
                <w:sz w:val="18"/>
              </w:rPr>
              <w:t>43,64,886.32</w:t>
            </w:r>
          </w:p>
        </w:tc>
        <w:tc>
          <w:tcPr>
            <w:tcW w:type="dxa" w:w="1872"/>
            <w:shd w:fill="FFFFFF"/>
            <w:tcMar>
              <w:top w:w="80" w:type="dxa"/>
              <w:bottom w:w="80" w:type="dxa"/>
              <w:left w:w="100" w:type="dxa"/>
              <w:right w:w="100" w:type="dxa"/>
            </w:tcMar>
          </w:tcPr>
          <w:p>
            <w:pPr>
              <w:jc w:val="right"/>
            </w:pPr>
            <w:r>
              <w:rPr>
                <w:rFonts w:ascii="Calibri" w:hAnsi="Calibri"/>
                <w:color w:val="222222"/>
                <w:sz w:val="18"/>
              </w:rPr>
              <w:t>39,54,076.66</w:t>
            </w:r>
          </w:p>
        </w:tc>
        <w:tc>
          <w:tcPr>
            <w:tcW w:type="dxa" w:w="1872"/>
            <w:shd w:fill="FFFFFF"/>
            <w:tcMar>
              <w:top w:w="80" w:type="dxa"/>
              <w:bottom w:w="80" w:type="dxa"/>
              <w:left w:w="100" w:type="dxa"/>
              <w:right w:w="100" w:type="dxa"/>
            </w:tcMar>
          </w:tcPr>
          <w:p>
            <w:pPr>
              <w:jc w:val="right"/>
            </w:pPr>
            <w:r>
              <w:rPr>
                <w:rFonts w:ascii="Calibri" w:hAnsi="Calibri"/>
                <w:color w:val="222222"/>
                <w:sz w:val="18"/>
              </w:rPr>
              <w:t>43,64,886.32</w:t>
            </w:r>
          </w:p>
        </w:tc>
      </w:tr>
    </w:tbl>
    <w:p>
      <w:pPr>
        <w:spacing w:after="240"/>
      </w:pPr>
    </w:p>
    <w:p>
      <w:pPr>
        <w:pStyle w:val="Heading2"/>
      </w:pPr>
      <w:r>
        <w:t>Table 3: Standalone Statement of Assets and Liabilities (Note 1)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003366"/>
            <w:tcMar>
              <w:top w:w="100" w:type="dxa"/>
              <w:bottom w:w="100" w:type="dxa"/>
              <w:left w:w="100" w:type="dxa"/>
              <w:right w:w="100" w:type="dxa"/>
            </w:tcMar>
          </w:tcPr>
          <w:p>
            <w:pPr>
              <w:jc w:val="left"/>
            </w:pPr>
            <w:r>
              <w:rPr>
                <w:rFonts w:ascii="Calibri" w:hAnsi="Calibri"/>
                <w:b/>
                <w:color w:val="FFFFFF"/>
                <w:sz w:val="19"/>
              </w:rPr>
              <w:t>Particulars</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30.06.2026 (Unaudited)</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30.06.2025 (Unaudited)</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31.03.2026 (Audited)</w:t>
            </w:r>
          </w:p>
        </w:tc>
      </w:tr>
      <w:tr>
        <w:tc>
          <w:tcPr>
            <w:tcW w:type="dxa" w:w="2340"/>
            <w:shd w:fill="FFFFFF"/>
            <w:tcMar>
              <w:top w:w="80" w:type="dxa"/>
              <w:bottom w:w="80" w:type="dxa"/>
              <w:left w:w="100" w:type="dxa"/>
              <w:right w:w="100" w:type="dxa"/>
            </w:tcMar>
          </w:tcPr>
          <w:p>
            <w:pPr>
              <w:jc w:val="left"/>
            </w:pPr>
            <w:r>
              <w:rPr>
                <w:rFonts w:ascii="Calibri" w:hAnsi="Calibri"/>
                <w:color w:val="222222"/>
                <w:sz w:val="18"/>
              </w:rPr>
              <w:t>CAPITAL AND LIABILITIES</w:t>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Capital</w:t>
            </w:r>
          </w:p>
        </w:tc>
        <w:tc>
          <w:tcPr>
            <w:tcW w:type="dxa" w:w="2340"/>
            <w:shd w:fill="F9FAFB"/>
            <w:tcMar>
              <w:top w:w="80" w:type="dxa"/>
              <w:bottom w:w="80" w:type="dxa"/>
              <w:left w:w="100" w:type="dxa"/>
              <w:right w:w="100" w:type="dxa"/>
            </w:tcMar>
          </w:tcPr>
          <w:p>
            <w:pPr>
              <w:jc w:val="right"/>
            </w:pPr>
            <w:r>
              <w:rPr>
                <w:rFonts w:ascii="Calibri" w:hAnsi="Calibri"/>
                <w:color w:val="222222"/>
                <w:sz w:val="18"/>
              </w:rPr>
              <w:t>1,540.13</w:t>
            </w:r>
          </w:p>
        </w:tc>
        <w:tc>
          <w:tcPr>
            <w:tcW w:type="dxa" w:w="2340"/>
            <w:shd w:fill="F9FAFB"/>
            <w:tcMar>
              <w:top w:w="80" w:type="dxa"/>
              <w:bottom w:w="80" w:type="dxa"/>
              <w:left w:w="100" w:type="dxa"/>
              <w:right w:w="100" w:type="dxa"/>
            </w:tcMar>
          </w:tcPr>
          <w:p>
            <w:pPr>
              <w:jc w:val="right"/>
            </w:pPr>
            <w:r>
              <w:rPr>
                <w:rFonts w:ascii="Calibri" w:hAnsi="Calibri"/>
                <w:color w:val="222222"/>
                <w:sz w:val="18"/>
              </w:rPr>
              <w:t>766.79</w:t>
            </w:r>
          </w:p>
        </w:tc>
        <w:tc>
          <w:tcPr>
            <w:tcW w:type="dxa" w:w="2340"/>
            <w:shd w:fill="F9FAFB"/>
            <w:tcMar>
              <w:top w:w="80" w:type="dxa"/>
              <w:bottom w:w="80" w:type="dxa"/>
              <w:left w:w="100" w:type="dxa"/>
              <w:right w:w="100" w:type="dxa"/>
            </w:tcMar>
          </w:tcPr>
          <w:p>
            <w:pPr>
              <w:jc w:val="right"/>
            </w:pPr>
            <w:r>
              <w:rPr>
                <w:rFonts w:ascii="Calibri" w:hAnsi="Calibri"/>
                <w:color w:val="222222"/>
                <w:sz w:val="18"/>
              </w:rPr>
              <w:t>1,539.34</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Employees stock options / units outstanding</w:t>
            </w:r>
          </w:p>
        </w:tc>
        <w:tc>
          <w:tcPr>
            <w:tcW w:type="dxa" w:w="2340"/>
            <w:shd w:fill="FFFFFF"/>
            <w:tcMar>
              <w:top w:w="80" w:type="dxa"/>
              <w:bottom w:w="80" w:type="dxa"/>
              <w:left w:w="100" w:type="dxa"/>
              <w:right w:w="100" w:type="dxa"/>
            </w:tcMar>
          </w:tcPr>
          <w:p>
            <w:pPr>
              <w:jc w:val="right"/>
            </w:pPr>
            <w:r>
              <w:rPr>
                <w:rFonts w:ascii="Calibri" w:hAnsi="Calibri"/>
                <w:color w:val="222222"/>
                <w:sz w:val="18"/>
              </w:rPr>
              <w:t>4,894.56</w:t>
            </w:r>
          </w:p>
        </w:tc>
        <w:tc>
          <w:tcPr>
            <w:tcW w:type="dxa" w:w="2340"/>
            <w:shd w:fill="FFFFFF"/>
            <w:tcMar>
              <w:top w:w="80" w:type="dxa"/>
              <w:bottom w:w="80" w:type="dxa"/>
              <w:left w:w="100" w:type="dxa"/>
              <w:right w:w="100" w:type="dxa"/>
            </w:tcMar>
          </w:tcPr>
          <w:p>
            <w:pPr>
              <w:jc w:val="right"/>
            </w:pPr>
            <w:r>
              <w:rPr>
                <w:rFonts w:ascii="Calibri" w:hAnsi="Calibri"/>
                <w:color w:val="222222"/>
                <w:sz w:val="18"/>
              </w:rPr>
              <w:t>4,043.72</w:t>
            </w:r>
          </w:p>
        </w:tc>
        <w:tc>
          <w:tcPr>
            <w:tcW w:type="dxa" w:w="2340"/>
            <w:shd w:fill="FFFFFF"/>
            <w:tcMar>
              <w:top w:w="80" w:type="dxa"/>
              <w:bottom w:w="80" w:type="dxa"/>
              <w:left w:w="100" w:type="dxa"/>
              <w:right w:w="100" w:type="dxa"/>
            </w:tcMar>
          </w:tcPr>
          <w:p>
            <w:pPr>
              <w:jc w:val="right"/>
            </w:pPr>
            <w:r>
              <w:rPr>
                <w:rFonts w:ascii="Calibri" w:hAnsi="Calibri"/>
                <w:color w:val="222222"/>
                <w:sz w:val="18"/>
              </w:rPr>
              <w:t>4,545.11</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Reserves and surplus</w:t>
            </w:r>
          </w:p>
        </w:tc>
        <w:tc>
          <w:tcPr>
            <w:tcW w:type="dxa" w:w="2340"/>
            <w:shd w:fill="F9FAFB"/>
            <w:tcMar>
              <w:top w:w="80" w:type="dxa"/>
              <w:bottom w:w="80" w:type="dxa"/>
              <w:left w:w="100" w:type="dxa"/>
              <w:right w:w="100" w:type="dxa"/>
            </w:tcMar>
          </w:tcPr>
          <w:p>
            <w:pPr>
              <w:jc w:val="right"/>
            </w:pPr>
            <w:r>
              <w:rPr>
                <w:rFonts w:ascii="Calibri" w:hAnsi="Calibri"/>
                <w:color w:val="222222"/>
                <w:sz w:val="18"/>
              </w:rPr>
              <w:t>5,76,658.41</w:t>
            </w:r>
          </w:p>
        </w:tc>
        <w:tc>
          <w:tcPr>
            <w:tcW w:type="dxa" w:w="2340"/>
            <w:shd w:fill="F9FAFB"/>
            <w:tcMar>
              <w:top w:w="80" w:type="dxa"/>
              <w:bottom w:w="80" w:type="dxa"/>
              <w:left w:w="100" w:type="dxa"/>
              <w:right w:w="100" w:type="dxa"/>
            </w:tcMar>
          </w:tcPr>
          <w:p>
            <w:pPr>
              <w:jc w:val="right"/>
            </w:pPr>
            <w:r>
              <w:rPr>
                <w:rFonts w:ascii="Calibri" w:hAnsi="Calibri"/>
                <w:color w:val="222222"/>
                <w:sz w:val="18"/>
              </w:rPr>
              <w:t>5,17,829.63</w:t>
            </w:r>
          </w:p>
        </w:tc>
        <w:tc>
          <w:tcPr>
            <w:tcW w:type="dxa" w:w="2340"/>
            <w:shd w:fill="F9FAFB"/>
            <w:tcMar>
              <w:top w:w="80" w:type="dxa"/>
              <w:bottom w:w="80" w:type="dxa"/>
              <w:left w:w="100" w:type="dxa"/>
              <w:right w:w="100" w:type="dxa"/>
            </w:tcMar>
          </w:tcPr>
          <w:p>
            <w:pPr>
              <w:jc w:val="right"/>
            </w:pPr>
            <w:r>
              <w:rPr>
                <w:rFonts w:ascii="Calibri" w:hAnsi="Calibri"/>
                <w:color w:val="222222"/>
                <w:sz w:val="18"/>
              </w:rPr>
              <w:t>5,56,816.45</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Deposits</w:t>
            </w:r>
          </w:p>
        </w:tc>
        <w:tc>
          <w:tcPr>
            <w:tcW w:type="dxa" w:w="2340"/>
            <w:shd w:fill="FFFFFF"/>
            <w:tcMar>
              <w:top w:w="80" w:type="dxa"/>
              <w:bottom w:w="80" w:type="dxa"/>
              <w:left w:w="100" w:type="dxa"/>
              <w:right w:w="100" w:type="dxa"/>
            </w:tcMar>
          </w:tcPr>
          <w:p>
            <w:pPr>
              <w:jc w:val="right"/>
            </w:pPr>
            <w:r>
              <w:rPr>
                <w:rFonts w:ascii="Calibri" w:hAnsi="Calibri"/>
                <w:color w:val="222222"/>
                <w:sz w:val="18"/>
              </w:rPr>
              <w:t>31,70,830.09</w:t>
            </w:r>
          </w:p>
        </w:tc>
        <w:tc>
          <w:tcPr>
            <w:tcW w:type="dxa" w:w="2340"/>
            <w:shd w:fill="FFFFFF"/>
            <w:tcMar>
              <w:top w:w="80" w:type="dxa"/>
              <w:bottom w:w="80" w:type="dxa"/>
              <w:left w:w="100" w:type="dxa"/>
              <w:right w:w="100" w:type="dxa"/>
            </w:tcMar>
          </w:tcPr>
          <w:p>
            <w:pPr>
              <w:jc w:val="right"/>
            </w:pPr>
            <w:r>
              <w:rPr>
                <w:rFonts w:ascii="Calibri" w:hAnsi="Calibri"/>
                <w:color w:val="222222"/>
                <w:sz w:val="18"/>
              </w:rPr>
              <w:t>27,64,089.02</w:t>
            </w:r>
          </w:p>
        </w:tc>
        <w:tc>
          <w:tcPr>
            <w:tcW w:type="dxa" w:w="2340"/>
            <w:shd w:fill="FFFFFF"/>
            <w:tcMar>
              <w:top w:w="80" w:type="dxa"/>
              <w:bottom w:w="80" w:type="dxa"/>
              <w:left w:w="100" w:type="dxa"/>
              <w:right w:w="100" w:type="dxa"/>
            </w:tcMar>
          </w:tcPr>
          <w:p>
            <w:pPr>
              <w:jc w:val="right"/>
            </w:pPr>
            <w:r>
              <w:rPr>
                <w:rFonts w:ascii="Calibri" w:hAnsi="Calibri"/>
                <w:color w:val="222222"/>
                <w:sz w:val="18"/>
              </w:rPr>
              <w:t>31,05,250.48</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Borrowings</w:t>
            </w:r>
          </w:p>
        </w:tc>
        <w:tc>
          <w:tcPr>
            <w:tcW w:type="dxa" w:w="2340"/>
            <w:shd w:fill="F9FAFB"/>
            <w:tcMar>
              <w:top w:w="80" w:type="dxa"/>
              <w:bottom w:w="80" w:type="dxa"/>
              <w:left w:w="100" w:type="dxa"/>
              <w:right w:w="100" w:type="dxa"/>
            </w:tcMar>
          </w:tcPr>
          <w:p>
            <w:pPr>
              <w:jc w:val="right"/>
            </w:pPr>
            <w:r>
              <w:rPr>
                <w:rFonts w:ascii="Calibri" w:hAnsi="Calibri"/>
                <w:color w:val="222222"/>
                <w:sz w:val="18"/>
              </w:rPr>
              <w:t>4,61,812.65</w:t>
            </w:r>
          </w:p>
        </w:tc>
        <w:tc>
          <w:tcPr>
            <w:tcW w:type="dxa" w:w="2340"/>
            <w:shd w:fill="F9FAFB"/>
            <w:tcMar>
              <w:top w:w="80" w:type="dxa"/>
              <w:bottom w:w="80" w:type="dxa"/>
              <w:left w:w="100" w:type="dxa"/>
              <w:right w:w="100" w:type="dxa"/>
            </w:tcMar>
          </w:tcPr>
          <w:p>
            <w:pPr>
              <w:jc w:val="right"/>
            </w:pPr>
            <w:r>
              <w:rPr>
                <w:rFonts w:ascii="Calibri" w:hAnsi="Calibri"/>
                <w:color w:val="222222"/>
                <w:sz w:val="18"/>
              </w:rPr>
              <w:t>5,10,056.21</w:t>
            </w:r>
          </w:p>
        </w:tc>
        <w:tc>
          <w:tcPr>
            <w:tcW w:type="dxa" w:w="2340"/>
            <w:shd w:fill="F9FAFB"/>
            <w:tcMar>
              <w:top w:w="80" w:type="dxa"/>
              <w:bottom w:w="80" w:type="dxa"/>
              <w:left w:w="100" w:type="dxa"/>
              <w:right w:w="100" w:type="dxa"/>
            </w:tcMar>
          </w:tcPr>
          <w:p>
            <w:pPr>
              <w:jc w:val="right"/>
            </w:pPr>
            <w:r>
              <w:rPr>
                <w:rFonts w:ascii="Calibri" w:hAnsi="Calibri"/>
                <w:color w:val="222222"/>
                <w:sz w:val="18"/>
              </w:rPr>
              <w:t>4,89,394.63</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Other liabilities and provisions</w:t>
            </w:r>
          </w:p>
        </w:tc>
        <w:tc>
          <w:tcPr>
            <w:tcW w:type="dxa" w:w="2340"/>
            <w:shd w:fill="FFFFFF"/>
            <w:tcMar>
              <w:top w:w="80" w:type="dxa"/>
              <w:bottom w:w="80" w:type="dxa"/>
              <w:left w:w="100" w:type="dxa"/>
              <w:right w:w="100" w:type="dxa"/>
            </w:tcMar>
          </w:tcPr>
          <w:p>
            <w:pPr>
              <w:jc w:val="right"/>
            </w:pPr>
            <w:r>
              <w:rPr>
                <w:rFonts w:ascii="Calibri" w:hAnsi="Calibri"/>
                <w:color w:val="222222"/>
                <w:sz w:val="18"/>
              </w:rPr>
              <w:t>1,81,725.44</w:t>
            </w:r>
          </w:p>
        </w:tc>
        <w:tc>
          <w:tcPr>
            <w:tcW w:type="dxa" w:w="2340"/>
            <w:shd w:fill="FFFFFF"/>
            <w:tcMar>
              <w:top w:w="80" w:type="dxa"/>
              <w:bottom w:w="80" w:type="dxa"/>
              <w:left w:w="100" w:type="dxa"/>
              <w:right w:w="100" w:type="dxa"/>
            </w:tcMar>
          </w:tcPr>
          <w:p>
            <w:pPr>
              <w:jc w:val="right"/>
            </w:pPr>
            <w:r>
              <w:rPr>
                <w:rFonts w:ascii="Calibri" w:hAnsi="Calibri"/>
                <w:color w:val="222222"/>
                <w:sz w:val="18"/>
              </w:rPr>
              <w:t>1,57,291.29</w:t>
            </w:r>
          </w:p>
        </w:tc>
        <w:tc>
          <w:tcPr>
            <w:tcW w:type="dxa" w:w="2340"/>
            <w:shd w:fill="FFFFFF"/>
            <w:tcMar>
              <w:top w:w="80" w:type="dxa"/>
              <w:bottom w:w="80" w:type="dxa"/>
              <w:left w:w="100" w:type="dxa"/>
              <w:right w:w="100" w:type="dxa"/>
            </w:tcMar>
          </w:tcPr>
          <w:p>
            <w:pPr>
              <w:jc w:val="right"/>
            </w:pPr>
            <w:r>
              <w:rPr>
                <w:rFonts w:ascii="Calibri" w:hAnsi="Calibri"/>
                <w:color w:val="222222"/>
                <w:sz w:val="18"/>
              </w:rPr>
              <w:t>2,07,340.31</w:t>
            </w:r>
          </w:p>
        </w:tc>
      </w:tr>
      <w:tr>
        <w:tc>
          <w:tcPr>
            <w:tcW w:type="dxa" w:w="2340"/>
            <w:shd w:fill="F9FAFB"/>
            <w:tcMar>
              <w:top w:w="80" w:type="dxa"/>
              <w:bottom w:w="80" w:type="dxa"/>
              <w:left w:w="100" w:type="dxa"/>
              <w:right w:w="100" w:type="dxa"/>
            </w:tcMar>
          </w:tcPr>
          <w:p>
            <w:pPr>
              <w:jc w:val="left"/>
            </w:pPr>
            <w:r>
              <w:rPr>
                <w:rFonts w:ascii="Calibri" w:hAnsi="Calibri"/>
                <w:color w:val="222222"/>
                <w:sz w:val="18"/>
              </w:rPr>
              <w:t>TOTAL CAPITAL AND LIABILITIES</w:t>
            </w:r>
          </w:p>
        </w:tc>
        <w:tc>
          <w:tcPr>
            <w:tcW w:type="dxa" w:w="2340"/>
            <w:shd w:fill="F9FAFB"/>
            <w:tcMar>
              <w:top w:w="80" w:type="dxa"/>
              <w:bottom w:w="80" w:type="dxa"/>
              <w:left w:w="100" w:type="dxa"/>
              <w:right w:w="100" w:type="dxa"/>
            </w:tcMar>
          </w:tcPr>
          <w:p>
            <w:pPr>
              <w:jc w:val="right"/>
            </w:pPr>
            <w:r>
              <w:rPr>
                <w:rFonts w:ascii="Calibri" w:hAnsi="Calibri"/>
                <w:color w:val="222222"/>
                <w:sz w:val="18"/>
              </w:rPr>
              <w:t>43,97,461.28</w:t>
            </w:r>
          </w:p>
        </w:tc>
        <w:tc>
          <w:tcPr>
            <w:tcW w:type="dxa" w:w="2340"/>
            <w:shd w:fill="F9FAFB"/>
            <w:tcMar>
              <w:top w:w="80" w:type="dxa"/>
              <w:bottom w:w="80" w:type="dxa"/>
              <w:left w:w="100" w:type="dxa"/>
              <w:right w:w="100" w:type="dxa"/>
            </w:tcMar>
          </w:tcPr>
          <w:p>
            <w:pPr>
              <w:jc w:val="right"/>
            </w:pPr>
            <w:r>
              <w:rPr>
                <w:rFonts w:ascii="Calibri" w:hAnsi="Calibri"/>
                <w:color w:val="222222"/>
                <w:sz w:val="18"/>
              </w:rPr>
              <w:t>39,54,076.66</w:t>
            </w:r>
          </w:p>
        </w:tc>
        <w:tc>
          <w:tcPr>
            <w:tcW w:type="dxa" w:w="2340"/>
            <w:shd w:fill="F9FAFB"/>
            <w:tcMar>
              <w:top w:w="80" w:type="dxa"/>
              <w:bottom w:w="80" w:type="dxa"/>
              <w:left w:w="100" w:type="dxa"/>
              <w:right w:w="100" w:type="dxa"/>
            </w:tcMar>
          </w:tcPr>
          <w:p>
            <w:pPr>
              <w:jc w:val="right"/>
            </w:pPr>
            <w:r>
              <w:rPr>
                <w:rFonts w:ascii="Calibri" w:hAnsi="Calibri"/>
                <w:color w:val="222222"/>
                <w:sz w:val="18"/>
              </w:rPr>
              <w:t>43,64,886.32</w:t>
            </w:r>
          </w:p>
        </w:tc>
      </w:tr>
      <w:tr>
        <w:tc>
          <w:tcPr>
            <w:tcW w:type="dxa" w:w="2340"/>
            <w:shd w:fill="FFFFFF"/>
            <w:tcMar>
              <w:top w:w="80" w:type="dxa"/>
              <w:bottom w:w="80" w:type="dxa"/>
              <w:left w:w="100" w:type="dxa"/>
              <w:right w:w="100" w:type="dxa"/>
            </w:tcMar>
          </w:tcPr>
          <w:p>
            <w:pPr>
              <w:jc w:val="left"/>
            </w:pPr>
            <w:r>
              <w:rPr>
                <w:rFonts w:ascii="Calibri" w:hAnsi="Calibri"/>
                <w:color w:val="222222"/>
                <w:sz w:val="18"/>
              </w:rPr>
              <w:t>ASSETS</w:t>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Cash and balances with Reserve Bank of India</w:t>
            </w:r>
          </w:p>
        </w:tc>
        <w:tc>
          <w:tcPr>
            <w:tcW w:type="dxa" w:w="2340"/>
            <w:shd w:fill="F9FAFB"/>
            <w:tcMar>
              <w:top w:w="80" w:type="dxa"/>
              <w:bottom w:w="80" w:type="dxa"/>
              <w:left w:w="100" w:type="dxa"/>
              <w:right w:w="100" w:type="dxa"/>
            </w:tcMar>
          </w:tcPr>
          <w:p>
            <w:pPr>
              <w:jc w:val="right"/>
            </w:pPr>
            <w:r>
              <w:rPr>
                <w:rFonts w:ascii="Calibri" w:hAnsi="Calibri"/>
                <w:color w:val="222222"/>
                <w:sz w:val="18"/>
              </w:rPr>
              <w:t>1,50,562.42</w:t>
            </w:r>
          </w:p>
        </w:tc>
        <w:tc>
          <w:tcPr>
            <w:tcW w:type="dxa" w:w="2340"/>
            <w:shd w:fill="F9FAFB"/>
            <w:tcMar>
              <w:top w:w="80" w:type="dxa"/>
              <w:bottom w:w="80" w:type="dxa"/>
              <w:left w:w="100" w:type="dxa"/>
              <w:right w:w="100" w:type="dxa"/>
            </w:tcMar>
          </w:tcPr>
          <w:p>
            <w:pPr>
              <w:jc w:val="right"/>
            </w:pPr>
            <w:r>
              <w:rPr>
                <w:rFonts w:ascii="Calibri" w:hAnsi="Calibri"/>
                <w:color w:val="222222"/>
                <w:sz w:val="18"/>
              </w:rPr>
              <w:t>1,42,538.15</w:t>
            </w:r>
          </w:p>
        </w:tc>
        <w:tc>
          <w:tcPr>
            <w:tcW w:type="dxa" w:w="2340"/>
            <w:shd w:fill="F9FAFB"/>
            <w:tcMar>
              <w:top w:w="80" w:type="dxa"/>
              <w:bottom w:w="80" w:type="dxa"/>
              <w:left w:w="100" w:type="dxa"/>
              <w:right w:w="100" w:type="dxa"/>
            </w:tcMar>
          </w:tcPr>
          <w:p>
            <w:pPr>
              <w:jc w:val="right"/>
            </w:pPr>
            <w:r>
              <w:rPr>
                <w:rFonts w:ascii="Calibri" w:hAnsi="Calibri"/>
                <w:color w:val="222222"/>
                <w:sz w:val="18"/>
              </w:rPr>
              <w:t>2,00,679.37</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Balances with banks &amp; money at call / short notice</w:t>
            </w:r>
          </w:p>
        </w:tc>
        <w:tc>
          <w:tcPr>
            <w:tcW w:type="dxa" w:w="2340"/>
            <w:shd w:fill="FFFFFF"/>
            <w:tcMar>
              <w:top w:w="80" w:type="dxa"/>
              <w:bottom w:w="80" w:type="dxa"/>
              <w:left w:w="100" w:type="dxa"/>
              <w:right w:w="100" w:type="dxa"/>
            </w:tcMar>
          </w:tcPr>
          <w:p>
            <w:pPr>
              <w:jc w:val="right"/>
            </w:pPr>
            <w:r>
              <w:rPr>
                <w:rFonts w:ascii="Calibri" w:hAnsi="Calibri"/>
                <w:color w:val="222222"/>
                <w:sz w:val="18"/>
              </w:rPr>
              <w:t>73,002.00</w:t>
            </w:r>
          </w:p>
        </w:tc>
        <w:tc>
          <w:tcPr>
            <w:tcW w:type="dxa" w:w="2340"/>
            <w:shd w:fill="FFFFFF"/>
            <w:tcMar>
              <w:top w:w="80" w:type="dxa"/>
              <w:bottom w:w="80" w:type="dxa"/>
              <w:left w:w="100" w:type="dxa"/>
              <w:right w:w="100" w:type="dxa"/>
            </w:tcMar>
          </w:tcPr>
          <w:p>
            <w:pPr>
              <w:jc w:val="right"/>
            </w:pPr>
            <w:r>
              <w:rPr>
                <w:rFonts w:ascii="Calibri" w:hAnsi="Calibri"/>
                <w:color w:val="222222"/>
                <w:sz w:val="18"/>
              </w:rPr>
              <w:t>60,057.11</w:t>
            </w:r>
          </w:p>
        </w:tc>
        <w:tc>
          <w:tcPr>
            <w:tcW w:type="dxa" w:w="2340"/>
            <w:shd w:fill="FFFFFF"/>
            <w:tcMar>
              <w:top w:w="80" w:type="dxa"/>
              <w:bottom w:w="80" w:type="dxa"/>
              <w:left w:w="100" w:type="dxa"/>
              <w:right w:w="100" w:type="dxa"/>
            </w:tcMar>
          </w:tcPr>
          <w:p>
            <w:pPr>
              <w:jc w:val="right"/>
            </w:pPr>
            <w:r>
              <w:rPr>
                <w:rFonts w:ascii="Calibri" w:hAnsi="Calibri"/>
                <w:color w:val="222222"/>
                <w:sz w:val="18"/>
              </w:rPr>
              <w:t>97,786.99</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Investments</w:t>
            </w:r>
          </w:p>
        </w:tc>
        <w:tc>
          <w:tcPr>
            <w:tcW w:type="dxa" w:w="2340"/>
            <w:shd w:fill="F9FAFB"/>
            <w:tcMar>
              <w:top w:w="80" w:type="dxa"/>
              <w:bottom w:w="80" w:type="dxa"/>
              <w:left w:w="100" w:type="dxa"/>
              <w:right w:w="100" w:type="dxa"/>
            </w:tcMar>
          </w:tcPr>
          <w:p>
            <w:pPr>
              <w:jc w:val="right"/>
            </w:pPr>
            <w:r>
              <w:rPr>
                <w:rFonts w:ascii="Calibri" w:hAnsi="Calibri"/>
                <w:color w:val="222222"/>
                <w:sz w:val="18"/>
              </w:rPr>
              <w:t>9,19,413.40</w:t>
            </w:r>
          </w:p>
        </w:tc>
        <w:tc>
          <w:tcPr>
            <w:tcW w:type="dxa" w:w="2340"/>
            <w:shd w:fill="F9FAFB"/>
            <w:tcMar>
              <w:top w:w="80" w:type="dxa"/>
              <w:bottom w:w="80" w:type="dxa"/>
              <w:left w:w="100" w:type="dxa"/>
              <w:right w:w="100" w:type="dxa"/>
            </w:tcMar>
          </w:tcPr>
          <w:p>
            <w:pPr>
              <w:jc w:val="right"/>
            </w:pPr>
            <w:r>
              <w:rPr>
                <w:rFonts w:ascii="Calibri" w:hAnsi="Calibri"/>
                <w:color w:val="222222"/>
                <w:sz w:val="18"/>
              </w:rPr>
              <w:t>8,96,663.53</w:t>
            </w:r>
          </w:p>
        </w:tc>
        <w:tc>
          <w:tcPr>
            <w:tcW w:type="dxa" w:w="2340"/>
            <w:shd w:fill="F9FAFB"/>
            <w:tcMar>
              <w:top w:w="80" w:type="dxa"/>
              <w:bottom w:w="80" w:type="dxa"/>
              <w:left w:w="100" w:type="dxa"/>
              <w:right w:w="100" w:type="dxa"/>
            </w:tcMar>
          </w:tcPr>
          <w:p>
            <w:pPr>
              <w:jc w:val="right"/>
            </w:pPr>
            <w:r>
              <w:rPr>
                <w:rFonts w:ascii="Calibri" w:hAnsi="Calibri"/>
                <w:color w:val="222222"/>
                <w:sz w:val="18"/>
              </w:rPr>
              <w:t>8,84,201.47</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Advances</w:t>
            </w:r>
          </w:p>
        </w:tc>
        <w:tc>
          <w:tcPr>
            <w:tcW w:type="dxa" w:w="2340"/>
            <w:shd w:fill="FFFFFF"/>
            <w:tcMar>
              <w:top w:w="80" w:type="dxa"/>
              <w:bottom w:w="80" w:type="dxa"/>
              <w:left w:w="100" w:type="dxa"/>
              <w:right w:w="100" w:type="dxa"/>
            </w:tcMar>
          </w:tcPr>
          <w:p>
            <w:pPr>
              <w:jc w:val="right"/>
            </w:pPr>
            <w:r>
              <w:rPr>
                <w:rFonts w:ascii="Calibri" w:hAnsi="Calibri"/>
                <w:color w:val="222222"/>
                <w:sz w:val="18"/>
              </w:rPr>
              <w:t>30,37,303.31</w:t>
            </w:r>
          </w:p>
        </w:tc>
        <w:tc>
          <w:tcPr>
            <w:tcW w:type="dxa" w:w="2340"/>
            <w:shd w:fill="FFFFFF"/>
            <w:tcMar>
              <w:top w:w="80" w:type="dxa"/>
              <w:bottom w:w="80" w:type="dxa"/>
              <w:left w:w="100" w:type="dxa"/>
              <w:right w:w="100" w:type="dxa"/>
            </w:tcMar>
          </w:tcPr>
          <w:p>
            <w:pPr>
              <w:jc w:val="right"/>
            </w:pPr>
            <w:r>
              <w:rPr>
                <w:rFonts w:ascii="Calibri" w:hAnsi="Calibri"/>
                <w:color w:val="222222"/>
                <w:sz w:val="18"/>
              </w:rPr>
              <w:t>26,28,434.20</w:t>
            </w:r>
          </w:p>
        </w:tc>
        <w:tc>
          <w:tcPr>
            <w:tcW w:type="dxa" w:w="2340"/>
            <w:shd w:fill="FFFFFF"/>
            <w:tcMar>
              <w:top w:w="80" w:type="dxa"/>
              <w:bottom w:w="80" w:type="dxa"/>
              <w:left w:w="100" w:type="dxa"/>
              <w:right w:w="100" w:type="dxa"/>
            </w:tcMar>
          </w:tcPr>
          <w:p>
            <w:pPr>
              <w:jc w:val="right"/>
            </w:pPr>
            <w:r>
              <w:rPr>
                <w:rFonts w:ascii="Calibri" w:hAnsi="Calibri"/>
                <w:color w:val="222222"/>
                <w:sz w:val="18"/>
              </w:rPr>
              <w:t>29,37,166.26</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Fixed assets</w:t>
            </w:r>
          </w:p>
        </w:tc>
        <w:tc>
          <w:tcPr>
            <w:tcW w:type="dxa" w:w="2340"/>
            <w:shd w:fill="F9FAFB"/>
            <w:tcMar>
              <w:top w:w="80" w:type="dxa"/>
              <w:bottom w:w="80" w:type="dxa"/>
              <w:left w:w="100" w:type="dxa"/>
              <w:right w:w="100" w:type="dxa"/>
            </w:tcMar>
          </w:tcPr>
          <w:p>
            <w:pPr>
              <w:jc w:val="right"/>
            </w:pPr>
            <w:r>
              <w:rPr>
                <w:rFonts w:ascii="Calibri" w:hAnsi="Calibri"/>
                <w:color w:val="222222"/>
                <w:sz w:val="18"/>
              </w:rPr>
              <w:t>14,566.38</w:t>
            </w:r>
          </w:p>
        </w:tc>
        <w:tc>
          <w:tcPr>
            <w:tcW w:type="dxa" w:w="2340"/>
            <w:shd w:fill="F9FAFB"/>
            <w:tcMar>
              <w:top w:w="80" w:type="dxa"/>
              <w:bottom w:w="80" w:type="dxa"/>
              <w:left w:w="100" w:type="dxa"/>
              <w:right w:w="100" w:type="dxa"/>
            </w:tcMar>
          </w:tcPr>
          <w:p>
            <w:pPr>
              <w:jc w:val="right"/>
            </w:pPr>
            <w:r>
              <w:rPr>
                <w:rFonts w:ascii="Calibri" w:hAnsi="Calibri"/>
                <w:color w:val="222222"/>
                <w:sz w:val="18"/>
              </w:rPr>
              <w:t>13,784.70</w:t>
            </w:r>
          </w:p>
        </w:tc>
        <w:tc>
          <w:tcPr>
            <w:tcW w:type="dxa" w:w="2340"/>
            <w:shd w:fill="F9FAFB"/>
            <w:tcMar>
              <w:top w:w="80" w:type="dxa"/>
              <w:bottom w:w="80" w:type="dxa"/>
              <w:left w:w="100" w:type="dxa"/>
              <w:right w:w="100" w:type="dxa"/>
            </w:tcMar>
          </w:tcPr>
          <w:p>
            <w:pPr>
              <w:jc w:val="right"/>
            </w:pPr>
            <w:r>
              <w:rPr>
                <w:rFonts w:ascii="Calibri" w:hAnsi="Calibri"/>
                <w:color w:val="222222"/>
                <w:sz w:val="18"/>
              </w:rPr>
              <w:t>14,724.64</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Other assets</w:t>
            </w:r>
          </w:p>
        </w:tc>
        <w:tc>
          <w:tcPr>
            <w:tcW w:type="dxa" w:w="2340"/>
            <w:shd w:fill="FFFFFF"/>
            <w:tcMar>
              <w:top w:w="80" w:type="dxa"/>
              <w:bottom w:w="80" w:type="dxa"/>
              <w:left w:w="100" w:type="dxa"/>
              <w:right w:w="100" w:type="dxa"/>
            </w:tcMar>
          </w:tcPr>
          <w:p>
            <w:pPr>
              <w:jc w:val="right"/>
            </w:pPr>
            <w:r>
              <w:rPr>
                <w:rFonts w:ascii="Calibri" w:hAnsi="Calibri"/>
                <w:color w:val="222222"/>
                <w:sz w:val="18"/>
              </w:rPr>
              <w:t>2,02,613.77</w:t>
            </w:r>
          </w:p>
        </w:tc>
        <w:tc>
          <w:tcPr>
            <w:tcW w:type="dxa" w:w="2340"/>
            <w:shd w:fill="FFFFFF"/>
            <w:tcMar>
              <w:top w:w="80" w:type="dxa"/>
              <w:bottom w:w="80" w:type="dxa"/>
              <w:left w:w="100" w:type="dxa"/>
              <w:right w:w="100" w:type="dxa"/>
            </w:tcMar>
          </w:tcPr>
          <w:p>
            <w:pPr>
              <w:jc w:val="right"/>
            </w:pPr>
            <w:r>
              <w:rPr>
                <w:rFonts w:ascii="Calibri" w:hAnsi="Calibri"/>
                <w:color w:val="222222"/>
                <w:sz w:val="18"/>
              </w:rPr>
              <w:t>2,12,598.97</w:t>
            </w:r>
          </w:p>
        </w:tc>
        <w:tc>
          <w:tcPr>
            <w:tcW w:type="dxa" w:w="2340"/>
            <w:shd w:fill="FFFFFF"/>
            <w:tcMar>
              <w:top w:w="80" w:type="dxa"/>
              <w:bottom w:w="80" w:type="dxa"/>
              <w:left w:w="100" w:type="dxa"/>
              <w:right w:w="100" w:type="dxa"/>
            </w:tcMar>
          </w:tcPr>
          <w:p>
            <w:pPr>
              <w:jc w:val="right"/>
            </w:pPr>
            <w:r>
              <w:rPr>
                <w:rFonts w:ascii="Calibri" w:hAnsi="Calibri"/>
                <w:color w:val="222222"/>
                <w:sz w:val="18"/>
              </w:rPr>
              <w:t>2,30,327.59</w:t>
            </w:r>
          </w:p>
        </w:tc>
      </w:tr>
      <w:tr>
        <w:tc>
          <w:tcPr>
            <w:tcW w:type="dxa" w:w="2340"/>
            <w:shd w:fill="F9FAFB"/>
            <w:tcMar>
              <w:top w:w="80" w:type="dxa"/>
              <w:bottom w:w="80" w:type="dxa"/>
              <w:left w:w="100" w:type="dxa"/>
              <w:right w:w="100" w:type="dxa"/>
            </w:tcMar>
          </w:tcPr>
          <w:p>
            <w:pPr>
              <w:jc w:val="left"/>
            </w:pPr>
            <w:r>
              <w:rPr>
                <w:rFonts w:ascii="Calibri" w:hAnsi="Calibri"/>
                <w:color w:val="222222"/>
                <w:sz w:val="18"/>
              </w:rPr>
              <w:t>TOTAL ASSETS</w:t>
            </w:r>
          </w:p>
        </w:tc>
        <w:tc>
          <w:tcPr>
            <w:tcW w:type="dxa" w:w="2340"/>
            <w:shd w:fill="F9FAFB"/>
            <w:tcMar>
              <w:top w:w="80" w:type="dxa"/>
              <w:bottom w:w="80" w:type="dxa"/>
              <w:left w:w="100" w:type="dxa"/>
              <w:right w:w="100" w:type="dxa"/>
            </w:tcMar>
          </w:tcPr>
          <w:p>
            <w:pPr>
              <w:jc w:val="right"/>
            </w:pPr>
            <w:r>
              <w:rPr>
                <w:rFonts w:ascii="Calibri" w:hAnsi="Calibri"/>
                <w:color w:val="222222"/>
                <w:sz w:val="18"/>
              </w:rPr>
              <w:t>43,97,461.28</w:t>
            </w:r>
          </w:p>
        </w:tc>
        <w:tc>
          <w:tcPr>
            <w:tcW w:type="dxa" w:w="2340"/>
            <w:shd w:fill="F9FAFB"/>
            <w:tcMar>
              <w:top w:w="80" w:type="dxa"/>
              <w:bottom w:w="80" w:type="dxa"/>
              <w:left w:w="100" w:type="dxa"/>
              <w:right w:w="100" w:type="dxa"/>
            </w:tcMar>
          </w:tcPr>
          <w:p>
            <w:pPr>
              <w:jc w:val="right"/>
            </w:pPr>
            <w:r>
              <w:rPr>
                <w:rFonts w:ascii="Calibri" w:hAnsi="Calibri"/>
                <w:color w:val="222222"/>
                <w:sz w:val="18"/>
              </w:rPr>
              <w:t>39,54,076.66</w:t>
            </w:r>
          </w:p>
        </w:tc>
        <w:tc>
          <w:tcPr>
            <w:tcW w:type="dxa" w:w="2340"/>
            <w:shd w:fill="F9FAFB"/>
            <w:tcMar>
              <w:top w:w="80" w:type="dxa"/>
              <w:bottom w:w="80" w:type="dxa"/>
              <w:left w:w="100" w:type="dxa"/>
              <w:right w:w="100" w:type="dxa"/>
            </w:tcMar>
          </w:tcPr>
          <w:p>
            <w:pPr>
              <w:jc w:val="right"/>
            </w:pPr>
            <w:r>
              <w:rPr>
                <w:rFonts w:ascii="Calibri" w:hAnsi="Calibri"/>
                <w:color w:val="222222"/>
                <w:sz w:val="18"/>
              </w:rPr>
              <w:t>43,64,886.32</w:t>
            </w:r>
          </w:p>
        </w:tc>
      </w:tr>
    </w:tbl>
    <w:p>
      <w:pPr>
        <w:spacing w:after="240"/>
      </w:pPr>
    </w:p>
    <w:p>
      <w:pPr>
        <w:pStyle w:val="Heading2"/>
      </w:pPr>
      <w:r>
        <w:t>Table 4: Details of Non-Performing Assets Transferred (Note 9(i))</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003366"/>
            <w:tcMar>
              <w:top w:w="100" w:type="dxa"/>
              <w:bottom w:w="100" w:type="dxa"/>
              <w:left w:w="100" w:type="dxa"/>
              <w:right w:w="100" w:type="dxa"/>
            </w:tcMar>
          </w:tcPr>
          <w:p>
            <w:pPr>
              <w:jc w:val="left"/>
            </w:pPr>
            <w:r>
              <w:rPr>
                <w:rFonts w:ascii="Calibri" w:hAnsi="Calibri"/>
                <w:b/>
                <w:color w:val="FFFFFF"/>
                <w:sz w:val="19"/>
              </w:rPr>
              <w:t>Particulars</w:t>
            </w:r>
          </w:p>
        </w:tc>
        <w:tc>
          <w:tcPr>
            <w:tcW w:type="dxa" w:w="2340"/>
            <w:shd w:fill="003366"/>
            <w:tcMar>
              <w:top w:w="100" w:type="dxa"/>
              <w:bottom w:w="100" w:type="dxa"/>
              <w:left w:w="100" w:type="dxa"/>
              <w:right w:w="100" w:type="dxa"/>
            </w:tcMar>
          </w:tcPr>
          <w:p>
            <w:pPr>
              <w:jc w:val="left"/>
            </w:pPr>
            <w:r>
              <w:rPr>
                <w:rFonts w:ascii="Calibri" w:hAnsi="Calibri"/>
                <w:b/>
                <w:color w:val="FFFFFF"/>
                <w:sz w:val="19"/>
              </w:rPr>
              <w:t>To ARCs</w:t>
            </w:r>
          </w:p>
        </w:tc>
        <w:tc>
          <w:tcPr>
            <w:tcW w:type="dxa" w:w="2340"/>
            <w:shd w:fill="003366"/>
            <w:tcMar>
              <w:top w:w="100" w:type="dxa"/>
              <w:bottom w:w="100" w:type="dxa"/>
              <w:left w:w="100" w:type="dxa"/>
              <w:right w:w="100" w:type="dxa"/>
            </w:tcMar>
          </w:tcPr>
          <w:p>
            <w:pPr>
              <w:jc w:val="left"/>
            </w:pPr>
            <w:r>
              <w:rPr>
                <w:rFonts w:ascii="Calibri" w:hAnsi="Calibri"/>
                <w:b/>
                <w:color w:val="FFFFFF"/>
                <w:sz w:val="19"/>
              </w:rPr>
              <w:t>To Permitted Transferees</w:t>
            </w:r>
          </w:p>
        </w:tc>
        <w:tc>
          <w:tcPr>
            <w:tcW w:type="dxa" w:w="2340"/>
            <w:shd w:fill="003366"/>
            <w:tcMar>
              <w:top w:w="100" w:type="dxa"/>
              <w:bottom w:w="100" w:type="dxa"/>
              <w:left w:w="100" w:type="dxa"/>
              <w:right w:w="100" w:type="dxa"/>
            </w:tcMar>
          </w:tcPr>
          <w:p>
            <w:pPr>
              <w:jc w:val="left"/>
            </w:pPr>
            <w:r>
              <w:rPr>
                <w:rFonts w:ascii="Calibri" w:hAnsi="Calibri"/>
                <w:b/>
                <w:color w:val="FFFFFF"/>
                <w:sz w:val="19"/>
              </w:rPr>
              <w:t>To Other Transferees</w:t>
            </w:r>
          </w:p>
        </w:tc>
      </w:tr>
      <w:tr>
        <w:tc>
          <w:tcPr>
            <w:tcW w:type="dxa" w:w="2340"/>
            <w:shd w:fill="FFFFFF"/>
            <w:tcMar>
              <w:top w:w="80" w:type="dxa"/>
              <w:bottom w:w="80" w:type="dxa"/>
              <w:left w:w="100" w:type="dxa"/>
              <w:right w:w="100" w:type="dxa"/>
            </w:tcMar>
          </w:tcPr>
          <w:p>
            <w:pPr>
              <w:jc w:val="left"/>
            </w:pPr>
            <w:r>
              <w:rPr>
                <w:rFonts w:ascii="Calibri" w:hAnsi="Calibri"/>
                <w:color w:val="222222"/>
                <w:sz w:val="18"/>
              </w:rPr>
              <w:t>Number of accounts</w:t>
            </w:r>
          </w:p>
        </w:tc>
        <w:tc>
          <w:tcPr>
            <w:tcW w:type="dxa" w:w="2340"/>
            <w:shd w:fill="FFFFFF"/>
            <w:tcMar>
              <w:top w:w="80" w:type="dxa"/>
              <w:bottom w:w="80" w:type="dxa"/>
              <w:left w:w="100" w:type="dxa"/>
              <w:right w:w="100" w:type="dxa"/>
            </w:tcMar>
          </w:tcPr>
          <w:p>
            <w:pPr>
              <w:jc w:val="right"/>
            </w:pPr>
            <w:r>
              <w:rPr>
                <w:rFonts w:ascii="Calibri" w:hAnsi="Calibri"/>
                <w:color w:val="222222"/>
                <w:sz w:val="18"/>
              </w:rPr>
              <w:t>7.43*</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r>
      <w:tr>
        <w:tc>
          <w:tcPr>
            <w:tcW w:type="dxa" w:w="2340"/>
            <w:shd w:fill="F9FAFB"/>
            <w:tcMar>
              <w:top w:w="80" w:type="dxa"/>
              <w:bottom w:w="80" w:type="dxa"/>
              <w:left w:w="100" w:type="dxa"/>
              <w:right w:w="100" w:type="dxa"/>
            </w:tcMar>
          </w:tcPr>
          <w:p>
            <w:pPr>
              <w:jc w:val="left"/>
            </w:pPr>
            <w:r>
              <w:rPr>
                <w:rFonts w:ascii="Calibri" w:hAnsi="Calibri"/>
                <w:color w:val="222222"/>
                <w:sz w:val="18"/>
              </w:rPr>
              <w:t>Aggregate principal outstanding of loans transferred (₹ in cr)</w:t>
            </w:r>
          </w:p>
        </w:tc>
        <w:tc>
          <w:tcPr>
            <w:tcW w:type="dxa" w:w="2340"/>
            <w:shd w:fill="F9FAFB"/>
            <w:tcMar>
              <w:top w:w="80" w:type="dxa"/>
              <w:bottom w:w="80" w:type="dxa"/>
              <w:left w:w="100" w:type="dxa"/>
              <w:right w:w="100" w:type="dxa"/>
            </w:tcMar>
          </w:tcPr>
          <w:p>
            <w:pPr>
              <w:jc w:val="right"/>
            </w:pPr>
            <w:r>
              <w:rPr>
                <w:rFonts w:ascii="Calibri" w:hAnsi="Calibri"/>
                <w:color w:val="222222"/>
                <w:sz w:val="18"/>
              </w:rPr>
              <w:t>7.43</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r>
      <w:tr>
        <w:tc>
          <w:tcPr>
            <w:tcW w:type="dxa" w:w="2340"/>
            <w:shd w:fill="FFFFFF"/>
            <w:tcMar>
              <w:top w:w="80" w:type="dxa"/>
              <w:bottom w:w="80" w:type="dxa"/>
              <w:left w:w="100" w:type="dxa"/>
              <w:right w:w="100" w:type="dxa"/>
            </w:tcMar>
          </w:tcPr>
          <w:p>
            <w:pPr>
              <w:jc w:val="left"/>
            </w:pPr>
            <w:r>
              <w:rPr>
                <w:rFonts w:ascii="Calibri" w:hAnsi="Calibri"/>
                <w:color w:val="222222"/>
                <w:sz w:val="18"/>
              </w:rPr>
              <w:t>Weighted average residual tenor (in years)</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r>
      <w:tr>
        <w:tc>
          <w:tcPr>
            <w:tcW w:type="dxa" w:w="2340"/>
            <w:shd w:fill="F9FAFB"/>
            <w:tcMar>
              <w:top w:w="80" w:type="dxa"/>
              <w:bottom w:w="80" w:type="dxa"/>
              <w:left w:w="100" w:type="dxa"/>
              <w:right w:w="100" w:type="dxa"/>
            </w:tcMar>
          </w:tcPr>
          <w:p>
            <w:pPr>
              <w:jc w:val="left"/>
            </w:pPr>
            <w:r>
              <w:rPr>
                <w:rFonts w:ascii="Calibri" w:hAnsi="Calibri"/>
                <w:color w:val="222222"/>
                <w:sz w:val="18"/>
              </w:rPr>
              <w:t>Net book value of loans transferred (at time of transfer)</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r>
      <w:tr>
        <w:tc>
          <w:tcPr>
            <w:tcW w:type="dxa" w:w="2340"/>
            <w:shd w:fill="FFFFFF"/>
            <w:tcMar>
              <w:top w:w="80" w:type="dxa"/>
              <w:bottom w:w="80" w:type="dxa"/>
              <w:left w:w="100" w:type="dxa"/>
              <w:right w:w="100" w:type="dxa"/>
            </w:tcMar>
          </w:tcPr>
          <w:p>
            <w:pPr>
              <w:jc w:val="left"/>
            </w:pPr>
            <w:r>
              <w:rPr>
                <w:rFonts w:ascii="Calibri" w:hAnsi="Calibri"/>
                <w:color w:val="222222"/>
                <w:sz w:val="18"/>
              </w:rPr>
              <w:t>Aggregate consideration realized</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r>
      <w:tr>
        <w:tc>
          <w:tcPr>
            <w:tcW w:type="dxa" w:w="2340"/>
            <w:shd w:fill="F9FAFB"/>
            <w:tcMar>
              <w:top w:w="80" w:type="dxa"/>
              <w:bottom w:w="80" w:type="dxa"/>
              <w:left w:w="100" w:type="dxa"/>
              <w:right w:w="100" w:type="dxa"/>
            </w:tcMar>
          </w:tcPr>
          <w:p>
            <w:pPr>
              <w:jc w:val="left"/>
            </w:pPr>
            <w:r>
              <w:rPr>
                <w:rFonts w:ascii="Calibri" w:hAnsi="Calibri"/>
                <w:color w:val="222222"/>
                <w:sz w:val="18"/>
              </w:rPr>
              <w:t>Additional consideration realized from earlier years</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r>
    </w:tbl>
    <w:p>
      <w:pPr>
        <w:spacing w:after="240"/>
      </w:pPr>
      <w:r>
        <w:t>Note: The Bank has not transferred/acquired any loans not in default, stressed loans (NPAs/SMAs), or SMAs during Q1 FY27.</w:t>
      </w:r>
    </w:p>
    <w:p>
      <w:pPr>
        <w:pStyle w:val="Heading2"/>
      </w:pPr>
      <w:r>
        <w:t>Table 5: Outstanding Security Receipts (SRs) &amp; Recovery Ratings (Note 9(v))</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003366"/>
            <w:tcMar>
              <w:top w:w="100" w:type="dxa"/>
              <w:bottom w:w="100" w:type="dxa"/>
              <w:left w:w="100" w:type="dxa"/>
              <w:right w:w="100" w:type="dxa"/>
            </w:tcMar>
          </w:tcPr>
          <w:p>
            <w:pPr>
              <w:jc w:val="left"/>
            </w:pPr>
            <w:r>
              <w:rPr>
                <w:rFonts w:ascii="Calibri" w:hAnsi="Calibri"/>
                <w:b/>
                <w:color w:val="FFFFFF"/>
                <w:sz w:val="19"/>
              </w:rPr>
              <w:t>Rating Grade</w:t>
            </w:r>
          </w:p>
        </w:tc>
        <w:tc>
          <w:tcPr>
            <w:tcW w:type="dxa" w:w="2340"/>
            <w:shd w:fill="003366"/>
            <w:tcMar>
              <w:top w:w="100" w:type="dxa"/>
              <w:bottom w:w="100" w:type="dxa"/>
              <w:left w:w="100" w:type="dxa"/>
              <w:right w:w="100" w:type="dxa"/>
            </w:tcMar>
          </w:tcPr>
          <w:p>
            <w:pPr>
              <w:jc w:val="left"/>
            </w:pPr>
            <w:r>
              <w:rPr>
                <w:rFonts w:ascii="Calibri" w:hAnsi="Calibri"/>
                <w:b/>
                <w:color w:val="FFFFFF"/>
                <w:sz w:val="19"/>
              </w:rPr>
              <w:t>Rating Agency</w:t>
            </w:r>
          </w:p>
        </w:tc>
        <w:tc>
          <w:tcPr>
            <w:tcW w:type="dxa" w:w="2340"/>
            <w:shd w:fill="003366"/>
            <w:tcMar>
              <w:top w:w="100" w:type="dxa"/>
              <w:bottom w:w="100" w:type="dxa"/>
              <w:left w:w="100" w:type="dxa"/>
              <w:right w:w="100" w:type="dxa"/>
            </w:tcMar>
          </w:tcPr>
          <w:p>
            <w:pPr>
              <w:jc w:val="left"/>
            </w:pPr>
            <w:r>
              <w:rPr>
                <w:rFonts w:ascii="Calibri" w:hAnsi="Calibri"/>
                <w:b/>
                <w:color w:val="FFFFFF"/>
                <w:sz w:val="19"/>
              </w:rPr>
              <w:t>Recovery Rating Benchmark</w:t>
            </w:r>
          </w:p>
        </w:tc>
        <w:tc>
          <w:tcPr>
            <w:tcW w:type="dxa" w:w="2340"/>
            <w:shd w:fill="003366"/>
            <w:tcMar>
              <w:top w:w="100" w:type="dxa"/>
              <w:bottom w:w="100" w:type="dxa"/>
              <w:left w:w="100" w:type="dxa"/>
              <w:right w:w="100" w:type="dxa"/>
            </w:tcMar>
          </w:tcPr>
          <w:p>
            <w:pPr>
              <w:jc w:val="left"/>
            </w:pPr>
            <w:r>
              <w:rPr>
                <w:rFonts w:ascii="Calibri" w:hAnsi="Calibri"/>
                <w:b/>
                <w:color w:val="FFFFFF"/>
                <w:sz w:val="19"/>
              </w:rPr>
              <w:t>Gross Value of Outstanding SRs (₹ in crore)</w:t>
            </w:r>
          </w:p>
        </w:tc>
      </w:tr>
      <w:tr>
        <w:tc>
          <w:tcPr>
            <w:tcW w:type="dxa" w:w="2340"/>
            <w:shd w:fill="FFFFFF"/>
            <w:tcMar>
              <w:top w:w="80" w:type="dxa"/>
              <w:bottom w:w="80" w:type="dxa"/>
              <w:left w:w="100" w:type="dxa"/>
              <w:right w:w="100" w:type="dxa"/>
            </w:tcMar>
          </w:tcPr>
          <w:p>
            <w:pPr>
              <w:jc w:val="left"/>
            </w:pPr>
            <w:r>
              <w:rPr>
                <w:rFonts w:ascii="Calibri" w:hAnsi="Calibri"/>
                <w:color w:val="222222"/>
                <w:sz w:val="18"/>
              </w:rPr>
              <w:t>RR1+</w:t>
            </w:r>
          </w:p>
        </w:tc>
        <w:tc>
          <w:tcPr>
            <w:tcW w:type="dxa" w:w="2340"/>
            <w:shd w:fill="FFFFFF"/>
            <w:tcMar>
              <w:top w:w="80" w:type="dxa"/>
              <w:bottom w:w="80" w:type="dxa"/>
              <w:left w:w="100" w:type="dxa"/>
              <w:right w:w="100" w:type="dxa"/>
            </w:tcMar>
          </w:tcPr>
          <w:p>
            <w:pPr>
              <w:jc w:val="left"/>
            </w:pPr>
            <w:r>
              <w:rPr>
                <w:rFonts w:ascii="Calibri" w:hAnsi="Calibri"/>
                <w:color w:val="222222"/>
                <w:sz w:val="18"/>
              </w:rPr>
              <w:t>India Ratings</w:t>
            </w:r>
          </w:p>
        </w:tc>
        <w:tc>
          <w:tcPr>
            <w:tcW w:type="dxa" w:w="2340"/>
            <w:shd w:fill="FFFFFF"/>
            <w:tcMar>
              <w:top w:w="80" w:type="dxa"/>
              <w:bottom w:w="80" w:type="dxa"/>
              <w:left w:w="100" w:type="dxa"/>
              <w:right w:w="100" w:type="dxa"/>
            </w:tcMar>
          </w:tcPr>
          <w:p>
            <w:pPr>
              <w:jc w:val="right"/>
            </w:pPr>
            <w:r>
              <w:rPr>
                <w:rFonts w:ascii="Calibri" w:hAnsi="Calibri"/>
                <w:color w:val="222222"/>
                <w:sz w:val="18"/>
              </w:rPr>
              <w:t>More than 150%</w:t>
            </w:r>
          </w:p>
        </w:tc>
        <w:tc>
          <w:tcPr>
            <w:tcW w:type="dxa" w:w="2340"/>
            <w:shd w:fill="FFFFFF"/>
            <w:tcMar>
              <w:top w:w="80" w:type="dxa"/>
              <w:bottom w:w="80" w:type="dxa"/>
              <w:left w:w="100" w:type="dxa"/>
              <w:right w:w="100" w:type="dxa"/>
            </w:tcMar>
          </w:tcPr>
          <w:p>
            <w:pPr>
              <w:jc w:val="right"/>
            </w:pPr>
            <w:r>
              <w:rPr>
                <w:rFonts w:ascii="Calibri" w:hAnsi="Calibri"/>
                <w:color w:val="222222"/>
                <w:sz w:val="18"/>
              </w:rPr>
              <w:t>0.15</w:t>
            </w:r>
          </w:p>
        </w:tc>
      </w:tr>
      <w:tr>
        <w:tc>
          <w:tcPr>
            <w:tcW w:type="dxa" w:w="2340"/>
            <w:shd w:fill="F9FAFB"/>
            <w:tcMar>
              <w:top w:w="80" w:type="dxa"/>
              <w:bottom w:w="80" w:type="dxa"/>
              <w:left w:w="100" w:type="dxa"/>
              <w:right w:w="100" w:type="dxa"/>
            </w:tcMar>
          </w:tcPr>
          <w:p>
            <w:pPr>
              <w:jc w:val="left"/>
            </w:pPr>
            <w:r>
              <w:rPr>
                <w:rFonts w:ascii="Calibri" w:hAnsi="Calibri"/>
                <w:color w:val="222222"/>
                <w:sz w:val="18"/>
              </w:rPr>
              <w:t>RR1</w:t>
            </w:r>
          </w:p>
        </w:tc>
        <w:tc>
          <w:tcPr>
            <w:tcW w:type="dxa" w:w="2340"/>
            <w:shd w:fill="F9FAFB"/>
            <w:tcMar>
              <w:top w:w="80" w:type="dxa"/>
              <w:bottom w:w="80" w:type="dxa"/>
              <w:left w:w="100" w:type="dxa"/>
              <w:right w:w="100" w:type="dxa"/>
            </w:tcMar>
          </w:tcPr>
          <w:p>
            <w:pPr>
              <w:jc w:val="left"/>
            </w:pPr>
            <w:r>
              <w:rPr>
                <w:rFonts w:ascii="Calibri" w:hAnsi="Calibri"/>
                <w:color w:val="222222"/>
                <w:sz w:val="18"/>
              </w:rPr>
              <w:t>ICRA</w:t>
            </w:r>
          </w:p>
        </w:tc>
        <w:tc>
          <w:tcPr>
            <w:tcW w:type="dxa" w:w="2340"/>
            <w:shd w:fill="F9FAFB"/>
            <w:tcMar>
              <w:top w:w="80" w:type="dxa"/>
              <w:bottom w:w="80" w:type="dxa"/>
              <w:left w:w="100" w:type="dxa"/>
              <w:right w:w="100" w:type="dxa"/>
            </w:tcMar>
          </w:tcPr>
          <w:p>
            <w:pPr>
              <w:jc w:val="right"/>
            </w:pPr>
            <w:r>
              <w:rPr>
                <w:rFonts w:ascii="Calibri" w:hAnsi="Calibri"/>
                <w:color w:val="222222"/>
                <w:sz w:val="18"/>
              </w:rPr>
              <w:t>100% - 150%</w:t>
            </w:r>
          </w:p>
        </w:tc>
        <w:tc>
          <w:tcPr>
            <w:tcW w:type="dxa" w:w="2340"/>
            <w:shd w:fill="F9FAFB"/>
            <w:tcMar>
              <w:top w:w="80" w:type="dxa"/>
              <w:bottom w:w="80" w:type="dxa"/>
              <w:left w:w="100" w:type="dxa"/>
              <w:right w:w="100" w:type="dxa"/>
            </w:tcMar>
          </w:tcPr>
          <w:p>
            <w:pPr>
              <w:jc w:val="right"/>
            </w:pPr>
            <w:r>
              <w:rPr>
                <w:rFonts w:ascii="Calibri" w:hAnsi="Calibri"/>
                <w:color w:val="222222"/>
                <w:sz w:val="18"/>
              </w:rPr>
              <w:t>111.65</w:t>
            </w:r>
          </w:p>
        </w:tc>
      </w:tr>
      <w:tr>
        <w:tc>
          <w:tcPr>
            <w:tcW w:type="dxa" w:w="2340"/>
            <w:shd w:fill="FFFFFF"/>
            <w:tcMar>
              <w:top w:w="80" w:type="dxa"/>
              <w:bottom w:w="80" w:type="dxa"/>
              <w:left w:w="100" w:type="dxa"/>
              <w:right w:w="100" w:type="dxa"/>
            </w:tcMar>
          </w:tcPr>
          <w:p>
            <w:pPr>
              <w:jc w:val="left"/>
            </w:pPr>
            <w:r>
              <w:rPr>
                <w:rFonts w:ascii="Calibri" w:hAnsi="Calibri"/>
                <w:color w:val="222222"/>
                <w:sz w:val="18"/>
              </w:rPr>
              <w:t>RR2</w:t>
            </w:r>
          </w:p>
        </w:tc>
        <w:tc>
          <w:tcPr>
            <w:tcW w:type="dxa" w:w="2340"/>
            <w:shd w:fill="FFFFFF"/>
            <w:tcMar>
              <w:top w:w="80" w:type="dxa"/>
              <w:bottom w:w="80" w:type="dxa"/>
              <w:left w:w="100" w:type="dxa"/>
              <w:right w:w="100" w:type="dxa"/>
            </w:tcMar>
          </w:tcPr>
          <w:p>
            <w:pPr>
              <w:jc w:val="left"/>
            </w:pPr>
            <w:r>
              <w:rPr>
                <w:rFonts w:ascii="Calibri" w:hAnsi="Calibri"/>
                <w:color w:val="222222"/>
                <w:sz w:val="18"/>
              </w:rPr>
              <w:t>India Ratings</w:t>
            </w:r>
          </w:p>
        </w:tc>
        <w:tc>
          <w:tcPr>
            <w:tcW w:type="dxa" w:w="2340"/>
            <w:shd w:fill="FFFFFF"/>
            <w:tcMar>
              <w:top w:w="80" w:type="dxa"/>
              <w:bottom w:w="80" w:type="dxa"/>
              <w:left w:w="100" w:type="dxa"/>
              <w:right w:w="100" w:type="dxa"/>
            </w:tcMar>
          </w:tcPr>
          <w:p>
            <w:pPr>
              <w:jc w:val="right"/>
            </w:pPr>
            <w:r>
              <w:rPr>
                <w:rFonts w:ascii="Calibri" w:hAnsi="Calibri"/>
                <w:color w:val="222222"/>
                <w:sz w:val="18"/>
              </w:rPr>
              <w:t>75% - 100%</w:t>
            </w:r>
          </w:p>
        </w:tc>
        <w:tc>
          <w:tcPr>
            <w:tcW w:type="dxa" w:w="2340"/>
            <w:shd w:fill="FFFFFF"/>
            <w:tcMar>
              <w:top w:w="80" w:type="dxa"/>
              <w:bottom w:w="80" w:type="dxa"/>
              <w:left w:w="100" w:type="dxa"/>
              <w:right w:w="100" w:type="dxa"/>
            </w:tcMar>
          </w:tcPr>
          <w:p>
            <w:pPr>
              <w:jc w:val="right"/>
            </w:pPr>
            <w:r>
              <w:rPr>
                <w:rFonts w:ascii="Calibri" w:hAnsi="Calibri"/>
                <w:color w:val="222222"/>
                <w:sz w:val="18"/>
              </w:rPr>
              <w:t>27.32</w:t>
            </w:r>
          </w:p>
        </w:tc>
      </w:tr>
      <w:tr>
        <w:tc>
          <w:tcPr>
            <w:tcW w:type="dxa" w:w="2340"/>
            <w:shd w:fill="F9FAFB"/>
            <w:tcMar>
              <w:top w:w="80" w:type="dxa"/>
              <w:bottom w:w="80" w:type="dxa"/>
              <w:left w:w="100" w:type="dxa"/>
              <w:right w:w="100" w:type="dxa"/>
            </w:tcMar>
          </w:tcPr>
          <w:p>
            <w:pPr>
              <w:jc w:val="left"/>
            </w:pPr>
            <w:r>
              <w:rPr>
                <w:rFonts w:ascii="Calibri" w:hAnsi="Calibri"/>
                <w:color w:val="222222"/>
                <w:sz w:val="18"/>
              </w:rPr>
              <w:t>RR4</w:t>
            </w:r>
          </w:p>
        </w:tc>
        <w:tc>
          <w:tcPr>
            <w:tcW w:type="dxa" w:w="2340"/>
            <w:shd w:fill="F9FAFB"/>
            <w:tcMar>
              <w:top w:w="80" w:type="dxa"/>
              <w:bottom w:w="80" w:type="dxa"/>
              <w:left w:w="100" w:type="dxa"/>
              <w:right w:w="100" w:type="dxa"/>
            </w:tcMar>
          </w:tcPr>
          <w:p>
            <w:pPr>
              <w:jc w:val="left"/>
            </w:pPr>
            <w:r>
              <w:rPr>
                <w:rFonts w:ascii="Calibri" w:hAnsi="Calibri"/>
                <w:color w:val="222222"/>
                <w:sz w:val="18"/>
              </w:rPr>
              <w:t>India Ratings</w:t>
            </w:r>
          </w:p>
        </w:tc>
        <w:tc>
          <w:tcPr>
            <w:tcW w:type="dxa" w:w="2340"/>
            <w:shd w:fill="F9FAFB"/>
            <w:tcMar>
              <w:top w:w="80" w:type="dxa"/>
              <w:bottom w:w="80" w:type="dxa"/>
              <w:left w:w="100" w:type="dxa"/>
              <w:right w:w="100" w:type="dxa"/>
            </w:tcMar>
          </w:tcPr>
          <w:p>
            <w:pPr>
              <w:jc w:val="right"/>
            </w:pPr>
            <w:r>
              <w:rPr>
                <w:rFonts w:ascii="Calibri" w:hAnsi="Calibri"/>
                <w:color w:val="222222"/>
                <w:sz w:val="18"/>
              </w:rPr>
              <w:t>25% - 50%</w:t>
            </w:r>
          </w:p>
        </w:tc>
        <w:tc>
          <w:tcPr>
            <w:tcW w:type="dxa" w:w="2340"/>
            <w:shd w:fill="F9FAFB"/>
            <w:tcMar>
              <w:top w:w="80" w:type="dxa"/>
              <w:bottom w:w="80" w:type="dxa"/>
              <w:left w:w="100" w:type="dxa"/>
              <w:right w:w="100" w:type="dxa"/>
            </w:tcMar>
          </w:tcPr>
          <w:p>
            <w:pPr>
              <w:jc w:val="right"/>
            </w:pPr>
            <w:r>
              <w:rPr>
                <w:rFonts w:ascii="Calibri" w:hAnsi="Calibri"/>
                <w:color w:val="222222"/>
                <w:sz w:val="18"/>
              </w:rPr>
              <w:t>35.14</w:t>
            </w:r>
          </w:p>
        </w:tc>
      </w:tr>
      <w:tr>
        <w:tc>
          <w:tcPr>
            <w:tcW w:type="dxa" w:w="2340"/>
            <w:shd w:fill="FFFFFF"/>
            <w:tcMar>
              <w:top w:w="80" w:type="dxa"/>
              <w:bottom w:w="80" w:type="dxa"/>
              <w:left w:w="100" w:type="dxa"/>
              <w:right w:w="100" w:type="dxa"/>
            </w:tcMar>
          </w:tcPr>
          <w:p>
            <w:pPr>
              <w:jc w:val="left"/>
            </w:pPr>
            <w:r>
              <w:rPr>
                <w:rFonts w:ascii="Calibri" w:hAnsi="Calibri"/>
                <w:color w:val="222222"/>
                <w:sz w:val="18"/>
              </w:rPr>
              <w:t>RR5</w:t>
            </w:r>
          </w:p>
        </w:tc>
        <w:tc>
          <w:tcPr>
            <w:tcW w:type="dxa" w:w="2340"/>
            <w:shd w:fill="FFFFFF"/>
            <w:tcMar>
              <w:top w:w="80" w:type="dxa"/>
              <w:bottom w:w="80" w:type="dxa"/>
              <w:left w:w="100" w:type="dxa"/>
              <w:right w:w="100" w:type="dxa"/>
            </w:tcMar>
          </w:tcPr>
          <w:p>
            <w:pPr>
              <w:jc w:val="left"/>
            </w:pPr>
            <w:r>
              <w:rPr>
                <w:rFonts w:ascii="Calibri" w:hAnsi="Calibri"/>
                <w:color w:val="222222"/>
                <w:sz w:val="18"/>
              </w:rPr>
              <w:t>India Ratings</w:t>
            </w:r>
          </w:p>
        </w:tc>
        <w:tc>
          <w:tcPr>
            <w:tcW w:type="dxa" w:w="2340"/>
            <w:shd w:fill="FFFFFF"/>
            <w:tcMar>
              <w:top w:w="80" w:type="dxa"/>
              <w:bottom w:w="80" w:type="dxa"/>
              <w:left w:w="100" w:type="dxa"/>
              <w:right w:w="100" w:type="dxa"/>
            </w:tcMar>
          </w:tcPr>
          <w:p>
            <w:pPr>
              <w:jc w:val="right"/>
            </w:pPr>
            <w:r>
              <w:rPr>
                <w:rFonts w:ascii="Calibri" w:hAnsi="Calibri"/>
                <w:color w:val="222222"/>
                <w:sz w:val="18"/>
              </w:rPr>
              <w:t>Upto 25%</w:t>
            </w:r>
          </w:p>
        </w:tc>
        <w:tc>
          <w:tcPr>
            <w:tcW w:type="dxa" w:w="2340"/>
            <w:shd w:fill="FFFFFF"/>
            <w:tcMar>
              <w:top w:w="80" w:type="dxa"/>
              <w:bottom w:w="80" w:type="dxa"/>
              <w:left w:w="100" w:type="dxa"/>
              <w:right w:w="100" w:type="dxa"/>
            </w:tcMar>
          </w:tcPr>
          <w:p>
            <w:pPr>
              <w:jc w:val="right"/>
            </w:pPr>
            <w:r>
              <w:rPr>
                <w:rFonts w:ascii="Calibri" w:hAnsi="Calibri"/>
                <w:color w:val="222222"/>
                <w:sz w:val="18"/>
              </w:rPr>
              <w:t>125.67</w:t>
            </w:r>
          </w:p>
        </w:tc>
      </w:tr>
      <w:tr>
        <w:tc>
          <w:tcPr>
            <w:tcW w:type="dxa" w:w="2340"/>
            <w:shd w:fill="F9FAFB"/>
            <w:tcMar>
              <w:top w:w="80" w:type="dxa"/>
              <w:bottom w:w="80" w:type="dxa"/>
              <w:left w:w="100" w:type="dxa"/>
              <w:right w:w="100" w:type="dxa"/>
            </w:tcMar>
          </w:tcPr>
          <w:p>
            <w:pPr>
              <w:jc w:val="left"/>
            </w:pPr>
            <w:r>
              <w:rPr>
                <w:rFonts w:ascii="Calibri" w:hAnsi="Calibri"/>
                <w:color w:val="222222"/>
                <w:sz w:val="18"/>
              </w:rPr>
              <w:t>RR5</w:t>
            </w:r>
          </w:p>
        </w:tc>
        <w:tc>
          <w:tcPr>
            <w:tcW w:type="dxa" w:w="2340"/>
            <w:shd w:fill="F9FAFB"/>
            <w:tcMar>
              <w:top w:w="80" w:type="dxa"/>
              <w:bottom w:w="80" w:type="dxa"/>
              <w:left w:w="100" w:type="dxa"/>
              <w:right w:w="100" w:type="dxa"/>
            </w:tcMar>
          </w:tcPr>
          <w:p>
            <w:pPr>
              <w:jc w:val="left"/>
            </w:pPr>
            <w:r>
              <w:rPr>
                <w:rFonts w:ascii="Calibri" w:hAnsi="Calibri"/>
                <w:color w:val="222222"/>
                <w:sz w:val="18"/>
              </w:rPr>
              <w:t>CRISIL</w:t>
            </w:r>
          </w:p>
        </w:tc>
        <w:tc>
          <w:tcPr>
            <w:tcW w:type="dxa" w:w="2340"/>
            <w:shd w:fill="F9FAFB"/>
            <w:tcMar>
              <w:top w:w="80" w:type="dxa"/>
              <w:bottom w:w="80" w:type="dxa"/>
              <w:left w:w="100" w:type="dxa"/>
              <w:right w:w="100" w:type="dxa"/>
            </w:tcMar>
          </w:tcPr>
          <w:p>
            <w:pPr>
              <w:jc w:val="right"/>
            </w:pPr>
            <w:r>
              <w:rPr>
                <w:rFonts w:ascii="Calibri" w:hAnsi="Calibri"/>
                <w:color w:val="222222"/>
                <w:sz w:val="18"/>
              </w:rPr>
              <w:t>Upto 25%</w:t>
            </w:r>
          </w:p>
        </w:tc>
        <w:tc>
          <w:tcPr>
            <w:tcW w:type="dxa" w:w="2340"/>
            <w:shd w:fill="F9FAFB"/>
            <w:tcMar>
              <w:top w:w="80" w:type="dxa"/>
              <w:bottom w:w="80" w:type="dxa"/>
              <w:left w:w="100" w:type="dxa"/>
              <w:right w:w="100" w:type="dxa"/>
            </w:tcMar>
          </w:tcPr>
          <w:p>
            <w:pPr>
              <w:jc w:val="right"/>
            </w:pPr>
            <w:r>
              <w:rPr>
                <w:rFonts w:ascii="Calibri" w:hAnsi="Calibri"/>
                <w:color w:val="222222"/>
                <w:sz w:val="18"/>
              </w:rPr>
              <w:t>29.41</w:t>
            </w:r>
          </w:p>
        </w:tc>
      </w:tr>
      <w:tr>
        <w:tc>
          <w:tcPr>
            <w:tcW w:type="dxa" w:w="2340"/>
            <w:shd w:fill="FFFFFF"/>
            <w:tcMar>
              <w:top w:w="80" w:type="dxa"/>
              <w:bottom w:w="80" w:type="dxa"/>
              <w:left w:w="100" w:type="dxa"/>
              <w:right w:w="100" w:type="dxa"/>
            </w:tcMar>
          </w:tcPr>
          <w:p>
            <w:pPr>
              <w:jc w:val="left"/>
            </w:pPr>
            <w:r>
              <w:rPr>
                <w:rFonts w:ascii="Calibri" w:hAnsi="Calibri"/>
                <w:color w:val="222222"/>
                <w:sz w:val="18"/>
              </w:rPr>
              <w:t>Unrated</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left"/>
            </w:pPr>
            <w:r>
              <w:rPr>
                <w:rFonts w:ascii="Calibri" w:hAnsi="Calibri"/>
                <w:color w:val="222222"/>
                <w:sz w:val="18"/>
              </w:rPr>
              <w:t>-</w:t>
            </w:r>
          </w:p>
        </w:tc>
        <w:tc>
          <w:tcPr>
            <w:tcW w:type="dxa" w:w="2340"/>
            <w:shd w:fill="FFFFFF"/>
            <w:tcMar>
              <w:top w:w="80" w:type="dxa"/>
              <w:bottom w:w="80" w:type="dxa"/>
              <w:left w:w="100" w:type="dxa"/>
              <w:right w:w="100" w:type="dxa"/>
            </w:tcMar>
          </w:tcPr>
          <w:p>
            <w:pPr>
              <w:jc w:val="right"/>
            </w:pPr>
            <w:r>
              <w:rPr>
                <w:rFonts w:ascii="Calibri" w:hAnsi="Calibri"/>
                <w:color w:val="222222"/>
                <w:sz w:val="18"/>
              </w:rPr>
              <w:t>719.85</w:t>
            </w:r>
          </w:p>
        </w:tc>
      </w:tr>
      <w:tr>
        <w:tc>
          <w:tcPr>
            <w:tcW w:type="dxa" w:w="2340"/>
            <w:shd w:fill="F9FAFB"/>
            <w:tcMar>
              <w:top w:w="80" w:type="dxa"/>
              <w:bottom w:w="80" w:type="dxa"/>
              <w:left w:w="100" w:type="dxa"/>
              <w:right w:w="100" w:type="dxa"/>
            </w:tcMar>
          </w:tcPr>
          <w:p>
            <w:pPr>
              <w:jc w:val="left"/>
            </w:pPr>
            <w:r>
              <w:rPr>
                <w:rFonts w:ascii="Calibri" w:hAnsi="Calibri"/>
                <w:color w:val="222222"/>
                <w:sz w:val="18"/>
              </w:rPr>
              <w:t>TOTAL OUTSTANDING SRs</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left"/>
            </w:pPr>
            <w:r>
              <w:rPr>
                <w:rFonts w:ascii="Calibri" w:hAnsi="Calibri"/>
                <w:color w:val="222222"/>
                <w:sz w:val="18"/>
              </w:rPr>
              <w:t>-</w:t>
            </w:r>
          </w:p>
        </w:tc>
        <w:tc>
          <w:tcPr>
            <w:tcW w:type="dxa" w:w="2340"/>
            <w:shd w:fill="F9FAFB"/>
            <w:tcMar>
              <w:top w:w="80" w:type="dxa"/>
              <w:bottom w:w="80" w:type="dxa"/>
              <w:left w:w="100" w:type="dxa"/>
              <w:right w:w="100" w:type="dxa"/>
            </w:tcMar>
          </w:tcPr>
          <w:p>
            <w:pPr>
              <w:jc w:val="right"/>
            </w:pPr>
            <w:r>
              <w:rPr>
                <w:rFonts w:ascii="Calibri" w:hAnsi="Calibri"/>
                <w:color w:val="222222"/>
                <w:sz w:val="18"/>
              </w:rPr>
              <w:t>1,049.19</w:t>
            </w:r>
          </w:p>
        </w:tc>
      </w:tr>
    </w:tbl>
    <w:p>
      <w:pPr>
        <w:spacing w:after="240"/>
      </w:pPr>
    </w:p>
    <w:p>
      <w:pPr>
        <w:pStyle w:val="Heading2"/>
      </w:pPr>
      <w:r>
        <w:t>Table 6: Disclosures Related to Infrastructure Project Finance (Note 10)</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20"/>
            <w:shd w:fill="003366"/>
            <w:tcMar>
              <w:top w:w="100" w:type="dxa"/>
              <w:bottom w:w="100" w:type="dxa"/>
              <w:left w:w="100" w:type="dxa"/>
              <w:right w:w="100" w:type="dxa"/>
            </w:tcMar>
          </w:tcPr>
          <w:p>
            <w:pPr>
              <w:jc w:val="left"/>
            </w:pPr>
            <w:r>
              <w:rPr>
                <w:rFonts w:ascii="Calibri" w:hAnsi="Calibri"/>
                <w:b/>
                <w:color w:val="FFFFFF"/>
                <w:sz w:val="19"/>
              </w:rPr>
              <w:t>Item Description</w:t>
            </w:r>
          </w:p>
        </w:tc>
        <w:tc>
          <w:tcPr>
            <w:tcW w:type="dxa" w:w="3120"/>
            <w:shd w:fill="003366"/>
            <w:tcMar>
              <w:top w:w="100" w:type="dxa"/>
              <w:bottom w:w="100" w:type="dxa"/>
              <w:left w:w="100" w:type="dxa"/>
              <w:right w:w="100" w:type="dxa"/>
            </w:tcMar>
          </w:tcPr>
          <w:p>
            <w:pPr>
              <w:jc w:val="left"/>
            </w:pPr>
            <w:r>
              <w:rPr>
                <w:rFonts w:ascii="Calibri" w:hAnsi="Calibri"/>
                <w:b/>
                <w:color w:val="FFFFFF"/>
                <w:sz w:val="19"/>
              </w:rPr>
              <w:t>Number of Accounts</w:t>
            </w:r>
          </w:p>
        </w:tc>
        <w:tc>
          <w:tcPr>
            <w:tcW w:type="dxa" w:w="3120"/>
            <w:shd w:fill="003366"/>
            <w:tcMar>
              <w:top w:w="100" w:type="dxa"/>
              <w:bottom w:w="100" w:type="dxa"/>
              <w:left w:w="100" w:type="dxa"/>
              <w:right w:w="100" w:type="dxa"/>
            </w:tcMar>
          </w:tcPr>
          <w:p>
            <w:pPr>
              <w:jc w:val="left"/>
            </w:pPr>
            <w:r>
              <w:rPr>
                <w:rFonts w:ascii="Calibri" w:hAnsi="Calibri"/>
                <w:b/>
                <w:color w:val="FFFFFF"/>
                <w:sz w:val="19"/>
              </w:rPr>
              <w:t>Total Outstanding Amount (₹ in crore)</w:t>
            </w:r>
          </w:p>
        </w:tc>
      </w:tr>
      <w:tr>
        <w:tc>
          <w:tcPr>
            <w:tcW w:type="dxa" w:w="3120"/>
            <w:shd w:fill="FFFFFF"/>
            <w:tcMar>
              <w:top w:w="80" w:type="dxa"/>
              <w:bottom w:w="80" w:type="dxa"/>
              <w:left w:w="100" w:type="dxa"/>
              <w:right w:w="100" w:type="dxa"/>
            </w:tcMar>
          </w:tcPr>
          <w:p>
            <w:pPr>
              <w:jc w:val="left"/>
            </w:pPr>
            <w:r>
              <w:rPr>
                <w:rFonts w:ascii="Calibri" w:hAnsi="Calibri"/>
                <w:color w:val="222222"/>
                <w:sz w:val="18"/>
              </w:rPr>
              <w:t>1. Projects under implementation at beginning of quarter</w:t>
            </w:r>
          </w:p>
        </w:tc>
        <w:tc>
          <w:tcPr>
            <w:tcW w:type="dxa" w:w="3120"/>
            <w:shd w:fill="FFFFFF"/>
            <w:tcMar>
              <w:top w:w="80" w:type="dxa"/>
              <w:bottom w:w="80" w:type="dxa"/>
              <w:left w:w="100" w:type="dxa"/>
              <w:right w:w="100" w:type="dxa"/>
            </w:tcMar>
          </w:tcPr>
          <w:p>
            <w:pPr>
              <w:jc w:val="right"/>
            </w:pPr>
            <w:r>
              <w:rPr>
                <w:rFonts w:ascii="Calibri" w:hAnsi="Calibri"/>
                <w:color w:val="222222"/>
                <w:sz w:val="18"/>
              </w:rPr>
              <w:t>447</w:t>
            </w:r>
          </w:p>
        </w:tc>
        <w:tc>
          <w:tcPr>
            <w:tcW w:type="dxa" w:w="3120"/>
            <w:shd w:fill="FFFFFF"/>
            <w:tcMar>
              <w:top w:w="80" w:type="dxa"/>
              <w:bottom w:w="80" w:type="dxa"/>
              <w:left w:w="100" w:type="dxa"/>
              <w:right w:w="100" w:type="dxa"/>
            </w:tcMar>
          </w:tcPr>
          <w:p>
            <w:pPr>
              <w:jc w:val="right"/>
            </w:pPr>
            <w:r>
              <w:rPr>
                <w:rFonts w:ascii="Calibri" w:hAnsi="Calibri"/>
                <w:color w:val="222222"/>
                <w:sz w:val="18"/>
              </w:rPr>
              <w:t>24,693.48</w:t>
            </w:r>
          </w:p>
        </w:tc>
      </w:tr>
      <w:tr>
        <w:tc>
          <w:tcPr>
            <w:tcW w:type="dxa" w:w="3120"/>
            <w:shd w:fill="F9FAFB"/>
            <w:tcMar>
              <w:top w:w="80" w:type="dxa"/>
              <w:bottom w:w="80" w:type="dxa"/>
              <w:left w:w="100" w:type="dxa"/>
              <w:right w:w="100" w:type="dxa"/>
            </w:tcMar>
          </w:tcPr>
          <w:p>
            <w:pPr>
              <w:jc w:val="left"/>
            </w:pPr>
            <w:r>
              <w:rPr>
                <w:rFonts w:ascii="Calibri" w:hAnsi="Calibri"/>
                <w:color w:val="222222"/>
                <w:sz w:val="18"/>
              </w:rPr>
              <w:t>2. Projects under implementation sanctioned during quarter</w:t>
            </w:r>
          </w:p>
        </w:tc>
        <w:tc>
          <w:tcPr>
            <w:tcW w:type="dxa" w:w="3120"/>
            <w:shd w:fill="F9FAFB"/>
            <w:tcMar>
              <w:top w:w="80" w:type="dxa"/>
              <w:bottom w:w="80" w:type="dxa"/>
              <w:left w:w="100" w:type="dxa"/>
              <w:right w:w="100" w:type="dxa"/>
            </w:tcMar>
          </w:tcPr>
          <w:p>
            <w:pPr>
              <w:jc w:val="right"/>
            </w:pPr>
            <w:r>
              <w:rPr>
                <w:rFonts w:ascii="Calibri" w:hAnsi="Calibri"/>
                <w:color w:val="222222"/>
                <w:sz w:val="18"/>
              </w:rPr>
              <w:t>85</w:t>
            </w:r>
          </w:p>
        </w:tc>
        <w:tc>
          <w:tcPr>
            <w:tcW w:type="dxa" w:w="3120"/>
            <w:shd w:fill="F9FAFB"/>
            <w:tcMar>
              <w:top w:w="80" w:type="dxa"/>
              <w:bottom w:w="80" w:type="dxa"/>
              <w:left w:w="100" w:type="dxa"/>
              <w:right w:w="100" w:type="dxa"/>
            </w:tcMar>
          </w:tcPr>
          <w:p>
            <w:pPr>
              <w:jc w:val="right"/>
            </w:pPr>
            <w:r>
              <w:rPr>
                <w:rFonts w:ascii="Calibri" w:hAnsi="Calibri"/>
                <w:color w:val="222222"/>
                <w:sz w:val="18"/>
              </w:rPr>
              <w:t>1,031.08</w:t>
            </w:r>
          </w:p>
        </w:tc>
      </w:tr>
      <w:tr>
        <w:tc>
          <w:tcPr>
            <w:tcW w:type="dxa" w:w="3120"/>
            <w:shd w:fill="FFFFFF"/>
            <w:tcMar>
              <w:top w:w="80" w:type="dxa"/>
              <w:bottom w:w="80" w:type="dxa"/>
              <w:left w:w="100" w:type="dxa"/>
              <w:right w:w="100" w:type="dxa"/>
            </w:tcMar>
          </w:tcPr>
          <w:p>
            <w:pPr>
              <w:jc w:val="left"/>
            </w:pPr>
            <w:r>
              <w:rPr>
                <w:rFonts w:ascii="Calibri" w:hAnsi="Calibri"/>
                <w:color w:val="222222"/>
                <w:sz w:val="18"/>
              </w:rPr>
              <w:t>3. Projects where DCCO was achieved during quarter</w:t>
            </w:r>
          </w:p>
        </w:tc>
        <w:tc>
          <w:tcPr>
            <w:tcW w:type="dxa" w:w="3120"/>
            <w:shd w:fill="FFFFFF"/>
            <w:tcMar>
              <w:top w:w="80" w:type="dxa"/>
              <w:bottom w:w="80" w:type="dxa"/>
              <w:left w:w="100" w:type="dxa"/>
              <w:right w:w="100" w:type="dxa"/>
            </w:tcMar>
          </w:tcPr>
          <w:p>
            <w:pPr>
              <w:jc w:val="right"/>
            </w:pPr>
            <w:r>
              <w:rPr>
                <w:rFonts w:ascii="Calibri" w:hAnsi="Calibri"/>
                <w:color w:val="222222"/>
                <w:sz w:val="18"/>
              </w:rPr>
              <w:t>75</w:t>
            </w:r>
          </w:p>
        </w:tc>
        <w:tc>
          <w:tcPr>
            <w:tcW w:type="dxa" w:w="3120"/>
            <w:shd w:fill="FFFFFF"/>
            <w:tcMar>
              <w:top w:w="80" w:type="dxa"/>
              <w:bottom w:w="80" w:type="dxa"/>
              <w:left w:w="100" w:type="dxa"/>
              <w:right w:w="100" w:type="dxa"/>
            </w:tcMar>
          </w:tcPr>
          <w:p>
            <w:pPr>
              <w:jc w:val="right"/>
            </w:pPr>
            <w:r>
              <w:rPr>
                <w:rFonts w:ascii="Calibri" w:hAnsi="Calibri"/>
                <w:color w:val="222222"/>
                <w:sz w:val="18"/>
              </w:rPr>
              <w:t>4,442.26</w:t>
            </w:r>
          </w:p>
        </w:tc>
      </w:tr>
      <w:tr>
        <w:tc>
          <w:tcPr>
            <w:tcW w:type="dxa" w:w="3120"/>
            <w:shd w:fill="F9FAFB"/>
            <w:tcMar>
              <w:top w:w="80" w:type="dxa"/>
              <w:bottom w:w="80" w:type="dxa"/>
              <w:left w:w="100" w:type="dxa"/>
              <w:right w:w="100" w:type="dxa"/>
            </w:tcMar>
          </w:tcPr>
          <w:p>
            <w:pPr>
              <w:jc w:val="left"/>
            </w:pPr>
            <w:r>
              <w:rPr>
                <w:rFonts w:ascii="Calibri" w:hAnsi="Calibri"/>
                <w:color w:val="222222"/>
                <w:sz w:val="18"/>
              </w:rPr>
              <w:t>4. Projects under implementation at end of quarter*</w:t>
            </w:r>
          </w:p>
        </w:tc>
        <w:tc>
          <w:tcPr>
            <w:tcW w:type="dxa" w:w="3120"/>
            <w:shd w:fill="F9FAFB"/>
            <w:tcMar>
              <w:top w:w="80" w:type="dxa"/>
              <w:bottom w:w="80" w:type="dxa"/>
              <w:left w:w="100" w:type="dxa"/>
              <w:right w:w="100" w:type="dxa"/>
            </w:tcMar>
          </w:tcPr>
          <w:p>
            <w:pPr>
              <w:jc w:val="right"/>
            </w:pPr>
            <w:r>
              <w:rPr>
                <w:rFonts w:ascii="Calibri" w:hAnsi="Calibri"/>
                <w:color w:val="222222"/>
                <w:sz w:val="18"/>
              </w:rPr>
              <w:t>440</w:t>
            </w:r>
          </w:p>
        </w:tc>
        <w:tc>
          <w:tcPr>
            <w:tcW w:type="dxa" w:w="3120"/>
            <w:shd w:fill="F9FAFB"/>
            <w:tcMar>
              <w:top w:w="80" w:type="dxa"/>
              <w:bottom w:w="80" w:type="dxa"/>
              <w:left w:w="100" w:type="dxa"/>
              <w:right w:w="100" w:type="dxa"/>
            </w:tcMar>
          </w:tcPr>
          <w:p>
            <w:pPr>
              <w:jc w:val="right"/>
            </w:pPr>
            <w:r>
              <w:rPr>
                <w:rFonts w:ascii="Calibri" w:hAnsi="Calibri"/>
                <w:color w:val="222222"/>
                <w:sz w:val="18"/>
              </w:rPr>
              <w:t>20,785.14</w:t>
            </w:r>
          </w:p>
        </w:tc>
      </w:tr>
      <w:tr>
        <w:tc>
          <w:tcPr>
            <w:tcW w:type="dxa" w:w="3120"/>
            <w:shd w:fill="FFFFFF"/>
            <w:tcMar>
              <w:top w:w="80" w:type="dxa"/>
              <w:bottom w:w="80" w:type="dxa"/>
              <w:left w:w="100" w:type="dxa"/>
              <w:right w:w="100" w:type="dxa"/>
            </w:tcMar>
          </w:tcPr>
          <w:p>
            <w:pPr>
              <w:jc w:val="left"/>
            </w:pPr>
            <w:r>
              <w:rPr>
                <w:rFonts w:ascii="Calibri" w:hAnsi="Calibri"/>
                <w:color w:val="222222"/>
                <w:sz w:val="18"/>
              </w:rPr>
              <w:t>5. Out of '4': Resolution process involving DCCO extension invoked</w:t>
            </w:r>
          </w:p>
        </w:tc>
        <w:tc>
          <w:tcPr>
            <w:tcW w:type="dxa" w:w="3120"/>
            <w:shd w:fill="FFFFFF"/>
            <w:tcMar>
              <w:top w:w="80" w:type="dxa"/>
              <w:bottom w:w="80" w:type="dxa"/>
              <w:left w:w="100" w:type="dxa"/>
              <w:right w:w="100" w:type="dxa"/>
            </w:tcMar>
          </w:tcPr>
          <w:p>
            <w:pPr>
              <w:jc w:val="right"/>
            </w:pPr>
            <w:r>
              <w:rPr>
                <w:rFonts w:ascii="Calibri" w:hAnsi="Calibri"/>
                <w:color w:val="222222"/>
                <w:sz w:val="18"/>
              </w:rPr>
              <w:t>35</w:t>
            </w:r>
          </w:p>
        </w:tc>
        <w:tc>
          <w:tcPr>
            <w:tcW w:type="dxa" w:w="3120"/>
            <w:shd w:fill="FFFFFF"/>
            <w:tcMar>
              <w:top w:w="80" w:type="dxa"/>
              <w:bottom w:w="80" w:type="dxa"/>
              <w:left w:w="100" w:type="dxa"/>
              <w:right w:w="100" w:type="dxa"/>
            </w:tcMar>
          </w:tcPr>
          <w:p>
            <w:pPr>
              <w:jc w:val="right"/>
            </w:pPr>
            <w:r>
              <w:rPr>
                <w:rFonts w:ascii="Calibri" w:hAnsi="Calibri"/>
                <w:color w:val="222222"/>
                <w:sz w:val="18"/>
              </w:rPr>
              <w:t>1,597.95</w:t>
            </w:r>
          </w:p>
        </w:tc>
      </w:tr>
      <w:tr>
        <w:tc>
          <w:tcPr>
            <w:tcW w:type="dxa" w:w="3120"/>
            <w:shd w:fill="F9FAFB"/>
            <w:tcMar>
              <w:top w:w="80" w:type="dxa"/>
              <w:bottom w:w="80" w:type="dxa"/>
              <w:left w:w="100" w:type="dxa"/>
              <w:right w:w="100" w:type="dxa"/>
            </w:tcMar>
          </w:tcPr>
          <w:p>
            <w:pPr>
              <w:jc w:val="left"/>
            </w:pPr>
            <w:r>
              <w:rPr>
                <w:rFonts w:ascii="Calibri" w:hAnsi="Calibri"/>
                <w:color w:val="222222"/>
                <w:sz w:val="18"/>
              </w:rPr>
              <w:t xml:space="preserve">  5.1. Out of '5': Resolution plan implemented</w:t>
            </w:r>
          </w:p>
        </w:tc>
        <w:tc>
          <w:tcPr>
            <w:tcW w:type="dxa" w:w="3120"/>
            <w:shd w:fill="F9FAFB"/>
            <w:tcMar>
              <w:top w:w="80" w:type="dxa"/>
              <w:bottom w:w="80" w:type="dxa"/>
              <w:left w:w="100" w:type="dxa"/>
              <w:right w:w="100" w:type="dxa"/>
            </w:tcMar>
          </w:tcPr>
          <w:p>
            <w:pPr>
              <w:jc w:val="right"/>
            </w:pPr>
            <w:r>
              <w:rPr>
                <w:rFonts w:ascii="Calibri" w:hAnsi="Calibri"/>
                <w:color w:val="222222"/>
                <w:sz w:val="18"/>
              </w:rPr>
              <w:t>29</w:t>
            </w:r>
          </w:p>
        </w:tc>
        <w:tc>
          <w:tcPr>
            <w:tcW w:type="dxa" w:w="3120"/>
            <w:shd w:fill="F9FAFB"/>
            <w:tcMar>
              <w:top w:w="80" w:type="dxa"/>
              <w:bottom w:w="80" w:type="dxa"/>
              <w:left w:w="100" w:type="dxa"/>
              <w:right w:w="100" w:type="dxa"/>
            </w:tcMar>
          </w:tcPr>
          <w:p>
            <w:pPr>
              <w:jc w:val="right"/>
            </w:pPr>
            <w:r>
              <w:rPr>
                <w:rFonts w:ascii="Calibri" w:hAnsi="Calibri"/>
                <w:color w:val="222222"/>
                <w:sz w:val="18"/>
              </w:rPr>
              <w:t>1,360.20</w:t>
            </w:r>
          </w:p>
        </w:tc>
      </w:tr>
      <w:tr>
        <w:tc>
          <w:tcPr>
            <w:tcW w:type="dxa" w:w="3120"/>
            <w:shd w:fill="FFFFFF"/>
            <w:tcMar>
              <w:top w:w="80" w:type="dxa"/>
              <w:bottom w:w="80" w:type="dxa"/>
              <w:left w:w="100" w:type="dxa"/>
              <w:right w:w="100" w:type="dxa"/>
            </w:tcMar>
          </w:tcPr>
          <w:p>
            <w:pPr>
              <w:jc w:val="left"/>
            </w:pPr>
            <w:r>
              <w:rPr>
                <w:rFonts w:ascii="Calibri" w:hAnsi="Calibri"/>
                <w:color w:val="222222"/>
                <w:sz w:val="18"/>
              </w:rPr>
              <w:t xml:space="preserve">  5.2. Out of '5': Resolution plan under implementation</w:t>
            </w:r>
          </w:p>
        </w:tc>
        <w:tc>
          <w:tcPr>
            <w:tcW w:type="dxa" w:w="3120"/>
            <w:shd w:fill="FFFFFF"/>
            <w:tcMar>
              <w:top w:w="80" w:type="dxa"/>
              <w:bottom w:w="80" w:type="dxa"/>
              <w:left w:w="100" w:type="dxa"/>
              <w:right w:w="100" w:type="dxa"/>
            </w:tcMar>
          </w:tcPr>
          <w:p>
            <w:pPr>
              <w:jc w:val="right"/>
            </w:pPr>
            <w:r>
              <w:rPr>
                <w:rFonts w:ascii="Calibri" w:hAnsi="Calibri"/>
                <w:color w:val="222222"/>
                <w:sz w:val="18"/>
              </w:rPr>
              <w:t>6</w:t>
            </w:r>
          </w:p>
        </w:tc>
        <w:tc>
          <w:tcPr>
            <w:tcW w:type="dxa" w:w="3120"/>
            <w:shd w:fill="FFFFFF"/>
            <w:tcMar>
              <w:top w:w="80" w:type="dxa"/>
              <w:bottom w:w="80" w:type="dxa"/>
              <w:left w:w="100" w:type="dxa"/>
              <w:right w:w="100" w:type="dxa"/>
            </w:tcMar>
          </w:tcPr>
          <w:p>
            <w:pPr>
              <w:jc w:val="right"/>
            </w:pPr>
            <w:r>
              <w:rPr>
                <w:rFonts w:ascii="Calibri" w:hAnsi="Calibri"/>
                <w:color w:val="222222"/>
                <w:sz w:val="18"/>
              </w:rPr>
              <w:t>237.75</w:t>
            </w:r>
          </w:p>
        </w:tc>
      </w:tr>
      <w:tr>
        <w:tc>
          <w:tcPr>
            <w:tcW w:type="dxa" w:w="3120"/>
            <w:shd w:fill="F9FAFB"/>
            <w:tcMar>
              <w:top w:w="80" w:type="dxa"/>
              <w:bottom w:w="80" w:type="dxa"/>
              <w:left w:w="100" w:type="dxa"/>
              <w:right w:w="100" w:type="dxa"/>
            </w:tcMar>
          </w:tcPr>
          <w:p>
            <w:pPr>
              <w:jc w:val="left"/>
            </w:pPr>
            <w:r>
              <w:rPr>
                <w:rFonts w:ascii="Calibri" w:hAnsi="Calibri"/>
                <w:color w:val="222222"/>
                <w:sz w:val="18"/>
              </w:rPr>
              <w:t xml:space="preserve">  5.3. Out of '5': Resolution plan failed</w:t>
            </w:r>
          </w:p>
        </w:tc>
        <w:tc>
          <w:tcPr>
            <w:tcW w:type="dxa" w:w="3120"/>
            <w:shd w:fill="F9FAFB"/>
            <w:tcMar>
              <w:top w:w="80" w:type="dxa"/>
              <w:bottom w:w="80" w:type="dxa"/>
              <w:left w:w="100" w:type="dxa"/>
              <w:right w:w="100" w:type="dxa"/>
            </w:tcMar>
          </w:tcPr>
          <w:p>
            <w:pPr>
              <w:jc w:val="right"/>
            </w:pPr>
            <w:r>
              <w:rPr>
                <w:rFonts w:ascii="Calibri" w:hAnsi="Calibri"/>
                <w:color w:val="222222"/>
                <w:sz w:val="18"/>
              </w:rPr>
              <w:t>2</w:t>
            </w:r>
          </w:p>
        </w:tc>
        <w:tc>
          <w:tcPr>
            <w:tcW w:type="dxa" w:w="3120"/>
            <w:shd w:fill="F9FAFB"/>
            <w:tcMar>
              <w:top w:w="80" w:type="dxa"/>
              <w:bottom w:w="80" w:type="dxa"/>
              <w:left w:w="100" w:type="dxa"/>
              <w:right w:w="100" w:type="dxa"/>
            </w:tcMar>
          </w:tcPr>
          <w:p>
            <w:pPr>
              <w:jc w:val="right"/>
            </w:pPr>
            <w:r>
              <w:rPr>
                <w:rFonts w:ascii="Calibri" w:hAnsi="Calibri"/>
                <w:color w:val="222222"/>
                <w:sz w:val="18"/>
              </w:rPr>
              <w:t>87.61</w:t>
            </w:r>
          </w:p>
        </w:tc>
      </w:tr>
      <w:tr>
        <w:tc>
          <w:tcPr>
            <w:tcW w:type="dxa" w:w="3120"/>
            <w:shd w:fill="FFFFFF"/>
            <w:tcMar>
              <w:top w:w="80" w:type="dxa"/>
              <w:bottom w:w="80" w:type="dxa"/>
              <w:left w:w="100" w:type="dxa"/>
              <w:right w:w="100" w:type="dxa"/>
            </w:tcMar>
          </w:tcPr>
          <w:p>
            <w:pPr>
              <w:jc w:val="left"/>
            </w:pPr>
            <w:r>
              <w:rPr>
                <w:rFonts w:ascii="Calibri" w:hAnsi="Calibri"/>
                <w:color w:val="222222"/>
                <w:sz w:val="18"/>
              </w:rPr>
              <w:t>6. Out of '5': Extension invoked due to change in scope/size</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r>
      <w:tr>
        <w:tc>
          <w:tcPr>
            <w:tcW w:type="dxa" w:w="3120"/>
            <w:shd w:fill="F9FAFB"/>
            <w:tcMar>
              <w:top w:w="80" w:type="dxa"/>
              <w:bottom w:w="80" w:type="dxa"/>
              <w:left w:w="100" w:type="dxa"/>
              <w:right w:w="100" w:type="dxa"/>
            </w:tcMar>
          </w:tcPr>
          <w:p>
            <w:pPr>
              <w:jc w:val="left"/>
            </w:pPr>
            <w:r>
              <w:rPr>
                <w:rFonts w:ascii="Calibri" w:hAnsi="Calibri"/>
                <w:color w:val="222222"/>
                <w:sz w:val="18"/>
              </w:rPr>
              <w:t>7. Out of '5': Cost associated with DCCO extension funded</w:t>
            </w:r>
          </w:p>
        </w:tc>
        <w:tc>
          <w:tcPr>
            <w:tcW w:type="dxa" w:w="3120"/>
            <w:shd w:fill="F9FAFB"/>
            <w:tcMar>
              <w:top w:w="80" w:type="dxa"/>
              <w:bottom w:w="80" w:type="dxa"/>
              <w:left w:w="100" w:type="dxa"/>
              <w:right w:w="100" w:type="dxa"/>
            </w:tcMar>
          </w:tcPr>
          <w:p>
            <w:pPr>
              <w:jc w:val="left"/>
            </w:pPr>
            <w:r>
              <w:rPr>
                <w:rFonts w:ascii="Calibri" w:hAnsi="Calibri"/>
                <w:color w:val="222222"/>
                <w:sz w:val="18"/>
              </w:rPr>
              <w:t>-</w:t>
            </w:r>
          </w:p>
        </w:tc>
        <w:tc>
          <w:tcPr>
            <w:tcW w:type="dxa" w:w="3120"/>
            <w:shd w:fill="F9FAFB"/>
            <w:tcMar>
              <w:top w:w="80" w:type="dxa"/>
              <w:bottom w:w="80" w:type="dxa"/>
              <w:left w:w="100" w:type="dxa"/>
              <w:right w:w="100" w:type="dxa"/>
            </w:tcMar>
          </w:tcPr>
          <w:p>
            <w:pPr>
              <w:jc w:val="left"/>
            </w:pPr>
            <w:r>
              <w:rPr>
                <w:rFonts w:ascii="Calibri" w:hAnsi="Calibri"/>
                <w:color w:val="222222"/>
                <w:sz w:val="18"/>
              </w:rPr>
              <w:t>-</w:t>
            </w:r>
          </w:p>
        </w:tc>
      </w:tr>
      <w:tr>
        <w:tc>
          <w:tcPr>
            <w:tcW w:type="dxa" w:w="3120"/>
            <w:shd w:fill="FFFFFF"/>
            <w:tcMar>
              <w:top w:w="80" w:type="dxa"/>
              <w:bottom w:w="80" w:type="dxa"/>
              <w:left w:w="100" w:type="dxa"/>
              <w:right w:w="100" w:type="dxa"/>
            </w:tcMar>
          </w:tcPr>
          <w:p>
            <w:pPr>
              <w:jc w:val="left"/>
            </w:pPr>
            <w:r>
              <w:rPr>
                <w:rFonts w:ascii="Calibri" w:hAnsi="Calibri"/>
                <w:color w:val="222222"/>
                <w:sz w:val="18"/>
              </w:rPr>
              <w:t xml:space="preserve">  7.1. Out of '7': SBCF sanctioned during closure &amp; renewed continuously</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r>
      <w:tr>
        <w:tc>
          <w:tcPr>
            <w:tcW w:type="dxa" w:w="3120"/>
            <w:shd w:fill="F9FAFB"/>
            <w:tcMar>
              <w:top w:w="80" w:type="dxa"/>
              <w:bottom w:w="80" w:type="dxa"/>
              <w:left w:w="100" w:type="dxa"/>
              <w:right w:w="100" w:type="dxa"/>
            </w:tcMar>
          </w:tcPr>
          <w:p>
            <w:pPr>
              <w:jc w:val="left"/>
            </w:pPr>
            <w:r>
              <w:rPr>
                <w:rFonts w:ascii="Calibri" w:hAnsi="Calibri"/>
                <w:color w:val="222222"/>
                <w:sz w:val="18"/>
              </w:rPr>
              <w:t xml:space="preserve">  7.2. Out of '7': SBCF not pre-sanctioned / renewed continuously</w:t>
            </w:r>
          </w:p>
        </w:tc>
        <w:tc>
          <w:tcPr>
            <w:tcW w:type="dxa" w:w="3120"/>
            <w:shd w:fill="F9FAFB"/>
            <w:tcMar>
              <w:top w:w="80" w:type="dxa"/>
              <w:bottom w:w="80" w:type="dxa"/>
              <w:left w:w="100" w:type="dxa"/>
              <w:right w:w="100" w:type="dxa"/>
            </w:tcMar>
          </w:tcPr>
          <w:p>
            <w:pPr>
              <w:jc w:val="left"/>
            </w:pPr>
            <w:r>
              <w:rPr>
                <w:rFonts w:ascii="Calibri" w:hAnsi="Calibri"/>
                <w:color w:val="222222"/>
                <w:sz w:val="18"/>
              </w:rPr>
              <w:t>-</w:t>
            </w:r>
          </w:p>
        </w:tc>
        <w:tc>
          <w:tcPr>
            <w:tcW w:type="dxa" w:w="3120"/>
            <w:shd w:fill="F9FAFB"/>
            <w:tcMar>
              <w:top w:w="80" w:type="dxa"/>
              <w:bottom w:w="80" w:type="dxa"/>
              <w:left w:w="100" w:type="dxa"/>
              <w:right w:w="100" w:type="dxa"/>
            </w:tcMar>
          </w:tcPr>
          <w:p>
            <w:pPr>
              <w:jc w:val="left"/>
            </w:pPr>
            <w:r>
              <w:rPr>
                <w:rFonts w:ascii="Calibri" w:hAnsi="Calibri"/>
                <w:color w:val="222222"/>
                <w:sz w:val="18"/>
              </w:rPr>
              <w:t>-</w:t>
            </w:r>
          </w:p>
        </w:tc>
      </w:tr>
      <w:tr>
        <w:tc>
          <w:tcPr>
            <w:tcW w:type="dxa" w:w="3120"/>
            <w:shd w:fill="FFFFFF"/>
            <w:tcMar>
              <w:top w:w="80" w:type="dxa"/>
              <w:bottom w:w="80" w:type="dxa"/>
              <w:left w:w="100" w:type="dxa"/>
              <w:right w:w="100" w:type="dxa"/>
            </w:tcMar>
          </w:tcPr>
          <w:p>
            <w:pPr>
              <w:jc w:val="left"/>
            </w:pPr>
            <w:r>
              <w:rPr>
                <w:rFonts w:ascii="Calibri" w:hAnsi="Calibri"/>
                <w:color w:val="222222"/>
                <w:sz w:val="18"/>
              </w:rPr>
              <w:t>8. Out of '4': Resolution process not involving DCCO extension invoked</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c>
          <w:tcPr>
            <w:tcW w:type="dxa" w:w="3120"/>
            <w:shd w:fill="FFFFFF"/>
            <w:tcMar>
              <w:top w:w="80" w:type="dxa"/>
              <w:bottom w:w="80" w:type="dxa"/>
              <w:left w:w="100" w:type="dxa"/>
              <w:right w:w="100" w:type="dxa"/>
            </w:tcMar>
          </w:tcPr>
          <w:p>
            <w:pPr>
              <w:jc w:val="left"/>
            </w:pPr>
            <w:r>
              <w:rPr>
                <w:rFonts w:ascii="Calibri" w:hAnsi="Calibri"/>
                <w:color w:val="222222"/>
                <w:sz w:val="18"/>
              </w:rPr>
              <w:t>-</w:t>
            </w:r>
          </w:p>
        </w:tc>
      </w:tr>
    </w:tbl>
    <w:p>
      <w:pPr>
        <w:spacing w:after="320"/>
      </w:pPr>
      <w:r>
        <w:t>*Excludes 17 accounts where repayment was completed prior to DCCO achievement.</w:t>
      </w:r>
    </w:p>
    <w:p>
      <w:r>
        <w:br w:type="page"/>
      </w:r>
    </w:p>
    <w:p>
      <w:pPr>
        <w:pStyle w:val="Heading1"/>
      </w:pPr>
      <w:r>
        <w:t>Part III: Standalone Independent Auditors' Limited Review Report</w:t>
      </w:r>
    </w:p>
    <w:p>
      <w:pPr>
        <w:spacing w:after="320"/>
      </w:pPr>
      <w:r>
        <w:t>To the Board of Directors of HDFC Bank Limited</w:t>
        <w:br/>
        <w:br/>
        <w:t>1. We have reviewed the accompanying Statement of Unaudited Standalone Financial Results of HDFC Bank Limited ('the Bank') for the quarter ended June 30, 2026 ('the Statement'), submitted pursuant to Regulation 33 and Regulation 52(4) read with Regulation 63 of the SEBI (Listing Obligations and Disclosure Requirements) Regulations, 2015, as amended.</w:t>
        <w:br/>
        <w:br/>
        <w:t>2. Management Responsibility &amp; Compliance: This Statement is the responsibility of the Bank's Management and approved by its Board of Directors on July 18, 2026. It has been prepared in accordance with Accounting Standard 25 'Interim Financial Reporting' (AS 25) prescribed under Section 133 of the Companies Act, 2013, provisions of the Banking Regulation Act, 1949, RBI guidelines, and accepted accounting principles in India.</w:t>
        <w:br/>
        <w:br/>
        <w:t>3. Scope of Limited Review: We conducted our review in accordance with Standard on Review Engagements (SRE) 2410 'Review of Interim Financial Information Performed by the Independent Auditor of the Entity' issued by ICAI. A review is substantially less in scope than an audit conducted in accordance with Standards on Auditing and consequently does not enable us to obtain assurance that we would become aware of all significant matters. Accordingly, we do not express an audit opinion.</w:t>
        <w:br/>
        <w:br/>
        <w:t>4. Conclusion: Based on our review, nothing has come to our attention that causes us to believe that the accompanying Statement has not been prepared in accordance with applicable accounting standards and RBI guidelines, or that it contains any material misstatement.</w:t>
        <w:br/>
        <w:br/>
        <w:t>Joint Statutory Auditors Signatures:</w:t>
        <w:br/>
        <w:t>For B S R &amp; Co. LLP (Firm Reg No: 101248W/W-100022)</w:t>
        <w:br/>
        <w:t>Sudhir Soni (Partner, Membership No: 041870 | UDIN: 26041870OATJRT2952)</w:t>
        <w:br/>
        <w:br/>
        <w:t>For Batliboi &amp; Purohit (Firm Reg No: 101048W)</w:t>
        <w:br/>
        <w:t>Janak Mehta (Partner, Membership No: 116976 | UDIN: 26116976GFKHWQ9629)</w:t>
        <w:br/>
        <w:t>Place: Mumbai | Date: July 18, 2026</w:t>
      </w:r>
    </w:p>
    <w:p>
      <w:r>
        <w:br w:type="page"/>
      </w:r>
    </w:p>
    <w:p>
      <w:pPr>
        <w:pStyle w:val="Heading1"/>
      </w:pPr>
      <w:r>
        <w:t>Part IV: Consolidated Financial Results &amp; Group Disclosures</w:t>
      </w:r>
    </w:p>
    <w:p>
      <w:pPr>
        <w:pStyle w:val="Heading2"/>
      </w:pPr>
      <w:r>
        <w:t>Table 7: Unaudited Consolidated Financial Results for the Quarter Ended June 30, 2026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pPr>
              <w:jc w:val="left"/>
            </w:pPr>
            <w:r>
              <w:rPr>
                <w:rFonts w:ascii="Calibri" w:hAnsi="Calibri"/>
                <w:b/>
                <w:color w:val="FFFFFF"/>
                <w:sz w:val="19"/>
              </w:rPr>
              <w:t>Particulars</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30.06.2026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30.06.2025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(Full Year)</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 Interest earned (a)+(b)+(c)+(d)</w:t>
            </w:r>
          </w:p>
        </w:tc>
        <w:tc>
          <w:tcPr>
            <w:tcW w:type="dxa" w:w="1872"/>
            <w:shd w:fill="FFFFFF"/>
            <w:tcMar>
              <w:top w:w="80" w:type="dxa"/>
              <w:bottom w:w="80" w:type="dxa"/>
              <w:left w:w="100" w:type="dxa"/>
              <w:right w:w="100" w:type="dxa"/>
            </w:tcMar>
          </w:tcPr>
          <w:p>
            <w:pPr>
              <w:jc w:val="right"/>
            </w:pPr>
            <w:r>
              <w:rPr>
                <w:rFonts w:ascii="Calibri" w:hAnsi="Calibri"/>
                <w:color w:val="222222"/>
                <w:sz w:val="18"/>
              </w:rPr>
              <w:t>90,575.33</w:t>
            </w:r>
          </w:p>
        </w:tc>
        <w:tc>
          <w:tcPr>
            <w:tcW w:type="dxa" w:w="1872"/>
            <w:shd w:fill="FFFFFF"/>
            <w:tcMar>
              <w:top w:w="80" w:type="dxa"/>
              <w:bottom w:w="80" w:type="dxa"/>
              <w:left w:w="100" w:type="dxa"/>
              <w:right w:w="100" w:type="dxa"/>
            </w:tcMar>
          </w:tcPr>
          <w:p>
            <w:pPr>
              <w:jc w:val="right"/>
            </w:pPr>
            <w:r>
              <w:rPr>
                <w:rFonts w:ascii="Calibri" w:hAnsi="Calibri"/>
                <w:color w:val="222222"/>
                <w:sz w:val="18"/>
              </w:rPr>
              <w:t>87,182.50</w:t>
            </w:r>
          </w:p>
        </w:tc>
        <w:tc>
          <w:tcPr>
            <w:tcW w:type="dxa" w:w="1872"/>
            <w:shd w:fill="FFFFFF"/>
            <w:tcMar>
              <w:top w:w="80" w:type="dxa"/>
              <w:bottom w:w="80" w:type="dxa"/>
              <w:left w:w="100" w:type="dxa"/>
              <w:right w:w="100" w:type="dxa"/>
            </w:tcMar>
          </w:tcPr>
          <w:p>
            <w:pPr>
              <w:jc w:val="right"/>
            </w:pPr>
            <w:r>
              <w:rPr>
                <w:rFonts w:ascii="Calibri" w:hAnsi="Calibri"/>
                <w:color w:val="222222"/>
                <w:sz w:val="18"/>
              </w:rPr>
              <w:t>87,371.87</w:t>
            </w:r>
          </w:p>
        </w:tc>
        <w:tc>
          <w:tcPr>
            <w:tcW w:type="dxa" w:w="1872"/>
            <w:shd w:fill="FFFFFF"/>
            <w:tcMar>
              <w:top w:w="80" w:type="dxa"/>
              <w:bottom w:w="80" w:type="dxa"/>
              <w:left w:w="100" w:type="dxa"/>
              <w:right w:w="100" w:type="dxa"/>
            </w:tcMar>
          </w:tcPr>
          <w:p>
            <w:pPr>
              <w:jc w:val="right"/>
            </w:pPr>
            <w:r>
              <w:rPr>
                <w:rFonts w:ascii="Calibri" w:hAnsi="Calibri"/>
                <w:color w:val="222222"/>
                <w:sz w:val="18"/>
              </w:rPr>
              <w:t>3,48,615.15</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Interest/discount on advances/bills</w:t>
            </w:r>
          </w:p>
        </w:tc>
        <w:tc>
          <w:tcPr>
            <w:tcW w:type="dxa" w:w="1872"/>
            <w:shd w:fill="F9FAFB"/>
            <w:tcMar>
              <w:top w:w="80" w:type="dxa"/>
              <w:bottom w:w="80" w:type="dxa"/>
              <w:left w:w="100" w:type="dxa"/>
              <w:right w:w="100" w:type="dxa"/>
            </w:tcMar>
          </w:tcPr>
          <w:p>
            <w:pPr>
              <w:jc w:val="right"/>
            </w:pPr>
            <w:r>
              <w:rPr>
                <w:rFonts w:ascii="Calibri" w:hAnsi="Calibri"/>
                <w:color w:val="222222"/>
                <w:sz w:val="18"/>
              </w:rPr>
              <w:t>66,406.51</w:t>
            </w:r>
          </w:p>
        </w:tc>
        <w:tc>
          <w:tcPr>
            <w:tcW w:type="dxa" w:w="1872"/>
            <w:shd w:fill="F9FAFB"/>
            <w:tcMar>
              <w:top w:w="80" w:type="dxa"/>
              <w:bottom w:w="80" w:type="dxa"/>
              <w:left w:w="100" w:type="dxa"/>
              <w:right w:w="100" w:type="dxa"/>
            </w:tcMar>
          </w:tcPr>
          <w:p>
            <w:pPr>
              <w:jc w:val="right"/>
            </w:pPr>
            <w:r>
              <w:rPr>
                <w:rFonts w:ascii="Calibri" w:hAnsi="Calibri"/>
                <w:color w:val="222222"/>
                <w:sz w:val="18"/>
              </w:rPr>
              <w:t>64,620.88</w:t>
            </w:r>
          </w:p>
        </w:tc>
        <w:tc>
          <w:tcPr>
            <w:tcW w:type="dxa" w:w="1872"/>
            <w:shd w:fill="F9FAFB"/>
            <w:tcMar>
              <w:top w:w="80" w:type="dxa"/>
              <w:bottom w:w="80" w:type="dxa"/>
              <w:left w:w="100" w:type="dxa"/>
              <w:right w:w="100" w:type="dxa"/>
            </w:tcMar>
          </w:tcPr>
          <w:p>
            <w:pPr>
              <w:jc w:val="right"/>
            </w:pPr>
            <w:r>
              <w:rPr>
                <w:rFonts w:ascii="Calibri" w:hAnsi="Calibri"/>
                <w:color w:val="222222"/>
                <w:sz w:val="18"/>
              </w:rPr>
              <w:t>64,147.91</w:t>
            </w:r>
          </w:p>
        </w:tc>
        <w:tc>
          <w:tcPr>
            <w:tcW w:type="dxa" w:w="1872"/>
            <w:shd w:fill="F9FAFB"/>
            <w:tcMar>
              <w:top w:w="80" w:type="dxa"/>
              <w:bottom w:w="80" w:type="dxa"/>
              <w:left w:w="100" w:type="dxa"/>
              <w:right w:w="100" w:type="dxa"/>
            </w:tcMar>
          </w:tcPr>
          <w:p>
            <w:pPr>
              <w:jc w:val="right"/>
            </w:pPr>
            <w:r>
              <w:rPr>
                <w:rFonts w:ascii="Calibri" w:hAnsi="Calibri"/>
                <w:color w:val="222222"/>
                <w:sz w:val="18"/>
              </w:rPr>
              <w:t>2,56,192.47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Income on investments</w:t>
            </w:r>
          </w:p>
        </w:tc>
        <w:tc>
          <w:tcPr>
            <w:tcW w:type="dxa" w:w="1872"/>
            <w:shd w:fill="FFFFFF"/>
            <w:tcMar>
              <w:top w:w="80" w:type="dxa"/>
              <w:bottom w:w="80" w:type="dxa"/>
              <w:left w:w="100" w:type="dxa"/>
              <w:right w:w="100" w:type="dxa"/>
            </w:tcMar>
          </w:tcPr>
          <w:p>
            <w:pPr>
              <w:jc w:val="right"/>
            </w:pPr>
            <w:r>
              <w:rPr>
                <w:rFonts w:ascii="Calibri" w:hAnsi="Calibri"/>
                <w:color w:val="222222"/>
                <w:sz w:val="18"/>
              </w:rPr>
              <w:t>20,753.16</w:t>
            </w:r>
          </w:p>
        </w:tc>
        <w:tc>
          <w:tcPr>
            <w:tcW w:type="dxa" w:w="1872"/>
            <w:shd w:fill="FFFFFF"/>
            <w:tcMar>
              <w:top w:w="80" w:type="dxa"/>
              <w:bottom w:w="80" w:type="dxa"/>
              <w:left w:w="100" w:type="dxa"/>
              <w:right w:w="100" w:type="dxa"/>
            </w:tcMar>
          </w:tcPr>
          <w:p>
            <w:pPr>
              <w:jc w:val="right"/>
            </w:pPr>
            <w:r>
              <w:rPr>
                <w:rFonts w:ascii="Calibri" w:hAnsi="Calibri"/>
                <w:color w:val="222222"/>
                <w:sz w:val="18"/>
              </w:rPr>
              <w:t>19,931.22</w:t>
            </w:r>
          </w:p>
        </w:tc>
        <w:tc>
          <w:tcPr>
            <w:tcW w:type="dxa" w:w="1872"/>
            <w:shd w:fill="FFFFFF"/>
            <w:tcMar>
              <w:top w:w="80" w:type="dxa"/>
              <w:bottom w:w="80" w:type="dxa"/>
              <w:left w:w="100" w:type="dxa"/>
              <w:right w:w="100" w:type="dxa"/>
            </w:tcMar>
          </w:tcPr>
          <w:p>
            <w:pPr>
              <w:jc w:val="right"/>
            </w:pPr>
            <w:r>
              <w:rPr>
                <w:rFonts w:ascii="Calibri" w:hAnsi="Calibri"/>
                <w:color w:val="222222"/>
                <w:sz w:val="18"/>
              </w:rPr>
              <w:t>20,817.17</w:t>
            </w:r>
          </w:p>
        </w:tc>
        <w:tc>
          <w:tcPr>
            <w:tcW w:type="dxa" w:w="1872"/>
            <w:shd w:fill="FFFFFF"/>
            <w:tcMar>
              <w:top w:w="80" w:type="dxa"/>
              <w:bottom w:w="80" w:type="dxa"/>
              <w:left w:w="100" w:type="dxa"/>
              <w:right w:w="100" w:type="dxa"/>
            </w:tcMar>
          </w:tcPr>
          <w:p>
            <w:pPr>
              <w:jc w:val="right"/>
            </w:pPr>
            <w:r>
              <w:rPr>
                <w:rFonts w:ascii="Calibri" w:hAnsi="Calibri"/>
                <w:color w:val="222222"/>
                <w:sz w:val="18"/>
              </w:rPr>
              <w:t>82,656.87</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Interest on RBI balances &amp; inter-bank funds</w:t>
            </w:r>
          </w:p>
        </w:tc>
        <w:tc>
          <w:tcPr>
            <w:tcW w:type="dxa" w:w="1872"/>
            <w:shd w:fill="F9FAFB"/>
            <w:tcMar>
              <w:top w:w="80" w:type="dxa"/>
              <w:bottom w:w="80" w:type="dxa"/>
              <w:left w:w="100" w:type="dxa"/>
              <w:right w:w="100" w:type="dxa"/>
            </w:tcMar>
          </w:tcPr>
          <w:p>
            <w:pPr>
              <w:jc w:val="right"/>
            </w:pPr>
            <w:r>
              <w:rPr>
                <w:rFonts w:ascii="Calibri" w:hAnsi="Calibri"/>
                <w:color w:val="222222"/>
                <w:sz w:val="18"/>
              </w:rPr>
              <w:t>1,599.37</w:t>
            </w:r>
          </w:p>
        </w:tc>
        <w:tc>
          <w:tcPr>
            <w:tcW w:type="dxa" w:w="1872"/>
            <w:shd w:fill="F9FAFB"/>
            <w:tcMar>
              <w:top w:w="80" w:type="dxa"/>
              <w:bottom w:w="80" w:type="dxa"/>
              <w:left w:w="100" w:type="dxa"/>
              <w:right w:w="100" w:type="dxa"/>
            </w:tcMar>
          </w:tcPr>
          <w:p>
            <w:pPr>
              <w:jc w:val="right"/>
            </w:pPr>
            <w:r>
              <w:rPr>
                <w:rFonts w:ascii="Calibri" w:hAnsi="Calibri"/>
                <w:color w:val="222222"/>
                <w:sz w:val="18"/>
              </w:rPr>
              <w:t>1,118.23</w:t>
            </w:r>
          </w:p>
        </w:tc>
        <w:tc>
          <w:tcPr>
            <w:tcW w:type="dxa" w:w="1872"/>
            <w:shd w:fill="F9FAFB"/>
            <w:tcMar>
              <w:top w:w="80" w:type="dxa"/>
              <w:bottom w:w="80" w:type="dxa"/>
              <w:left w:w="100" w:type="dxa"/>
              <w:right w:w="100" w:type="dxa"/>
            </w:tcMar>
          </w:tcPr>
          <w:p>
            <w:pPr>
              <w:jc w:val="right"/>
            </w:pPr>
            <w:r>
              <w:rPr>
                <w:rFonts w:ascii="Calibri" w:hAnsi="Calibri"/>
                <w:color w:val="222222"/>
                <w:sz w:val="18"/>
              </w:rPr>
              <w:t>826.44</w:t>
            </w:r>
          </w:p>
        </w:tc>
        <w:tc>
          <w:tcPr>
            <w:tcW w:type="dxa" w:w="1872"/>
            <w:shd w:fill="F9FAFB"/>
            <w:tcMar>
              <w:top w:w="80" w:type="dxa"/>
              <w:bottom w:w="80" w:type="dxa"/>
              <w:left w:w="100" w:type="dxa"/>
              <w:right w:w="100" w:type="dxa"/>
            </w:tcMar>
          </w:tcPr>
          <w:p>
            <w:pPr>
              <w:jc w:val="right"/>
            </w:pPr>
            <w:r>
              <w:rPr>
                <w:rFonts w:ascii="Calibri" w:hAnsi="Calibri"/>
                <w:color w:val="222222"/>
                <w:sz w:val="18"/>
              </w:rPr>
              <w:t>3,457.06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Others</w:t>
            </w:r>
          </w:p>
        </w:tc>
        <w:tc>
          <w:tcPr>
            <w:tcW w:type="dxa" w:w="1872"/>
            <w:shd w:fill="FFFFFF"/>
            <w:tcMar>
              <w:top w:w="80" w:type="dxa"/>
              <w:bottom w:w="80" w:type="dxa"/>
              <w:left w:w="100" w:type="dxa"/>
              <w:right w:w="100" w:type="dxa"/>
            </w:tcMar>
          </w:tcPr>
          <w:p>
            <w:pPr>
              <w:jc w:val="right"/>
            </w:pPr>
            <w:r>
              <w:rPr>
                <w:rFonts w:ascii="Calibri" w:hAnsi="Calibri"/>
                <w:color w:val="222222"/>
                <w:sz w:val="18"/>
              </w:rPr>
              <w:t>1,816.29</w:t>
            </w:r>
          </w:p>
        </w:tc>
        <w:tc>
          <w:tcPr>
            <w:tcW w:type="dxa" w:w="1872"/>
            <w:shd w:fill="FFFFFF"/>
            <w:tcMar>
              <w:top w:w="80" w:type="dxa"/>
              <w:bottom w:w="80" w:type="dxa"/>
              <w:left w:w="100" w:type="dxa"/>
              <w:right w:w="100" w:type="dxa"/>
            </w:tcMar>
          </w:tcPr>
          <w:p>
            <w:pPr>
              <w:jc w:val="right"/>
            </w:pPr>
            <w:r>
              <w:rPr>
                <w:rFonts w:ascii="Calibri" w:hAnsi="Calibri"/>
                <w:color w:val="222222"/>
                <w:sz w:val="18"/>
              </w:rPr>
              <w:t>1,512.17</w:t>
            </w:r>
          </w:p>
        </w:tc>
        <w:tc>
          <w:tcPr>
            <w:tcW w:type="dxa" w:w="1872"/>
            <w:shd w:fill="FFFFFF"/>
            <w:tcMar>
              <w:top w:w="80" w:type="dxa"/>
              <w:bottom w:w="80" w:type="dxa"/>
              <w:left w:w="100" w:type="dxa"/>
              <w:right w:w="100" w:type="dxa"/>
            </w:tcMar>
          </w:tcPr>
          <w:p>
            <w:pPr>
              <w:jc w:val="right"/>
            </w:pPr>
            <w:r>
              <w:rPr>
                <w:rFonts w:ascii="Calibri" w:hAnsi="Calibri"/>
                <w:color w:val="222222"/>
                <w:sz w:val="18"/>
              </w:rPr>
              <w:t>1,580.35</w:t>
            </w:r>
          </w:p>
        </w:tc>
        <w:tc>
          <w:tcPr>
            <w:tcW w:type="dxa" w:w="1872"/>
            <w:shd w:fill="FFFFFF"/>
            <w:tcMar>
              <w:top w:w="80" w:type="dxa"/>
              <w:bottom w:w="80" w:type="dxa"/>
              <w:left w:w="100" w:type="dxa"/>
              <w:right w:w="100" w:type="dxa"/>
            </w:tcMar>
          </w:tcPr>
          <w:p>
            <w:pPr>
              <w:jc w:val="right"/>
            </w:pPr>
            <w:r>
              <w:rPr>
                <w:rFonts w:ascii="Calibri" w:hAnsi="Calibri"/>
                <w:color w:val="222222"/>
                <w:sz w:val="18"/>
              </w:rPr>
              <w:t>6,308.75</w:t>
            </w:r>
          </w:p>
        </w:tc>
      </w:tr>
      <w:tr>
        <w:tc>
          <w:tcPr>
            <w:tcW w:type="dxa" w:w="1872"/>
            <w:shd w:fill="F9FAFB"/>
            <w:tcMar>
              <w:top w:w="80" w:type="dxa"/>
              <w:bottom w:w="80" w:type="dxa"/>
              <w:left w:w="100" w:type="dxa"/>
              <w:right w:w="100" w:type="dxa"/>
            </w:tcMar>
          </w:tcPr>
          <w:p>
            <w:pPr>
              <w:jc w:val="left"/>
            </w:pPr>
            <w:r>
              <w:rPr>
                <w:rFonts w:ascii="Calibri" w:hAnsi="Calibri"/>
                <w:color w:val="222222"/>
                <w:sz w:val="18"/>
              </w:rPr>
              <w:t>2. Other Income (a)+(b)</w:t>
            </w:r>
          </w:p>
        </w:tc>
        <w:tc>
          <w:tcPr>
            <w:tcW w:type="dxa" w:w="1872"/>
            <w:shd w:fill="F9FAFB"/>
            <w:tcMar>
              <w:top w:w="80" w:type="dxa"/>
              <w:bottom w:w="80" w:type="dxa"/>
              <w:left w:w="100" w:type="dxa"/>
              <w:right w:w="100" w:type="dxa"/>
            </w:tcMar>
          </w:tcPr>
          <w:p>
            <w:pPr>
              <w:jc w:val="right"/>
            </w:pPr>
            <w:r>
              <w:rPr>
                <w:rFonts w:ascii="Calibri" w:hAnsi="Calibri"/>
                <w:color w:val="222222"/>
                <w:sz w:val="18"/>
              </w:rPr>
              <w:t>42,535.03</w:t>
            </w:r>
          </w:p>
        </w:tc>
        <w:tc>
          <w:tcPr>
            <w:tcW w:type="dxa" w:w="1872"/>
            <w:shd w:fill="F9FAFB"/>
            <w:tcMar>
              <w:top w:w="80" w:type="dxa"/>
              <w:bottom w:w="80" w:type="dxa"/>
              <w:left w:w="100" w:type="dxa"/>
              <w:right w:w="100" w:type="dxa"/>
            </w:tcMar>
          </w:tcPr>
          <w:p>
            <w:pPr>
              <w:jc w:val="right"/>
            </w:pPr>
            <w:r>
              <w:rPr>
                <w:rFonts w:ascii="Calibri" w:hAnsi="Calibri"/>
                <w:color w:val="222222"/>
                <w:sz w:val="18"/>
              </w:rPr>
              <w:t>29,737.44</w:t>
            </w:r>
          </w:p>
        </w:tc>
        <w:tc>
          <w:tcPr>
            <w:tcW w:type="dxa" w:w="1872"/>
            <w:shd w:fill="F9FAFB"/>
            <w:tcMar>
              <w:top w:w="80" w:type="dxa"/>
              <w:bottom w:w="80" w:type="dxa"/>
              <w:left w:w="100" w:type="dxa"/>
              <w:right w:w="100" w:type="dxa"/>
            </w:tcMar>
          </w:tcPr>
          <w:p>
            <w:pPr>
              <w:jc w:val="right"/>
            </w:pPr>
            <w:r>
              <w:rPr>
                <w:rFonts w:ascii="Calibri" w:hAnsi="Calibri"/>
                <w:color w:val="222222"/>
                <w:sz w:val="18"/>
              </w:rPr>
              <w:t>45,683.10</w:t>
            </w:r>
          </w:p>
        </w:tc>
        <w:tc>
          <w:tcPr>
            <w:tcW w:type="dxa" w:w="1872"/>
            <w:shd w:fill="F9FAFB"/>
            <w:tcMar>
              <w:top w:w="80" w:type="dxa"/>
              <w:bottom w:w="80" w:type="dxa"/>
              <w:left w:w="100" w:type="dxa"/>
              <w:right w:w="100" w:type="dxa"/>
            </w:tcMar>
          </w:tcPr>
          <w:p>
            <w:pPr>
              <w:jc w:val="right"/>
            </w:pPr>
            <w:r>
              <w:rPr>
                <w:rFonts w:ascii="Calibri" w:hAnsi="Calibri"/>
                <w:color w:val="222222"/>
                <w:sz w:val="18"/>
              </w:rPr>
              <w:t>1,46,847.66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a) Premium &amp; operating income from insurance</w:t>
            </w:r>
          </w:p>
        </w:tc>
        <w:tc>
          <w:tcPr>
            <w:tcW w:type="dxa" w:w="1872"/>
            <w:shd w:fill="FFFFFF"/>
            <w:tcMar>
              <w:top w:w="80" w:type="dxa"/>
              <w:bottom w:w="80" w:type="dxa"/>
              <w:left w:w="100" w:type="dxa"/>
              <w:right w:w="100" w:type="dxa"/>
            </w:tcMar>
          </w:tcPr>
          <w:p>
            <w:pPr>
              <w:jc w:val="right"/>
            </w:pPr>
            <w:r>
              <w:rPr>
                <w:rFonts w:ascii="Calibri" w:hAnsi="Calibri"/>
                <w:color w:val="222222"/>
                <w:sz w:val="18"/>
              </w:rPr>
              <w:t>18,353.92</w:t>
            </w:r>
          </w:p>
        </w:tc>
        <w:tc>
          <w:tcPr>
            <w:tcW w:type="dxa" w:w="1872"/>
            <w:shd w:fill="FFFFFF"/>
            <w:tcMar>
              <w:top w:w="80" w:type="dxa"/>
              <w:bottom w:w="80" w:type="dxa"/>
              <w:left w:w="100" w:type="dxa"/>
              <w:right w:w="100" w:type="dxa"/>
            </w:tcMar>
          </w:tcPr>
          <w:p>
            <w:pPr>
              <w:jc w:val="right"/>
            </w:pPr>
            <w:r>
              <w:rPr>
                <w:rFonts w:ascii="Calibri" w:hAnsi="Calibri"/>
                <w:color w:val="222222"/>
                <w:sz w:val="18"/>
              </w:rPr>
              <w:t>27,584.74</w:t>
            </w:r>
          </w:p>
        </w:tc>
        <w:tc>
          <w:tcPr>
            <w:tcW w:type="dxa" w:w="1872"/>
            <w:shd w:fill="FFFFFF"/>
            <w:tcMar>
              <w:top w:w="80" w:type="dxa"/>
              <w:bottom w:w="80" w:type="dxa"/>
              <w:left w:w="100" w:type="dxa"/>
              <w:right w:w="100" w:type="dxa"/>
            </w:tcMar>
          </w:tcPr>
          <w:p>
            <w:pPr>
              <w:jc w:val="right"/>
            </w:pPr>
            <w:r>
              <w:rPr>
                <w:rFonts w:ascii="Calibri" w:hAnsi="Calibri"/>
                <w:color w:val="222222"/>
                <w:sz w:val="18"/>
              </w:rPr>
              <w:t>16,073.37</w:t>
            </w:r>
          </w:p>
        </w:tc>
        <w:tc>
          <w:tcPr>
            <w:tcW w:type="dxa" w:w="1872"/>
            <w:shd w:fill="FFFFFF"/>
            <w:tcMar>
              <w:top w:w="80" w:type="dxa"/>
              <w:bottom w:w="80" w:type="dxa"/>
              <w:left w:w="100" w:type="dxa"/>
              <w:right w:w="100" w:type="dxa"/>
            </w:tcMar>
          </w:tcPr>
          <w:p>
            <w:pPr>
              <w:jc w:val="right"/>
            </w:pPr>
            <w:r>
              <w:rPr>
                <w:rFonts w:ascii="Calibri" w:hAnsi="Calibri"/>
                <w:color w:val="222222"/>
                <w:sz w:val="18"/>
              </w:rPr>
              <w:t>84,160.02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b) Others (Refer note 9)</w:t>
            </w:r>
          </w:p>
        </w:tc>
        <w:tc>
          <w:tcPr>
            <w:tcW w:type="dxa" w:w="1872"/>
            <w:shd w:fill="F9FAFB"/>
            <w:tcMar>
              <w:top w:w="80" w:type="dxa"/>
              <w:bottom w:w="80" w:type="dxa"/>
              <w:left w:w="100" w:type="dxa"/>
              <w:right w:w="100" w:type="dxa"/>
            </w:tcMar>
          </w:tcPr>
          <w:p>
            <w:pPr>
              <w:jc w:val="right"/>
            </w:pPr>
            <w:r>
              <w:rPr>
                <w:rFonts w:ascii="Calibri" w:hAnsi="Calibri"/>
                <w:color w:val="222222"/>
                <w:sz w:val="18"/>
              </w:rPr>
              <w:t>24,181.11</w:t>
            </w:r>
          </w:p>
        </w:tc>
        <w:tc>
          <w:tcPr>
            <w:tcW w:type="dxa" w:w="1872"/>
            <w:shd w:fill="F9FAFB"/>
            <w:tcMar>
              <w:top w:w="80" w:type="dxa"/>
              <w:bottom w:w="80" w:type="dxa"/>
              <w:left w:w="100" w:type="dxa"/>
              <w:right w:w="100" w:type="dxa"/>
            </w:tcMar>
          </w:tcPr>
          <w:p>
            <w:pPr>
              <w:jc w:val="right"/>
            </w:pPr>
            <w:r>
              <w:rPr>
                <w:rFonts w:ascii="Calibri" w:hAnsi="Calibri"/>
                <w:color w:val="222222"/>
                <w:sz w:val="18"/>
              </w:rPr>
              <w:t>2,152.70</w:t>
            </w:r>
          </w:p>
        </w:tc>
        <w:tc>
          <w:tcPr>
            <w:tcW w:type="dxa" w:w="1872"/>
            <w:shd w:fill="F9FAFB"/>
            <w:tcMar>
              <w:top w:w="80" w:type="dxa"/>
              <w:bottom w:w="80" w:type="dxa"/>
              <w:left w:w="100" w:type="dxa"/>
              <w:right w:w="100" w:type="dxa"/>
            </w:tcMar>
          </w:tcPr>
          <w:p>
            <w:pPr>
              <w:jc w:val="right"/>
            </w:pPr>
            <w:r>
              <w:rPr>
                <w:rFonts w:ascii="Calibri" w:hAnsi="Calibri"/>
                <w:color w:val="222222"/>
                <w:sz w:val="18"/>
              </w:rPr>
              <w:t>29,609.73</w:t>
            </w:r>
          </w:p>
        </w:tc>
        <w:tc>
          <w:tcPr>
            <w:tcW w:type="dxa" w:w="1872"/>
            <w:shd w:fill="F9FAFB"/>
            <w:tcMar>
              <w:top w:w="80" w:type="dxa"/>
              <w:bottom w:w="80" w:type="dxa"/>
              <w:left w:w="100" w:type="dxa"/>
              <w:right w:w="100" w:type="dxa"/>
            </w:tcMar>
          </w:tcPr>
          <w:p>
            <w:pPr>
              <w:jc w:val="right"/>
            </w:pPr>
            <w:r>
              <w:rPr>
                <w:rFonts w:ascii="Calibri" w:hAnsi="Calibri"/>
                <w:color w:val="222222"/>
                <w:sz w:val="18"/>
              </w:rPr>
              <w:t>62,687.64</w:t>
            </w:r>
          </w:p>
        </w:tc>
      </w:tr>
      <w:tr>
        <w:tc>
          <w:tcPr>
            <w:tcW w:type="dxa" w:w="1872"/>
            <w:shd w:fill="FFFFFF"/>
            <w:tcMar>
              <w:top w:w="80" w:type="dxa"/>
              <w:bottom w:w="80" w:type="dxa"/>
              <w:left w:w="100" w:type="dxa"/>
              <w:right w:w="100" w:type="dxa"/>
            </w:tcMar>
          </w:tcPr>
          <w:p>
            <w:pPr>
              <w:jc w:val="left"/>
            </w:pPr>
            <w:r>
              <w:rPr>
                <w:rFonts w:ascii="Calibri" w:hAnsi="Calibri"/>
                <w:color w:val="222222"/>
                <w:sz w:val="18"/>
              </w:rPr>
              <w:t>3. Total Income (1)+(2)</w:t>
            </w:r>
          </w:p>
        </w:tc>
        <w:tc>
          <w:tcPr>
            <w:tcW w:type="dxa" w:w="1872"/>
            <w:shd w:fill="FFFFFF"/>
            <w:tcMar>
              <w:top w:w="80" w:type="dxa"/>
              <w:bottom w:w="80" w:type="dxa"/>
              <w:left w:w="100" w:type="dxa"/>
              <w:right w:w="100" w:type="dxa"/>
            </w:tcMar>
          </w:tcPr>
          <w:p>
            <w:pPr>
              <w:jc w:val="right"/>
            </w:pPr>
            <w:r>
              <w:rPr>
                <w:rFonts w:ascii="Calibri" w:hAnsi="Calibri"/>
                <w:color w:val="222222"/>
                <w:sz w:val="18"/>
              </w:rPr>
              <w:t>1,33,110.36</w:t>
            </w:r>
          </w:p>
        </w:tc>
        <w:tc>
          <w:tcPr>
            <w:tcW w:type="dxa" w:w="1872"/>
            <w:shd w:fill="FFFFFF"/>
            <w:tcMar>
              <w:top w:w="80" w:type="dxa"/>
              <w:bottom w:w="80" w:type="dxa"/>
              <w:left w:w="100" w:type="dxa"/>
              <w:right w:w="100" w:type="dxa"/>
            </w:tcMar>
          </w:tcPr>
          <w:p>
            <w:pPr>
              <w:jc w:val="right"/>
            </w:pPr>
            <w:r>
              <w:rPr>
                <w:rFonts w:ascii="Calibri" w:hAnsi="Calibri"/>
                <w:color w:val="222222"/>
                <w:sz w:val="18"/>
              </w:rPr>
              <w:t>1,16,919.94</w:t>
            </w:r>
          </w:p>
        </w:tc>
        <w:tc>
          <w:tcPr>
            <w:tcW w:type="dxa" w:w="1872"/>
            <w:shd w:fill="FFFFFF"/>
            <w:tcMar>
              <w:top w:w="80" w:type="dxa"/>
              <w:bottom w:w="80" w:type="dxa"/>
              <w:left w:w="100" w:type="dxa"/>
              <w:right w:w="100" w:type="dxa"/>
            </w:tcMar>
          </w:tcPr>
          <w:p>
            <w:pPr>
              <w:jc w:val="right"/>
            </w:pPr>
            <w:r>
              <w:rPr>
                <w:rFonts w:ascii="Calibri" w:hAnsi="Calibri"/>
                <w:color w:val="222222"/>
                <w:sz w:val="18"/>
              </w:rPr>
              <w:t>1,33,054.97</w:t>
            </w:r>
          </w:p>
        </w:tc>
        <w:tc>
          <w:tcPr>
            <w:tcW w:type="dxa" w:w="1872"/>
            <w:shd w:fill="FFFFFF"/>
            <w:tcMar>
              <w:top w:w="80" w:type="dxa"/>
              <w:bottom w:w="80" w:type="dxa"/>
              <w:left w:w="100" w:type="dxa"/>
              <w:right w:w="100" w:type="dxa"/>
            </w:tcMar>
          </w:tcPr>
          <w:p>
            <w:pPr>
              <w:jc w:val="right"/>
            </w:pPr>
            <w:r>
              <w:rPr>
                <w:rFonts w:ascii="Calibri" w:hAnsi="Calibri"/>
                <w:color w:val="222222"/>
                <w:sz w:val="18"/>
              </w:rPr>
              <w:t>4,95,462.81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4. Interest expended</w:t>
            </w:r>
          </w:p>
        </w:tc>
        <w:tc>
          <w:tcPr>
            <w:tcW w:type="dxa" w:w="1872"/>
            <w:shd w:fill="F9FAFB"/>
            <w:tcMar>
              <w:top w:w="80" w:type="dxa"/>
              <w:bottom w:w="80" w:type="dxa"/>
              <w:left w:w="100" w:type="dxa"/>
              <w:right w:w="100" w:type="dxa"/>
            </w:tcMar>
          </w:tcPr>
          <w:p>
            <w:pPr>
              <w:jc w:val="right"/>
            </w:pPr>
            <w:r>
              <w:rPr>
                <w:rFonts w:ascii="Calibri" w:hAnsi="Calibri"/>
                <w:color w:val="222222"/>
                <w:sz w:val="18"/>
              </w:rPr>
              <w:t>47,625.63</w:t>
            </w:r>
          </w:p>
        </w:tc>
        <w:tc>
          <w:tcPr>
            <w:tcW w:type="dxa" w:w="1872"/>
            <w:shd w:fill="F9FAFB"/>
            <w:tcMar>
              <w:top w:w="80" w:type="dxa"/>
              <w:bottom w:w="80" w:type="dxa"/>
              <w:left w:w="100" w:type="dxa"/>
              <w:right w:w="100" w:type="dxa"/>
            </w:tcMar>
          </w:tcPr>
          <w:p>
            <w:pPr>
              <w:jc w:val="right"/>
            </w:pPr>
            <w:r>
              <w:rPr>
                <w:rFonts w:ascii="Calibri" w:hAnsi="Calibri"/>
                <w:color w:val="222222"/>
                <w:sz w:val="18"/>
              </w:rPr>
              <w:t>45,220.44</w:t>
            </w:r>
          </w:p>
        </w:tc>
        <w:tc>
          <w:tcPr>
            <w:tcW w:type="dxa" w:w="1872"/>
            <w:shd w:fill="F9FAFB"/>
            <w:tcMar>
              <w:top w:w="80" w:type="dxa"/>
              <w:bottom w:w="80" w:type="dxa"/>
              <w:left w:w="100" w:type="dxa"/>
              <w:right w:w="100" w:type="dxa"/>
            </w:tcMar>
          </w:tcPr>
          <w:p>
            <w:pPr>
              <w:jc w:val="right"/>
            </w:pPr>
            <w:r>
              <w:rPr>
                <w:rFonts w:ascii="Calibri" w:hAnsi="Calibri"/>
                <w:color w:val="222222"/>
                <w:sz w:val="18"/>
              </w:rPr>
              <w:t>47,708.51</w:t>
            </w:r>
          </w:p>
        </w:tc>
        <w:tc>
          <w:tcPr>
            <w:tcW w:type="dxa" w:w="1872"/>
            <w:shd w:fill="F9FAFB"/>
            <w:tcMar>
              <w:top w:w="80" w:type="dxa"/>
              <w:bottom w:w="80" w:type="dxa"/>
              <w:left w:w="100" w:type="dxa"/>
              <w:right w:w="100" w:type="dxa"/>
            </w:tcMar>
          </w:tcPr>
          <w:p>
            <w:pPr>
              <w:jc w:val="right"/>
            </w:pPr>
            <w:r>
              <w:rPr>
                <w:rFonts w:ascii="Calibri" w:hAnsi="Calibri"/>
                <w:color w:val="222222"/>
                <w:sz w:val="18"/>
              </w:rPr>
              <w:t>1,85,491.23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5. Operating expenses (i)+(ii)+(iii)</w:t>
            </w:r>
          </w:p>
        </w:tc>
        <w:tc>
          <w:tcPr>
            <w:tcW w:type="dxa" w:w="1872"/>
            <w:shd w:fill="FFFFFF"/>
            <w:tcMar>
              <w:top w:w="80" w:type="dxa"/>
              <w:bottom w:w="80" w:type="dxa"/>
              <w:left w:w="100" w:type="dxa"/>
              <w:right w:w="100" w:type="dxa"/>
            </w:tcMar>
          </w:tcPr>
          <w:p>
            <w:pPr>
              <w:jc w:val="right"/>
            </w:pPr>
            <w:r>
              <w:rPr>
                <w:rFonts w:ascii="Calibri" w:hAnsi="Calibri"/>
                <w:color w:val="222222"/>
                <w:sz w:val="18"/>
              </w:rPr>
              <w:t>54,488.73</w:t>
            </w:r>
          </w:p>
        </w:tc>
        <w:tc>
          <w:tcPr>
            <w:tcW w:type="dxa" w:w="1872"/>
            <w:shd w:fill="FFFFFF"/>
            <w:tcMar>
              <w:top w:w="80" w:type="dxa"/>
              <w:bottom w:w="80" w:type="dxa"/>
              <w:left w:w="100" w:type="dxa"/>
              <w:right w:w="100" w:type="dxa"/>
            </w:tcMar>
          </w:tcPr>
          <w:p>
            <w:pPr>
              <w:jc w:val="right"/>
            </w:pPr>
            <w:r>
              <w:rPr>
                <w:rFonts w:ascii="Calibri" w:hAnsi="Calibri"/>
                <w:color w:val="222222"/>
                <w:sz w:val="18"/>
              </w:rPr>
              <w:t>40,587.82</w:t>
            </w:r>
          </w:p>
        </w:tc>
        <w:tc>
          <w:tcPr>
            <w:tcW w:type="dxa" w:w="1872"/>
            <w:shd w:fill="FFFFFF"/>
            <w:tcMar>
              <w:top w:w="80" w:type="dxa"/>
              <w:bottom w:w="80" w:type="dxa"/>
              <w:left w:w="100" w:type="dxa"/>
              <w:right w:w="100" w:type="dxa"/>
            </w:tcMar>
          </w:tcPr>
          <w:p>
            <w:pPr>
              <w:jc w:val="right"/>
            </w:pPr>
            <w:r>
              <w:rPr>
                <w:rFonts w:ascii="Calibri" w:hAnsi="Calibri"/>
                <w:color w:val="222222"/>
                <w:sz w:val="18"/>
              </w:rPr>
              <w:t>49,183.00</w:t>
            </w:r>
          </w:p>
        </w:tc>
        <w:tc>
          <w:tcPr>
            <w:tcW w:type="dxa" w:w="1872"/>
            <w:shd w:fill="FFFFFF"/>
            <w:tcMar>
              <w:top w:w="80" w:type="dxa"/>
              <w:bottom w:w="80" w:type="dxa"/>
              <w:left w:w="100" w:type="dxa"/>
              <w:right w:w="100" w:type="dxa"/>
            </w:tcMar>
          </w:tcPr>
          <w:p>
            <w:pPr>
              <w:jc w:val="right"/>
            </w:pPr>
            <w:r>
              <w:rPr>
                <w:rFonts w:ascii="Calibri" w:hAnsi="Calibri"/>
                <w:color w:val="222222"/>
                <w:sz w:val="18"/>
              </w:rPr>
              <w:t>1,81,173.91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 Employees cost</w:t>
            </w:r>
          </w:p>
        </w:tc>
        <w:tc>
          <w:tcPr>
            <w:tcW w:type="dxa" w:w="1872"/>
            <w:shd w:fill="F9FAFB"/>
            <w:tcMar>
              <w:top w:w="80" w:type="dxa"/>
              <w:bottom w:w="80" w:type="dxa"/>
              <w:left w:w="100" w:type="dxa"/>
              <w:right w:w="100" w:type="dxa"/>
            </w:tcMar>
          </w:tcPr>
          <w:p>
            <w:pPr>
              <w:jc w:val="right"/>
            </w:pPr>
            <w:r>
              <w:rPr>
                <w:rFonts w:ascii="Calibri" w:hAnsi="Calibri"/>
                <w:color w:val="222222"/>
                <w:sz w:val="18"/>
              </w:rPr>
              <w:t>9,342.49</w:t>
            </w:r>
          </w:p>
        </w:tc>
        <w:tc>
          <w:tcPr>
            <w:tcW w:type="dxa" w:w="1872"/>
            <w:shd w:fill="F9FAFB"/>
            <w:tcMar>
              <w:top w:w="80" w:type="dxa"/>
              <w:bottom w:w="80" w:type="dxa"/>
              <w:left w:w="100" w:type="dxa"/>
              <w:right w:w="100" w:type="dxa"/>
            </w:tcMar>
          </w:tcPr>
          <w:p>
            <w:pPr>
              <w:jc w:val="right"/>
            </w:pPr>
            <w:r>
              <w:rPr>
                <w:rFonts w:ascii="Calibri" w:hAnsi="Calibri"/>
                <w:color w:val="222222"/>
                <w:sz w:val="18"/>
              </w:rPr>
              <w:t>9,089.30</w:t>
            </w:r>
          </w:p>
        </w:tc>
        <w:tc>
          <w:tcPr>
            <w:tcW w:type="dxa" w:w="1872"/>
            <w:shd w:fill="F9FAFB"/>
            <w:tcMar>
              <w:top w:w="80" w:type="dxa"/>
              <w:bottom w:w="80" w:type="dxa"/>
              <w:left w:w="100" w:type="dxa"/>
              <w:right w:w="100" w:type="dxa"/>
            </w:tcMar>
          </w:tcPr>
          <w:p>
            <w:pPr>
              <w:jc w:val="right"/>
            </w:pPr>
            <w:r>
              <w:rPr>
                <w:rFonts w:ascii="Calibri" w:hAnsi="Calibri"/>
                <w:color w:val="222222"/>
                <w:sz w:val="18"/>
              </w:rPr>
              <w:t>8,897.46</w:t>
            </w:r>
          </w:p>
        </w:tc>
        <w:tc>
          <w:tcPr>
            <w:tcW w:type="dxa" w:w="1872"/>
            <w:shd w:fill="F9FAFB"/>
            <w:tcMar>
              <w:top w:w="80" w:type="dxa"/>
              <w:bottom w:w="80" w:type="dxa"/>
              <w:left w:w="100" w:type="dxa"/>
              <w:right w:w="100" w:type="dxa"/>
            </w:tcMar>
          </w:tcPr>
          <w:p>
            <w:pPr>
              <w:jc w:val="right"/>
            </w:pPr>
            <w:r>
              <w:rPr>
                <w:rFonts w:ascii="Calibri" w:hAnsi="Calibri"/>
                <w:color w:val="222222"/>
                <w:sz w:val="18"/>
              </w:rPr>
              <w:t>37,604.81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ii) Claims, benefits &amp; insurance expenses</w:t>
            </w:r>
          </w:p>
        </w:tc>
        <w:tc>
          <w:tcPr>
            <w:tcW w:type="dxa" w:w="1872"/>
            <w:shd w:fill="FFFFFF"/>
            <w:tcMar>
              <w:top w:w="80" w:type="dxa"/>
              <w:bottom w:w="80" w:type="dxa"/>
              <w:left w:w="100" w:type="dxa"/>
              <w:right w:w="100" w:type="dxa"/>
            </w:tcMar>
          </w:tcPr>
          <w:p>
            <w:pPr>
              <w:jc w:val="right"/>
            </w:pPr>
            <w:r>
              <w:rPr>
                <w:rFonts w:ascii="Calibri" w:hAnsi="Calibri"/>
                <w:color w:val="222222"/>
                <w:sz w:val="18"/>
              </w:rPr>
              <w:t>32,177.54</w:t>
            </w:r>
          </w:p>
        </w:tc>
        <w:tc>
          <w:tcPr>
            <w:tcW w:type="dxa" w:w="1872"/>
            <w:shd w:fill="FFFFFF"/>
            <w:tcMar>
              <w:top w:w="80" w:type="dxa"/>
              <w:bottom w:w="80" w:type="dxa"/>
              <w:left w:w="100" w:type="dxa"/>
              <w:right w:w="100" w:type="dxa"/>
            </w:tcMar>
          </w:tcPr>
          <w:p>
            <w:pPr>
              <w:jc w:val="right"/>
            </w:pPr>
            <w:r>
              <w:rPr>
                <w:rFonts w:ascii="Calibri" w:hAnsi="Calibri"/>
                <w:color w:val="222222"/>
                <w:sz w:val="18"/>
              </w:rPr>
              <w:t>18,170.74</w:t>
            </w:r>
          </w:p>
        </w:tc>
        <w:tc>
          <w:tcPr>
            <w:tcW w:type="dxa" w:w="1872"/>
            <w:shd w:fill="FFFFFF"/>
            <w:tcMar>
              <w:top w:w="80" w:type="dxa"/>
              <w:bottom w:w="80" w:type="dxa"/>
              <w:left w:w="100" w:type="dxa"/>
              <w:right w:w="100" w:type="dxa"/>
            </w:tcMar>
          </w:tcPr>
          <w:p>
            <w:pPr>
              <w:jc w:val="right"/>
            </w:pPr>
            <w:r>
              <w:rPr>
                <w:rFonts w:ascii="Calibri" w:hAnsi="Calibri"/>
                <w:color w:val="222222"/>
                <w:sz w:val="18"/>
              </w:rPr>
              <w:t>28,072.92</w:t>
            </w:r>
          </w:p>
        </w:tc>
        <w:tc>
          <w:tcPr>
            <w:tcW w:type="dxa" w:w="1872"/>
            <w:shd w:fill="FFFFFF"/>
            <w:tcMar>
              <w:top w:w="80" w:type="dxa"/>
              <w:bottom w:w="80" w:type="dxa"/>
              <w:left w:w="100" w:type="dxa"/>
              <w:right w:w="100" w:type="dxa"/>
            </w:tcMar>
          </w:tcPr>
          <w:p>
            <w:pPr>
              <w:jc w:val="right"/>
            </w:pPr>
            <w:r>
              <w:rPr>
                <w:rFonts w:ascii="Calibri" w:hAnsi="Calibri"/>
                <w:color w:val="222222"/>
                <w:sz w:val="18"/>
              </w:rPr>
              <w:t>92,340.22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iii) Other operating expenses</w:t>
            </w:r>
          </w:p>
        </w:tc>
        <w:tc>
          <w:tcPr>
            <w:tcW w:type="dxa" w:w="1872"/>
            <w:shd w:fill="F9FAFB"/>
            <w:tcMar>
              <w:top w:w="80" w:type="dxa"/>
              <w:bottom w:w="80" w:type="dxa"/>
              <w:left w:w="100" w:type="dxa"/>
              <w:right w:w="100" w:type="dxa"/>
            </w:tcMar>
          </w:tcPr>
          <w:p>
            <w:pPr>
              <w:jc w:val="right"/>
            </w:pPr>
            <w:r>
              <w:rPr>
                <w:rFonts w:ascii="Calibri" w:hAnsi="Calibri"/>
                <w:color w:val="222222"/>
                <w:sz w:val="18"/>
              </w:rPr>
              <w:t>12,968.70</w:t>
            </w:r>
          </w:p>
        </w:tc>
        <w:tc>
          <w:tcPr>
            <w:tcW w:type="dxa" w:w="1872"/>
            <w:shd w:fill="F9FAFB"/>
            <w:tcMar>
              <w:top w:w="80" w:type="dxa"/>
              <w:bottom w:w="80" w:type="dxa"/>
              <w:left w:w="100" w:type="dxa"/>
              <w:right w:w="100" w:type="dxa"/>
            </w:tcMar>
          </w:tcPr>
          <w:p>
            <w:pPr>
              <w:jc w:val="right"/>
            </w:pPr>
            <w:r>
              <w:rPr>
                <w:rFonts w:ascii="Calibri" w:hAnsi="Calibri"/>
                <w:color w:val="222222"/>
                <w:sz w:val="18"/>
              </w:rPr>
              <w:t>13,327.78</w:t>
            </w:r>
          </w:p>
        </w:tc>
        <w:tc>
          <w:tcPr>
            <w:tcW w:type="dxa" w:w="1872"/>
            <w:shd w:fill="F9FAFB"/>
            <w:tcMar>
              <w:top w:w="80" w:type="dxa"/>
              <w:bottom w:w="80" w:type="dxa"/>
              <w:left w:w="100" w:type="dxa"/>
              <w:right w:w="100" w:type="dxa"/>
            </w:tcMar>
          </w:tcPr>
          <w:p>
            <w:pPr>
              <w:jc w:val="right"/>
            </w:pPr>
            <w:r>
              <w:rPr>
                <w:rFonts w:ascii="Calibri" w:hAnsi="Calibri"/>
                <w:color w:val="222222"/>
                <w:sz w:val="18"/>
              </w:rPr>
              <w:t>12,212.62</w:t>
            </w:r>
          </w:p>
        </w:tc>
        <w:tc>
          <w:tcPr>
            <w:tcW w:type="dxa" w:w="1872"/>
            <w:shd w:fill="F9FAFB"/>
            <w:tcMar>
              <w:top w:w="80" w:type="dxa"/>
              <w:bottom w:w="80" w:type="dxa"/>
              <w:left w:w="100" w:type="dxa"/>
              <w:right w:w="100" w:type="dxa"/>
            </w:tcMar>
          </w:tcPr>
          <w:p>
            <w:pPr>
              <w:jc w:val="right"/>
            </w:pPr>
            <w:r>
              <w:rPr>
                <w:rFonts w:ascii="Calibri" w:hAnsi="Calibri"/>
                <w:color w:val="222222"/>
                <w:sz w:val="18"/>
              </w:rPr>
              <w:t>51,228.88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6. Total Expenditure (4)+(5) (excl. provisions)</w:t>
            </w:r>
          </w:p>
        </w:tc>
        <w:tc>
          <w:tcPr>
            <w:tcW w:type="dxa" w:w="1872"/>
            <w:shd w:fill="FFFFFF"/>
            <w:tcMar>
              <w:top w:w="80" w:type="dxa"/>
              <w:bottom w:w="80" w:type="dxa"/>
              <w:left w:w="100" w:type="dxa"/>
              <w:right w:w="100" w:type="dxa"/>
            </w:tcMar>
          </w:tcPr>
          <w:p>
            <w:pPr>
              <w:jc w:val="right"/>
            </w:pPr>
            <w:r>
              <w:rPr>
                <w:rFonts w:ascii="Calibri" w:hAnsi="Calibri"/>
                <w:color w:val="222222"/>
                <w:sz w:val="18"/>
              </w:rPr>
              <w:t>1,02,114.36</w:t>
            </w:r>
          </w:p>
        </w:tc>
        <w:tc>
          <w:tcPr>
            <w:tcW w:type="dxa" w:w="1872"/>
            <w:shd w:fill="FFFFFF"/>
            <w:tcMar>
              <w:top w:w="80" w:type="dxa"/>
              <w:bottom w:w="80" w:type="dxa"/>
              <w:left w:w="100" w:type="dxa"/>
              <w:right w:w="100" w:type="dxa"/>
            </w:tcMar>
          </w:tcPr>
          <w:p>
            <w:pPr>
              <w:jc w:val="right"/>
            </w:pPr>
            <w:r>
              <w:rPr>
                <w:rFonts w:ascii="Calibri" w:hAnsi="Calibri"/>
                <w:color w:val="222222"/>
                <w:sz w:val="18"/>
              </w:rPr>
              <w:t>85,808.26</w:t>
            </w:r>
          </w:p>
        </w:tc>
        <w:tc>
          <w:tcPr>
            <w:tcW w:type="dxa" w:w="1872"/>
            <w:shd w:fill="FFFFFF"/>
            <w:tcMar>
              <w:top w:w="80" w:type="dxa"/>
              <w:bottom w:w="80" w:type="dxa"/>
              <w:left w:w="100" w:type="dxa"/>
              <w:right w:w="100" w:type="dxa"/>
            </w:tcMar>
          </w:tcPr>
          <w:p>
            <w:pPr>
              <w:jc w:val="right"/>
            </w:pPr>
            <w:r>
              <w:rPr>
                <w:rFonts w:ascii="Calibri" w:hAnsi="Calibri"/>
                <w:color w:val="222222"/>
                <w:sz w:val="18"/>
              </w:rPr>
              <w:t>96,891.51</w:t>
            </w:r>
          </w:p>
        </w:tc>
        <w:tc>
          <w:tcPr>
            <w:tcW w:type="dxa" w:w="1872"/>
            <w:shd w:fill="FFFFFF"/>
            <w:tcMar>
              <w:top w:w="80" w:type="dxa"/>
              <w:bottom w:w="80" w:type="dxa"/>
              <w:left w:w="100" w:type="dxa"/>
              <w:right w:w="100" w:type="dxa"/>
            </w:tcMar>
          </w:tcPr>
          <w:p>
            <w:pPr>
              <w:jc w:val="right"/>
            </w:pPr>
            <w:r>
              <w:rPr>
                <w:rFonts w:ascii="Calibri" w:hAnsi="Calibri"/>
                <w:color w:val="222222"/>
                <w:sz w:val="18"/>
              </w:rPr>
              <w:t>3,66,665.14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7. Operating Profit before provisions (3)-(6)</w:t>
            </w:r>
          </w:p>
        </w:tc>
        <w:tc>
          <w:tcPr>
            <w:tcW w:type="dxa" w:w="1872"/>
            <w:shd w:fill="F9FAFB"/>
            <w:tcMar>
              <w:top w:w="80" w:type="dxa"/>
              <w:bottom w:w="80" w:type="dxa"/>
              <w:left w:w="100" w:type="dxa"/>
              <w:right w:w="100" w:type="dxa"/>
            </w:tcMar>
          </w:tcPr>
          <w:p>
            <w:pPr>
              <w:jc w:val="right"/>
            </w:pPr>
            <w:r>
              <w:rPr>
                <w:rFonts w:ascii="Calibri" w:hAnsi="Calibri"/>
                <w:color w:val="222222"/>
                <w:sz w:val="18"/>
              </w:rPr>
              <w:t>30,996.00</w:t>
            </w:r>
          </w:p>
        </w:tc>
        <w:tc>
          <w:tcPr>
            <w:tcW w:type="dxa" w:w="1872"/>
            <w:shd w:fill="F9FAFB"/>
            <w:tcMar>
              <w:top w:w="80" w:type="dxa"/>
              <w:bottom w:w="80" w:type="dxa"/>
              <w:left w:w="100" w:type="dxa"/>
              <w:right w:w="100" w:type="dxa"/>
            </w:tcMar>
          </w:tcPr>
          <w:p>
            <w:pPr>
              <w:jc w:val="right"/>
            </w:pPr>
            <w:r>
              <w:rPr>
                <w:rFonts w:ascii="Calibri" w:hAnsi="Calibri"/>
                <w:color w:val="222222"/>
                <w:sz w:val="18"/>
              </w:rPr>
              <w:t>31,111.68</w:t>
            </w:r>
          </w:p>
        </w:tc>
        <w:tc>
          <w:tcPr>
            <w:tcW w:type="dxa" w:w="1872"/>
            <w:shd w:fill="F9FAFB"/>
            <w:tcMar>
              <w:top w:w="80" w:type="dxa"/>
              <w:bottom w:w="80" w:type="dxa"/>
              <w:left w:w="100" w:type="dxa"/>
              <w:right w:w="100" w:type="dxa"/>
            </w:tcMar>
          </w:tcPr>
          <w:p>
            <w:pPr>
              <w:jc w:val="right"/>
            </w:pPr>
            <w:r>
              <w:rPr>
                <w:rFonts w:ascii="Calibri" w:hAnsi="Calibri"/>
                <w:color w:val="222222"/>
                <w:sz w:val="18"/>
              </w:rPr>
              <w:t>36,163.46</w:t>
            </w:r>
          </w:p>
        </w:tc>
        <w:tc>
          <w:tcPr>
            <w:tcW w:type="dxa" w:w="1872"/>
            <w:shd w:fill="F9FAFB"/>
            <w:tcMar>
              <w:top w:w="80" w:type="dxa"/>
              <w:bottom w:w="80" w:type="dxa"/>
              <w:left w:w="100" w:type="dxa"/>
              <w:right w:w="100" w:type="dxa"/>
            </w:tcMar>
          </w:tcPr>
          <w:p>
            <w:pPr>
              <w:jc w:val="right"/>
            </w:pPr>
            <w:r>
              <w:rPr>
                <w:rFonts w:ascii="Calibri" w:hAnsi="Calibri"/>
                <w:color w:val="222222"/>
                <w:sz w:val="18"/>
              </w:rPr>
              <w:t>1,28,797.67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8. Provisions &amp; Contingencies (Refer note 8)</w:t>
            </w:r>
          </w:p>
        </w:tc>
        <w:tc>
          <w:tcPr>
            <w:tcW w:type="dxa" w:w="1872"/>
            <w:shd w:fill="FFFFFF"/>
            <w:tcMar>
              <w:top w:w="80" w:type="dxa"/>
              <w:bottom w:w="80" w:type="dxa"/>
              <w:left w:w="100" w:type="dxa"/>
              <w:right w:w="100" w:type="dxa"/>
            </w:tcMar>
          </w:tcPr>
          <w:p>
            <w:pPr>
              <w:jc w:val="right"/>
            </w:pPr>
            <w:r>
              <w:rPr>
                <w:rFonts w:ascii="Calibri" w:hAnsi="Calibri"/>
                <w:color w:val="222222"/>
                <w:sz w:val="18"/>
              </w:rPr>
              <w:t>3,802.84</w:t>
            </w:r>
          </w:p>
        </w:tc>
        <w:tc>
          <w:tcPr>
            <w:tcW w:type="dxa" w:w="1872"/>
            <w:shd w:fill="FFFFFF"/>
            <w:tcMar>
              <w:top w:w="80" w:type="dxa"/>
              <w:bottom w:w="80" w:type="dxa"/>
              <w:left w:w="100" w:type="dxa"/>
              <w:right w:w="100" w:type="dxa"/>
            </w:tcMar>
          </w:tcPr>
          <w:p>
            <w:pPr>
              <w:jc w:val="right"/>
            </w:pPr>
            <w:r>
              <w:rPr>
                <w:rFonts w:ascii="Calibri" w:hAnsi="Calibri"/>
                <w:color w:val="222222"/>
                <w:sz w:val="18"/>
              </w:rPr>
              <w:t>3,440.05</w:t>
            </w:r>
          </w:p>
        </w:tc>
        <w:tc>
          <w:tcPr>
            <w:tcW w:type="dxa" w:w="1872"/>
            <w:shd w:fill="FFFFFF"/>
            <w:tcMar>
              <w:top w:w="80" w:type="dxa"/>
              <w:bottom w:w="80" w:type="dxa"/>
              <w:left w:w="100" w:type="dxa"/>
              <w:right w:w="100" w:type="dxa"/>
            </w:tcMar>
          </w:tcPr>
          <w:p>
            <w:pPr>
              <w:jc w:val="right"/>
            </w:pPr>
            <w:r>
              <w:rPr>
                <w:rFonts w:ascii="Calibri" w:hAnsi="Calibri"/>
                <w:color w:val="222222"/>
                <w:sz w:val="18"/>
              </w:rPr>
              <w:t>15,313.63</w:t>
            </w:r>
          </w:p>
        </w:tc>
        <w:tc>
          <w:tcPr>
            <w:tcW w:type="dxa" w:w="1872"/>
            <w:shd w:fill="FFFFFF"/>
            <w:tcMar>
              <w:top w:w="80" w:type="dxa"/>
              <w:bottom w:w="80" w:type="dxa"/>
              <w:left w:w="100" w:type="dxa"/>
              <w:right w:w="100" w:type="dxa"/>
            </w:tcMar>
          </w:tcPr>
          <w:p>
            <w:pPr>
              <w:jc w:val="right"/>
            </w:pPr>
            <w:r>
              <w:rPr>
                <w:rFonts w:ascii="Calibri" w:hAnsi="Calibri"/>
                <w:color w:val="222222"/>
                <w:sz w:val="18"/>
              </w:rPr>
              <w:t>26,656.22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9. Exceptional items</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10. PBT &amp; Minority Interest (7)-(8)</w:t>
            </w:r>
          </w:p>
        </w:tc>
        <w:tc>
          <w:tcPr>
            <w:tcW w:type="dxa" w:w="1872"/>
            <w:shd w:fill="FFFFFF"/>
            <w:tcMar>
              <w:top w:w="80" w:type="dxa"/>
              <w:bottom w:w="80" w:type="dxa"/>
              <w:left w:w="100" w:type="dxa"/>
              <w:right w:w="100" w:type="dxa"/>
            </w:tcMar>
          </w:tcPr>
          <w:p>
            <w:pPr>
              <w:jc w:val="right"/>
            </w:pPr>
            <w:r>
              <w:rPr>
                <w:rFonts w:ascii="Calibri" w:hAnsi="Calibri"/>
                <w:color w:val="222222"/>
                <w:sz w:val="18"/>
              </w:rPr>
              <w:t>27,193.16</w:t>
            </w:r>
          </w:p>
        </w:tc>
        <w:tc>
          <w:tcPr>
            <w:tcW w:type="dxa" w:w="1872"/>
            <w:shd w:fill="FFFFFF"/>
            <w:tcMar>
              <w:top w:w="80" w:type="dxa"/>
              <w:bottom w:w="80" w:type="dxa"/>
              <w:left w:w="100" w:type="dxa"/>
              <w:right w:w="100" w:type="dxa"/>
            </w:tcMar>
          </w:tcPr>
          <w:p>
            <w:pPr>
              <w:jc w:val="right"/>
            </w:pPr>
            <w:r>
              <w:rPr>
                <w:rFonts w:ascii="Calibri" w:hAnsi="Calibri"/>
                <w:color w:val="222222"/>
                <w:sz w:val="18"/>
              </w:rPr>
              <w:t>27,671.63</w:t>
            </w:r>
          </w:p>
        </w:tc>
        <w:tc>
          <w:tcPr>
            <w:tcW w:type="dxa" w:w="1872"/>
            <w:shd w:fill="FFFFFF"/>
            <w:tcMar>
              <w:top w:w="80" w:type="dxa"/>
              <w:bottom w:w="80" w:type="dxa"/>
              <w:left w:w="100" w:type="dxa"/>
              <w:right w:w="100" w:type="dxa"/>
            </w:tcMar>
          </w:tcPr>
          <w:p>
            <w:pPr>
              <w:jc w:val="right"/>
            </w:pPr>
            <w:r>
              <w:rPr>
                <w:rFonts w:ascii="Calibri" w:hAnsi="Calibri"/>
                <w:color w:val="222222"/>
                <w:sz w:val="18"/>
              </w:rPr>
              <w:t>20,849.83</w:t>
            </w:r>
          </w:p>
        </w:tc>
        <w:tc>
          <w:tcPr>
            <w:tcW w:type="dxa" w:w="1872"/>
            <w:shd w:fill="FFFFFF"/>
            <w:tcMar>
              <w:top w:w="80" w:type="dxa"/>
              <w:bottom w:w="80" w:type="dxa"/>
              <w:left w:w="100" w:type="dxa"/>
              <w:right w:w="100" w:type="dxa"/>
            </w:tcMar>
          </w:tcPr>
          <w:p>
            <w:pPr>
              <w:jc w:val="right"/>
            </w:pPr>
            <w:r>
              <w:rPr>
                <w:rFonts w:ascii="Calibri" w:hAnsi="Calibri"/>
                <w:color w:val="222222"/>
                <w:sz w:val="18"/>
              </w:rPr>
              <w:t>1,02,141.45</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11. Tax Expense</w:t>
            </w:r>
          </w:p>
        </w:tc>
        <w:tc>
          <w:tcPr>
            <w:tcW w:type="dxa" w:w="1872"/>
            <w:shd w:fill="F9FAFB"/>
            <w:tcMar>
              <w:top w:w="80" w:type="dxa"/>
              <w:bottom w:w="80" w:type="dxa"/>
              <w:left w:w="100" w:type="dxa"/>
              <w:right w:w="100" w:type="dxa"/>
            </w:tcMar>
          </w:tcPr>
          <w:p>
            <w:pPr>
              <w:jc w:val="right"/>
            </w:pPr>
            <w:r>
              <w:rPr>
                <w:rFonts w:ascii="Calibri" w:hAnsi="Calibri"/>
                <w:color w:val="222222"/>
                <w:sz w:val="18"/>
              </w:rPr>
              <w:t>6,810.47</w:t>
            </w:r>
          </w:p>
        </w:tc>
        <w:tc>
          <w:tcPr>
            <w:tcW w:type="dxa" w:w="1872"/>
            <w:shd w:fill="F9FAFB"/>
            <w:tcMar>
              <w:top w:w="80" w:type="dxa"/>
              <w:bottom w:w="80" w:type="dxa"/>
              <w:left w:w="100" w:type="dxa"/>
              <w:right w:w="100" w:type="dxa"/>
            </w:tcMar>
          </w:tcPr>
          <w:p>
            <w:pPr>
              <w:jc w:val="right"/>
            </w:pPr>
            <w:r>
              <w:rPr>
                <w:rFonts w:ascii="Calibri" w:hAnsi="Calibri"/>
                <w:color w:val="222222"/>
                <w:sz w:val="18"/>
              </w:rPr>
              <w:t>6,597.41</w:t>
            </w:r>
          </w:p>
        </w:tc>
        <w:tc>
          <w:tcPr>
            <w:tcW w:type="dxa" w:w="1872"/>
            <w:shd w:fill="F9FAFB"/>
            <w:tcMar>
              <w:top w:w="80" w:type="dxa"/>
              <w:bottom w:w="80" w:type="dxa"/>
              <w:left w:w="100" w:type="dxa"/>
              <w:right w:w="100" w:type="dxa"/>
            </w:tcMar>
          </w:tcPr>
          <w:p>
            <w:pPr>
              <w:jc w:val="right"/>
            </w:pPr>
            <w:r>
              <w:rPr>
                <w:rFonts w:ascii="Calibri" w:hAnsi="Calibri"/>
                <w:color w:val="222222"/>
                <w:sz w:val="18"/>
              </w:rPr>
              <w:t>3,759.40</w:t>
            </w:r>
          </w:p>
        </w:tc>
        <w:tc>
          <w:tcPr>
            <w:tcW w:type="dxa" w:w="1872"/>
            <w:shd w:fill="F9FAFB"/>
            <w:tcMar>
              <w:top w:w="80" w:type="dxa"/>
              <w:bottom w:w="80" w:type="dxa"/>
              <w:left w:w="100" w:type="dxa"/>
              <w:right w:w="100" w:type="dxa"/>
            </w:tcMar>
          </w:tcPr>
          <w:p>
            <w:pPr>
              <w:jc w:val="right"/>
            </w:pPr>
            <w:r>
              <w:rPr>
                <w:rFonts w:ascii="Calibri" w:hAnsi="Calibri"/>
                <w:color w:val="222222"/>
                <w:sz w:val="18"/>
              </w:rPr>
              <w:t>22,921.99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12. PAT before Minority Interest (10)-(11)</w:t>
            </w:r>
          </w:p>
        </w:tc>
        <w:tc>
          <w:tcPr>
            <w:tcW w:type="dxa" w:w="1872"/>
            <w:shd w:fill="FFFFFF"/>
            <w:tcMar>
              <w:top w:w="80" w:type="dxa"/>
              <w:bottom w:w="80" w:type="dxa"/>
              <w:left w:w="100" w:type="dxa"/>
              <w:right w:w="100" w:type="dxa"/>
            </w:tcMar>
          </w:tcPr>
          <w:p>
            <w:pPr>
              <w:jc w:val="right"/>
            </w:pPr>
            <w:r>
              <w:rPr>
                <w:rFonts w:ascii="Calibri" w:hAnsi="Calibri"/>
                <w:color w:val="222222"/>
                <w:sz w:val="18"/>
              </w:rPr>
              <w:t>20,382.69</w:t>
            </w:r>
          </w:p>
        </w:tc>
        <w:tc>
          <w:tcPr>
            <w:tcW w:type="dxa" w:w="1872"/>
            <w:shd w:fill="FFFFFF"/>
            <w:tcMar>
              <w:top w:w="80" w:type="dxa"/>
              <w:bottom w:w="80" w:type="dxa"/>
              <w:left w:w="100" w:type="dxa"/>
              <w:right w:w="100" w:type="dxa"/>
            </w:tcMar>
          </w:tcPr>
          <w:p>
            <w:pPr>
              <w:jc w:val="right"/>
            </w:pPr>
            <w:r>
              <w:rPr>
                <w:rFonts w:ascii="Calibri" w:hAnsi="Calibri"/>
                <w:color w:val="222222"/>
                <w:sz w:val="18"/>
              </w:rPr>
              <w:t>21,074.22</w:t>
            </w:r>
          </w:p>
        </w:tc>
        <w:tc>
          <w:tcPr>
            <w:tcW w:type="dxa" w:w="1872"/>
            <w:shd w:fill="FFFFFF"/>
            <w:tcMar>
              <w:top w:w="80" w:type="dxa"/>
              <w:bottom w:w="80" w:type="dxa"/>
              <w:left w:w="100" w:type="dxa"/>
              <w:right w:w="100" w:type="dxa"/>
            </w:tcMar>
          </w:tcPr>
          <w:p>
            <w:pPr>
              <w:jc w:val="right"/>
            </w:pPr>
            <w:r>
              <w:rPr>
                <w:rFonts w:ascii="Calibri" w:hAnsi="Calibri"/>
                <w:color w:val="222222"/>
                <w:sz w:val="18"/>
              </w:rPr>
              <w:t>17,090.43</w:t>
            </w:r>
          </w:p>
        </w:tc>
        <w:tc>
          <w:tcPr>
            <w:tcW w:type="dxa" w:w="1872"/>
            <w:shd w:fill="FFFFFF"/>
            <w:tcMar>
              <w:top w:w="80" w:type="dxa"/>
              <w:bottom w:w="80" w:type="dxa"/>
              <w:left w:w="100" w:type="dxa"/>
              <w:right w:w="100" w:type="dxa"/>
            </w:tcMar>
          </w:tcPr>
          <w:p>
            <w:pPr>
              <w:jc w:val="right"/>
            </w:pPr>
            <w:r>
              <w:rPr>
                <w:rFonts w:ascii="Calibri" w:hAnsi="Calibri"/>
                <w:color w:val="222222"/>
                <w:sz w:val="18"/>
              </w:rPr>
              <w:t>79,219.46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13. Extraordinary items (net of tax)</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c>
          <w:tcPr>
            <w:tcW w:type="dxa" w:w="1872"/>
            <w:shd w:fill="F9FAFB"/>
            <w:tcMar>
              <w:top w:w="80" w:type="dxa"/>
              <w:bottom w:w="80" w:type="dxa"/>
              <w:left w:w="100" w:type="dxa"/>
              <w:right w:w="100" w:type="dxa"/>
            </w:tcMar>
          </w:tcPr>
          <w:p>
            <w:pPr>
              <w:jc w:val="left"/>
            </w:pPr>
            <w:r>
              <w:rPr>
                <w:rFonts w:ascii="Calibri" w:hAnsi="Calibri"/>
                <w:color w:val="222222"/>
                <w:sz w:val="18"/>
              </w:rPr>
              <w:t>-</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14. Net Profit before Minority Interest (12)-(13)</w:t>
            </w:r>
          </w:p>
        </w:tc>
        <w:tc>
          <w:tcPr>
            <w:tcW w:type="dxa" w:w="1872"/>
            <w:shd w:fill="FFFFFF"/>
            <w:tcMar>
              <w:top w:w="80" w:type="dxa"/>
              <w:bottom w:w="80" w:type="dxa"/>
              <w:left w:w="100" w:type="dxa"/>
              <w:right w:w="100" w:type="dxa"/>
            </w:tcMar>
          </w:tcPr>
          <w:p>
            <w:pPr>
              <w:jc w:val="right"/>
            </w:pPr>
            <w:r>
              <w:rPr>
                <w:rFonts w:ascii="Calibri" w:hAnsi="Calibri"/>
                <w:color w:val="222222"/>
                <w:sz w:val="18"/>
              </w:rPr>
              <w:t>20,382.69</w:t>
            </w:r>
          </w:p>
        </w:tc>
        <w:tc>
          <w:tcPr>
            <w:tcW w:type="dxa" w:w="1872"/>
            <w:shd w:fill="FFFFFF"/>
            <w:tcMar>
              <w:top w:w="80" w:type="dxa"/>
              <w:bottom w:w="80" w:type="dxa"/>
              <w:left w:w="100" w:type="dxa"/>
              <w:right w:w="100" w:type="dxa"/>
            </w:tcMar>
          </w:tcPr>
          <w:p>
            <w:pPr>
              <w:jc w:val="right"/>
            </w:pPr>
            <w:r>
              <w:rPr>
                <w:rFonts w:ascii="Calibri" w:hAnsi="Calibri"/>
                <w:color w:val="222222"/>
                <w:sz w:val="18"/>
              </w:rPr>
              <w:t>21,074.22</w:t>
            </w:r>
          </w:p>
        </w:tc>
        <w:tc>
          <w:tcPr>
            <w:tcW w:type="dxa" w:w="1872"/>
            <w:shd w:fill="FFFFFF"/>
            <w:tcMar>
              <w:top w:w="80" w:type="dxa"/>
              <w:bottom w:w="80" w:type="dxa"/>
              <w:left w:w="100" w:type="dxa"/>
              <w:right w:w="100" w:type="dxa"/>
            </w:tcMar>
          </w:tcPr>
          <w:p>
            <w:pPr>
              <w:jc w:val="right"/>
            </w:pPr>
            <w:r>
              <w:rPr>
                <w:rFonts w:ascii="Calibri" w:hAnsi="Calibri"/>
                <w:color w:val="222222"/>
                <w:sz w:val="18"/>
              </w:rPr>
              <w:t>17,090.43</w:t>
            </w:r>
          </w:p>
        </w:tc>
        <w:tc>
          <w:tcPr>
            <w:tcW w:type="dxa" w:w="1872"/>
            <w:shd w:fill="FFFFFF"/>
            <w:tcMar>
              <w:top w:w="80" w:type="dxa"/>
              <w:bottom w:w="80" w:type="dxa"/>
              <w:left w:w="100" w:type="dxa"/>
              <w:right w:w="100" w:type="dxa"/>
            </w:tcMar>
          </w:tcPr>
          <w:p>
            <w:pPr>
              <w:jc w:val="right"/>
            </w:pPr>
            <w:r>
              <w:rPr>
                <w:rFonts w:ascii="Calibri" w:hAnsi="Calibri"/>
                <w:color w:val="222222"/>
                <w:sz w:val="18"/>
              </w:rPr>
              <w:t>79,219.46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15. Less: Minority Interest</w:t>
            </w:r>
          </w:p>
        </w:tc>
        <w:tc>
          <w:tcPr>
            <w:tcW w:type="dxa" w:w="1872"/>
            <w:shd w:fill="F9FAFB"/>
            <w:tcMar>
              <w:top w:w="80" w:type="dxa"/>
              <w:bottom w:w="80" w:type="dxa"/>
              <w:left w:w="100" w:type="dxa"/>
              <w:right w:w="100" w:type="dxa"/>
            </w:tcMar>
          </w:tcPr>
          <w:p>
            <w:pPr>
              <w:jc w:val="right"/>
            </w:pPr>
            <w:r>
              <w:rPr>
                <w:rFonts w:ascii="Calibri" w:hAnsi="Calibri"/>
                <w:color w:val="222222"/>
                <w:sz w:val="18"/>
              </w:rPr>
              <w:t>1,137.98</w:t>
            </w:r>
          </w:p>
        </w:tc>
        <w:tc>
          <w:tcPr>
            <w:tcW w:type="dxa" w:w="1872"/>
            <w:shd w:fill="F9FAFB"/>
            <w:tcMar>
              <w:top w:w="80" w:type="dxa"/>
              <w:bottom w:w="80" w:type="dxa"/>
              <w:left w:w="100" w:type="dxa"/>
              <w:right w:w="100" w:type="dxa"/>
            </w:tcMar>
          </w:tcPr>
          <w:p>
            <w:pPr>
              <w:jc w:val="right"/>
            </w:pPr>
            <w:r>
              <w:rPr>
                <w:rFonts w:ascii="Calibri" w:hAnsi="Calibri"/>
                <w:color w:val="222222"/>
                <w:sz w:val="18"/>
              </w:rPr>
              <w:t>723.46</w:t>
            </w:r>
          </w:p>
        </w:tc>
        <w:tc>
          <w:tcPr>
            <w:tcW w:type="dxa" w:w="1872"/>
            <w:shd w:fill="F9FAFB"/>
            <w:tcMar>
              <w:top w:w="80" w:type="dxa"/>
              <w:bottom w:w="80" w:type="dxa"/>
              <w:left w:w="100" w:type="dxa"/>
              <w:right w:w="100" w:type="dxa"/>
            </w:tcMar>
          </w:tcPr>
          <w:p>
            <w:pPr>
              <w:jc w:val="right"/>
            </w:pPr>
            <w:r>
              <w:rPr>
                <w:rFonts w:ascii="Calibri" w:hAnsi="Calibri"/>
                <w:color w:val="222222"/>
                <w:sz w:val="18"/>
              </w:rPr>
              <w:t>832.52</w:t>
            </w:r>
          </w:p>
        </w:tc>
        <w:tc>
          <w:tcPr>
            <w:tcW w:type="dxa" w:w="1872"/>
            <w:shd w:fill="F9FAFB"/>
            <w:tcMar>
              <w:top w:w="80" w:type="dxa"/>
              <w:bottom w:w="80" w:type="dxa"/>
              <w:left w:w="100" w:type="dxa"/>
              <w:right w:w="100" w:type="dxa"/>
            </w:tcMar>
          </w:tcPr>
          <w:p>
            <w:pPr>
              <w:jc w:val="right"/>
            </w:pPr>
            <w:r>
              <w:rPr>
                <w:rFonts w:ascii="Calibri" w:hAnsi="Calibri"/>
                <w:color w:val="222222"/>
                <w:sz w:val="18"/>
              </w:rPr>
              <w:t>3,193.49</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16. Net Profit for the period (Group Share) (14)-(15)</w:t>
            </w:r>
          </w:p>
        </w:tc>
        <w:tc>
          <w:tcPr>
            <w:tcW w:type="dxa" w:w="1872"/>
            <w:shd w:fill="FFFFFF"/>
            <w:tcMar>
              <w:top w:w="80" w:type="dxa"/>
              <w:bottom w:w="80" w:type="dxa"/>
              <w:left w:w="100" w:type="dxa"/>
              <w:right w:w="100" w:type="dxa"/>
            </w:tcMar>
          </w:tcPr>
          <w:p>
            <w:pPr>
              <w:jc w:val="right"/>
            </w:pPr>
            <w:r>
              <w:rPr>
                <w:rFonts w:ascii="Calibri" w:hAnsi="Calibri"/>
                <w:color w:val="222222"/>
                <w:sz w:val="18"/>
              </w:rPr>
              <w:t>19,244.71</w:t>
            </w:r>
          </w:p>
        </w:tc>
        <w:tc>
          <w:tcPr>
            <w:tcW w:type="dxa" w:w="1872"/>
            <w:shd w:fill="FFFFFF"/>
            <w:tcMar>
              <w:top w:w="80" w:type="dxa"/>
              <w:bottom w:w="80" w:type="dxa"/>
              <w:left w:w="100" w:type="dxa"/>
              <w:right w:w="100" w:type="dxa"/>
            </w:tcMar>
          </w:tcPr>
          <w:p>
            <w:pPr>
              <w:jc w:val="right"/>
            </w:pPr>
            <w:r>
              <w:rPr>
                <w:rFonts w:ascii="Calibri" w:hAnsi="Calibri"/>
                <w:color w:val="222222"/>
                <w:sz w:val="18"/>
              </w:rPr>
              <w:t>20,350.76</w:t>
            </w:r>
          </w:p>
        </w:tc>
        <w:tc>
          <w:tcPr>
            <w:tcW w:type="dxa" w:w="1872"/>
            <w:shd w:fill="FFFFFF"/>
            <w:tcMar>
              <w:top w:w="80" w:type="dxa"/>
              <w:bottom w:w="80" w:type="dxa"/>
              <w:left w:w="100" w:type="dxa"/>
              <w:right w:w="100" w:type="dxa"/>
            </w:tcMar>
          </w:tcPr>
          <w:p>
            <w:pPr>
              <w:jc w:val="right"/>
            </w:pPr>
            <w:r>
              <w:rPr>
                <w:rFonts w:ascii="Calibri" w:hAnsi="Calibri"/>
                <w:color w:val="222222"/>
                <w:sz w:val="18"/>
              </w:rPr>
              <w:t>16,257.91</w:t>
            </w:r>
          </w:p>
        </w:tc>
        <w:tc>
          <w:tcPr>
            <w:tcW w:type="dxa" w:w="1872"/>
            <w:shd w:fill="FFFFFF"/>
            <w:tcMar>
              <w:top w:w="80" w:type="dxa"/>
              <w:bottom w:w="80" w:type="dxa"/>
              <w:left w:w="100" w:type="dxa"/>
              <w:right w:w="100" w:type="dxa"/>
            </w:tcMar>
          </w:tcPr>
          <w:p>
            <w:pPr>
              <w:jc w:val="right"/>
            </w:pPr>
            <w:r>
              <w:rPr>
                <w:rFonts w:ascii="Calibri" w:hAnsi="Calibri"/>
                <w:color w:val="222222"/>
                <w:sz w:val="18"/>
              </w:rPr>
              <w:t>76,025.97</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17. Paid up equity share capital (Face Value ₹1/-)</w:t>
            </w:r>
          </w:p>
        </w:tc>
        <w:tc>
          <w:tcPr>
            <w:tcW w:type="dxa" w:w="1872"/>
            <w:shd w:fill="F9FAFB"/>
            <w:tcMar>
              <w:top w:w="80" w:type="dxa"/>
              <w:bottom w:w="80" w:type="dxa"/>
              <w:left w:w="100" w:type="dxa"/>
              <w:right w:w="100" w:type="dxa"/>
            </w:tcMar>
          </w:tcPr>
          <w:p>
            <w:pPr>
              <w:jc w:val="right"/>
            </w:pPr>
            <w:r>
              <w:rPr>
                <w:rFonts w:ascii="Calibri" w:hAnsi="Calibri"/>
                <w:color w:val="222222"/>
                <w:sz w:val="18"/>
              </w:rPr>
              <w:t>1,540.13</w:t>
            </w:r>
          </w:p>
        </w:tc>
        <w:tc>
          <w:tcPr>
            <w:tcW w:type="dxa" w:w="1872"/>
            <w:shd w:fill="F9FAFB"/>
            <w:tcMar>
              <w:top w:w="80" w:type="dxa"/>
              <w:bottom w:w="80" w:type="dxa"/>
              <w:left w:w="100" w:type="dxa"/>
              <w:right w:w="100" w:type="dxa"/>
            </w:tcMar>
          </w:tcPr>
          <w:p>
            <w:pPr>
              <w:jc w:val="right"/>
            </w:pPr>
            <w:r>
              <w:rPr>
                <w:rFonts w:ascii="Calibri" w:hAnsi="Calibri"/>
                <w:color w:val="222222"/>
                <w:sz w:val="18"/>
              </w:rPr>
              <w:t>1,539.34</w:t>
            </w:r>
          </w:p>
        </w:tc>
        <w:tc>
          <w:tcPr>
            <w:tcW w:type="dxa" w:w="1872"/>
            <w:shd w:fill="F9FAFB"/>
            <w:tcMar>
              <w:top w:w="80" w:type="dxa"/>
              <w:bottom w:w="80" w:type="dxa"/>
              <w:left w:w="100" w:type="dxa"/>
              <w:right w:w="100" w:type="dxa"/>
            </w:tcMar>
          </w:tcPr>
          <w:p>
            <w:pPr>
              <w:jc w:val="right"/>
            </w:pPr>
            <w:r>
              <w:rPr>
                <w:rFonts w:ascii="Calibri" w:hAnsi="Calibri"/>
                <w:color w:val="222222"/>
                <w:sz w:val="18"/>
              </w:rPr>
              <w:t>766.79</w:t>
            </w:r>
          </w:p>
        </w:tc>
        <w:tc>
          <w:tcPr>
            <w:tcW w:type="dxa" w:w="1872"/>
            <w:shd w:fill="F9FAFB"/>
            <w:tcMar>
              <w:top w:w="80" w:type="dxa"/>
              <w:bottom w:w="80" w:type="dxa"/>
              <w:left w:w="100" w:type="dxa"/>
              <w:right w:w="100" w:type="dxa"/>
            </w:tcMar>
          </w:tcPr>
          <w:p>
            <w:pPr>
              <w:jc w:val="right"/>
            </w:pPr>
            <w:r>
              <w:rPr>
                <w:rFonts w:ascii="Calibri" w:hAnsi="Calibri"/>
                <w:color w:val="222222"/>
                <w:sz w:val="18"/>
              </w:rPr>
              <w:t>1,539.34</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18. Reserves excluding revaluation reserves</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right"/>
            </w:pPr>
            <w:r>
              <w:rPr>
                <w:rFonts w:ascii="Calibri" w:hAnsi="Calibri"/>
                <w:color w:val="222222"/>
                <w:sz w:val="18"/>
              </w:rPr>
              <w:t>5,79,975.02</w:t>
            </w:r>
          </w:p>
        </w:tc>
        <w:tc>
          <w:tcPr>
            <w:tcW w:type="dxa" w:w="1872"/>
            <w:shd w:fill="FFFFFF"/>
            <w:tcMar>
              <w:top w:w="80" w:type="dxa"/>
              <w:bottom w:w="80" w:type="dxa"/>
              <w:left w:w="100" w:type="dxa"/>
              <w:right w:w="100" w:type="dxa"/>
            </w:tcMar>
          </w:tcPr>
          <w:p>
            <w:pPr>
              <w:jc w:val="left"/>
            </w:pPr>
            <w:r>
              <w:rPr>
                <w:rFonts w:ascii="Calibri" w:hAnsi="Calibri"/>
                <w:color w:val="222222"/>
                <w:sz w:val="18"/>
              </w:rPr>
              <w:t>-</w:t>
            </w:r>
          </w:p>
        </w:tc>
        <w:tc>
          <w:tcPr>
            <w:tcW w:type="dxa" w:w="1872"/>
            <w:shd w:fill="FFFFFF"/>
            <w:tcMar>
              <w:top w:w="80" w:type="dxa"/>
              <w:bottom w:w="80" w:type="dxa"/>
              <w:left w:w="100" w:type="dxa"/>
              <w:right w:w="100" w:type="dxa"/>
            </w:tcMar>
          </w:tcPr>
          <w:p>
            <w:pPr>
              <w:jc w:val="right"/>
            </w:pPr>
            <w:r>
              <w:rPr>
                <w:rFonts w:ascii="Calibri" w:hAnsi="Calibri"/>
                <w:color w:val="222222"/>
                <w:sz w:val="18"/>
              </w:rPr>
              <w:t>5,79,975.02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19. Earnings Per Share (EPS) (₹):</w:t>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(a) Basic EPS (not annualized)</w:t>
            </w:r>
          </w:p>
        </w:tc>
        <w:tc>
          <w:tcPr>
            <w:tcW w:type="dxa" w:w="1872"/>
            <w:shd w:fill="FFFFFF"/>
            <w:tcMar>
              <w:top w:w="80" w:type="dxa"/>
              <w:bottom w:w="80" w:type="dxa"/>
              <w:left w:w="100" w:type="dxa"/>
              <w:right w:w="100" w:type="dxa"/>
            </w:tcMar>
          </w:tcPr>
          <w:p>
            <w:pPr>
              <w:jc w:val="right"/>
            </w:pPr>
            <w:r>
              <w:rPr>
                <w:rFonts w:ascii="Calibri" w:hAnsi="Calibri"/>
                <w:color w:val="222222"/>
                <w:sz w:val="18"/>
              </w:rPr>
              <w:t>12.50</w:t>
            </w:r>
          </w:p>
        </w:tc>
        <w:tc>
          <w:tcPr>
            <w:tcW w:type="dxa" w:w="1872"/>
            <w:shd w:fill="FFFFFF"/>
            <w:tcMar>
              <w:top w:w="80" w:type="dxa"/>
              <w:bottom w:w="80" w:type="dxa"/>
              <w:left w:w="100" w:type="dxa"/>
              <w:right w:w="100" w:type="dxa"/>
            </w:tcMar>
          </w:tcPr>
          <w:p>
            <w:pPr>
              <w:jc w:val="right"/>
            </w:pPr>
            <w:r>
              <w:rPr>
                <w:rFonts w:ascii="Calibri" w:hAnsi="Calibri"/>
                <w:color w:val="222222"/>
                <w:sz w:val="18"/>
              </w:rPr>
              <w:t>13.22</w:t>
            </w:r>
          </w:p>
        </w:tc>
        <w:tc>
          <w:tcPr>
            <w:tcW w:type="dxa" w:w="1872"/>
            <w:shd w:fill="FFFFFF"/>
            <w:tcMar>
              <w:top w:w="80" w:type="dxa"/>
              <w:bottom w:w="80" w:type="dxa"/>
              <w:left w:w="100" w:type="dxa"/>
              <w:right w:w="100" w:type="dxa"/>
            </w:tcMar>
          </w:tcPr>
          <w:p>
            <w:pPr>
              <w:jc w:val="right"/>
            </w:pPr>
            <w:r>
              <w:rPr>
                <w:rFonts w:ascii="Calibri" w:hAnsi="Calibri"/>
                <w:color w:val="222222"/>
                <w:sz w:val="18"/>
              </w:rPr>
              <w:t>10.61</w:t>
            </w:r>
          </w:p>
        </w:tc>
        <w:tc>
          <w:tcPr>
            <w:tcW w:type="dxa" w:w="1872"/>
            <w:shd w:fill="FFFFFF"/>
            <w:tcMar>
              <w:top w:w="80" w:type="dxa"/>
              <w:bottom w:w="80" w:type="dxa"/>
              <w:left w:w="100" w:type="dxa"/>
              <w:right w:w="100" w:type="dxa"/>
            </w:tcMar>
          </w:tcPr>
          <w:p>
            <w:pPr>
              <w:jc w:val="right"/>
            </w:pPr>
            <w:r>
              <w:rPr>
                <w:rFonts w:ascii="Calibri" w:hAnsi="Calibri"/>
                <w:color w:val="222222"/>
                <w:sz w:val="18"/>
              </w:rPr>
              <w:t>49.50</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(b) Diluted EPS (not annualized)</w:t>
            </w:r>
          </w:p>
        </w:tc>
        <w:tc>
          <w:tcPr>
            <w:tcW w:type="dxa" w:w="1872"/>
            <w:shd w:fill="F9FAFB"/>
            <w:tcMar>
              <w:top w:w="80" w:type="dxa"/>
              <w:bottom w:w="80" w:type="dxa"/>
              <w:left w:w="100" w:type="dxa"/>
              <w:right w:w="100" w:type="dxa"/>
            </w:tcMar>
          </w:tcPr>
          <w:p>
            <w:pPr>
              <w:jc w:val="right"/>
            </w:pPr>
            <w:r>
              <w:rPr>
                <w:rFonts w:ascii="Calibri" w:hAnsi="Calibri"/>
                <w:color w:val="222222"/>
                <w:sz w:val="18"/>
              </w:rPr>
              <w:t>12.47</w:t>
            </w:r>
          </w:p>
        </w:tc>
        <w:tc>
          <w:tcPr>
            <w:tcW w:type="dxa" w:w="1872"/>
            <w:shd w:fill="F9FAFB"/>
            <w:tcMar>
              <w:top w:w="80" w:type="dxa"/>
              <w:bottom w:w="80" w:type="dxa"/>
              <w:left w:w="100" w:type="dxa"/>
              <w:right w:w="100" w:type="dxa"/>
            </w:tcMar>
          </w:tcPr>
          <w:p>
            <w:pPr>
              <w:jc w:val="right"/>
            </w:pPr>
            <w:r>
              <w:rPr>
                <w:rFonts w:ascii="Calibri" w:hAnsi="Calibri"/>
                <w:color w:val="222222"/>
                <w:sz w:val="18"/>
              </w:rPr>
              <w:t>13.18</w:t>
            </w:r>
          </w:p>
        </w:tc>
        <w:tc>
          <w:tcPr>
            <w:tcW w:type="dxa" w:w="1872"/>
            <w:shd w:fill="F9FAFB"/>
            <w:tcMar>
              <w:top w:w="80" w:type="dxa"/>
              <w:bottom w:w="80" w:type="dxa"/>
              <w:left w:w="100" w:type="dxa"/>
              <w:right w:w="100" w:type="dxa"/>
            </w:tcMar>
          </w:tcPr>
          <w:p>
            <w:pPr>
              <w:jc w:val="right"/>
            </w:pPr>
            <w:r>
              <w:rPr>
                <w:rFonts w:ascii="Calibri" w:hAnsi="Calibri"/>
                <w:color w:val="222222"/>
                <w:sz w:val="18"/>
              </w:rPr>
              <w:t>10.56</w:t>
            </w:r>
          </w:p>
        </w:tc>
        <w:tc>
          <w:tcPr>
            <w:tcW w:type="dxa" w:w="1872"/>
            <w:shd w:fill="F9FAFB"/>
            <w:tcMar>
              <w:top w:w="80" w:type="dxa"/>
              <w:bottom w:w="80" w:type="dxa"/>
              <w:left w:w="100" w:type="dxa"/>
              <w:right w:w="100" w:type="dxa"/>
            </w:tcMar>
          </w:tcPr>
          <w:p>
            <w:pPr>
              <w:jc w:val="right"/>
            </w:pPr>
            <w:r>
              <w:rPr>
                <w:rFonts w:ascii="Calibri" w:hAnsi="Calibri"/>
                <w:color w:val="222222"/>
                <w:sz w:val="18"/>
              </w:rPr>
              <w:t>49.28</w:t>
            </w:r>
          </w:p>
        </w:tc>
      </w:tr>
    </w:tbl>
    <w:p>
      <w:pPr>
        <w:spacing w:after="240"/>
      </w:pPr>
    </w:p>
    <w:p>
      <w:pPr>
        <w:pStyle w:val="Heading2"/>
      </w:pPr>
      <w:r>
        <w:t>Table 8: Consolidated Segment Information (Group Level)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003366"/>
            <w:tcMar>
              <w:top w:w="100" w:type="dxa"/>
              <w:bottom w:w="100" w:type="dxa"/>
              <w:left w:w="100" w:type="dxa"/>
              <w:right w:w="100" w:type="dxa"/>
            </w:tcMar>
          </w:tcPr>
          <w:p>
            <w:pPr>
              <w:jc w:val="left"/>
            </w:pPr>
            <w:r>
              <w:rPr>
                <w:rFonts w:ascii="Calibri" w:hAnsi="Calibri"/>
                <w:b/>
                <w:color w:val="FFFFFF"/>
                <w:sz w:val="19"/>
              </w:rPr>
              <w:t>Segment Particulars</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30.06.2026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30.06.2025 (Unaudited)</w:t>
            </w:r>
          </w:p>
        </w:tc>
        <w:tc>
          <w:tcPr>
            <w:tcW w:type="dxa" w:w="1872"/>
            <w:shd w:fill="003366"/>
            <w:tcMar>
              <w:top w:w="100" w:type="dxa"/>
              <w:bottom w:w="100" w:type="dxa"/>
              <w:left w:w="100" w:type="dxa"/>
              <w:right w:w="100" w:type="dxa"/>
            </w:tcMar>
          </w:tcPr>
          <w:p>
            <w:pPr>
              <w:jc w:val="left"/>
            </w:pPr>
            <w:r>
              <w:rPr>
                <w:rFonts w:ascii="Calibri" w:hAnsi="Calibri"/>
                <w:b/>
                <w:color w:val="FFFFFF"/>
                <w:sz w:val="19"/>
              </w:rPr>
              <w:t>31.03.2026 (Full Year)</w:t>
            </w:r>
          </w:p>
        </w:tc>
      </w:tr>
      <w:tr>
        <w:tc>
          <w:tcPr>
            <w:tcW w:type="dxa" w:w="1872"/>
            <w:shd w:fill="FFFFFF"/>
            <w:tcMar>
              <w:top w:w="80" w:type="dxa"/>
              <w:bottom w:w="80" w:type="dxa"/>
              <w:left w:w="100" w:type="dxa"/>
              <w:right w:w="100" w:type="dxa"/>
            </w:tcMar>
          </w:tcPr>
          <w:p>
            <w:pPr>
              <w:jc w:val="left"/>
            </w:pPr>
            <w:r>
              <w:rPr>
                <w:rFonts w:ascii="Calibri" w:hAnsi="Calibri"/>
                <w:color w:val="222222"/>
                <w:sz w:val="18"/>
              </w:rPr>
              <w:t>1. Segment Revenue:</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18,192.38</w:t>
            </w:r>
          </w:p>
        </w:tc>
        <w:tc>
          <w:tcPr>
            <w:tcW w:type="dxa" w:w="1872"/>
            <w:shd w:fill="F9FAFB"/>
            <w:tcMar>
              <w:top w:w="80" w:type="dxa"/>
              <w:bottom w:w="80" w:type="dxa"/>
              <w:left w:w="100" w:type="dxa"/>
              <w:right w:w="100" w:type="dxa"/>
            </w:tcMar>
          </w:tcPr>
          <w:p>
            <w:pPr>
              <w:jc w:val="right"/>
            </w:pPr>
            <w:r>
              <w:rPr>
                <w:rFonts w:ascii="Calibri" w:hAnsi="Calibri"/>
                <w:color w:val="222222"/>
                <w:sz w:val="18"/>
              </w:rPr>
              <w:t>17,295.96</w:t>
            </w:r>
          </w:p>
        </w:tc>
        <w:tc>
          <w:tcPr>
            <w:tcW w:type="dxa" w:w="1872"/>
            <w:shd w:fill="F9FAFB"/>
            <w:tcMar>
              <w:top w:w="80" w:type="dxa"/>
              <w:bottom w:w="80" w:type="dxa"/>
              <w:left w:w="100" w:type="dxa"/>
              <w:right w:w="100" w:type="dxa"/>
            </w:tcMar>
          </w:tcPr>
          <w:p>
            <w:pPr>
              <w:jc w:val="right"/>
            </w:pPr>
            <w:r>
              <w:rPr>
                <w:rFonts w:ascii="Calibri" w:hAnsi="Calibri"/>
                <w:color w:val="222222"/>
                <w:sz w:val="18"/>
              </w:rPr>
              <w:t>26,104.21</w:t>
            </w:r>
          </w:p>
        </w:tc>
        <w:tc>
          <w:tcPr>
            <w:tcW w:type="dxa" w:w="1872"/>
            <w:shd w:fill="F9FAFB"/>
            <w:tcMar>
              <w:top w:w="80" w:type="dxa"/>
              <w:bottom w:w="80" w:type="dxa"/>
              <w:left w:w="100" w:type="dxa"/>
              <w:right w:w="100" w:type="dxa"/>
            </w:tcMar>
          </w:tcPr>
          <w:p>
            <w:pPr>
              <w:jc w:val="right"/>
            </w:pPr>
            <w:r>
              <w:rPr>
                <w:rFonts w:ascii="Calibri" w:hAnsi="Calibri"/>
                <w:color w:val="222222"/>
                <w:sz w:val="18"/>
              </w:rPr>
              <w:t>82,158.35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 (incl Digital)</w:t>
            </w:r>
          </w:p>
        </w:tc>
        <w:tc>
          <w:tcPr>
            <w:tcW w:type="dxa" w:w="1872"/>
            <w:shd w:fill="FFFFFF"/>
            <w:tcMar>
              <w:top w:w="80" w:type="dxa"/>
              <w:bottom w:w="80" w:type="dxa"/>
              <w:left w:w="100" w:type="dxa"/>
              <w:right w:w="100" w:type="dxa"/>
            </w:tcMar>
          </w:tcPr>
          <w:p>
            <w:pPr>
              <w:jc w:val="right"/>
            </w:pPr>
            <w:r>
              <w:rPr>
                <w:rFonts w:ascii="Calibri" w:hAnsi="Calibri"/>
                <w:color w:val="222222"/>
                <w:sz w:val="18"/>
              </w:rPr>
              <w:t>75,888.80</w:t>
            </w:r>
          </w:p>
        </w:tc>
        <w:tc>
          <w:tcPr>
            <w:tcW w:type="dxa" w:w="1872"/>
            <w:shd w:fill="FFFFFF"/>
            <w:tcMar>
              <w:top w:w="80" w:type="dxa"/>
              <w:bottom w:w="80" w:type="dxa"/>
              <w:left w:w="100" w:type="dxa"/>
              <w:right w:w="100" w:type="dxa"/>
            </w:tcMar>
          </w:tcPr>
          <w:p>
            <w:pPr>
              <w:jc w:val="right"/>
            </w:pPr>
            <w:r>
              <w:rPr>
                <w:rFonts w:ascii="Calibri" w:hAnsi="Calibri"/>
                <w:color w:val="222222"/>
                <w:sz w:val="18"/>
              </w:rPr>
              <w:t>74,757.59</w:t>
            </w:r>
          </w:p>
        </w:tc>
        <w:tc>
          <w:tcPr>
            <w:tcW w:type="dxa" w:w="1872"/>
            <w:shd w:fill="FFFFFF"/>
            <w:tcMar>
              <w:top w:w="80" w:type="dxa"/>
              <w:bottom w:w="80" w:type="dxa"/>
              <w:left w:w="100" w:type="dxa"/>
              <w:right w:w="100" w:type="dxa"/>
            </w:tcMar>
          </w:tcPr>
          <w:p>
            <w:pPr>
              <w:jc w:val="right"/>
            </w:pPr>
            <w:r>
              <w:rPr>
                <w:rFonts w:ascii="Calibri" w:hAnsi="Calibri"/>
                <w:color w:val="222222"/>
                <w:sz w:val="18"/>
              </w:rPr>
              <w:t>75,191.18</w:t>
            </w:r>
          </w:p>
        </w:tc>
        <w:tc>
          <w:tcPr>
            <w:tcW w:type="dxa" w:w="1872"/>
            <w:shd w:fill="FFFFFF"/>
            <w:tcMar>
              <w:top w:w="80" w:type="dxa"/>
              <w:bottom w:w="80" w:type="dxa"/>
              <w:left w:w="100" w:type="dxa"/>
              <w:right w:w="100" w:type="dxa"/>
            </w:tcMar>
          </w:tcPr>
          <w:p>
            <w:pPr>
              <w:jc w:val="right"/>
            </w:pPr>
            <w:r>
              <w:rPr>
                <w:rFonts w:ascii="Calibri" w:hAnsi="Calibri"/>
                <w:color w:val="222222"/>
                <w:sz w:val="18"/>
              </w:rPr>
              <w:t>3,01,853.51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48,670.85</w:t>
            </w:r>
          </w:p>
        </w:tc>
        <w:tc>
          <w:tcPr>
            <w:tcW w:type="dxa" w:w="1872"/>
            <w:shd w:fill="F9FAFB"/>
            <w:tcMar>
              <w:top w:w="80" w:type="dxa"/>
              <w:bottom w:w="80" w:type="dxa"/>
              <w:left w:w="100" w:type="dxa"/>
              <w:right w:w="100" w:type="dxa"/>
            </w:tcMar>
          </w:tcPr>
          <w:p>
            <w:pPr>
              <w:jc w:val="right"/>
            </w:pPr>
            <w:r>
              <w:rPr>
                <w:rFonts w:ascii="Calibri" w:hAnsi="Calibri"/>
                <w:color w:val="222222"/>
                <w:sz w:val="18"/>
              </w:rPr>
              <w:t>44,643.71</w:t>
            </w:r>
          </w:p>
        </w:tc>
        <w:tc>
          <w:tcPr>
            <w:tcW w:type="dxa" w:w="1872"/>
            <w:shd w:fill="F9FAFB"/>
            <w:tcMar>
              <w:top w:w="80" w:type="dxa"/>
              <w:bottom w:w="80" w:type="dxa"/>
              <w:left w:w="100" w:type="dxa"/>
              <w:right w:w="100" w:type="dxa"/>
            </w:tcMar>
          </w:tcPr>
          <w:p>
            <w:pPr>
              <w:jc w:val="right"/>
            </w:pPr>
            <w:r>
              <w:rPr>
                <w:rFonts w:ascii="Calibri" w:hAnsi="Calibri"/>
                <w:color w:val="222222"/>
                <w:sz w:val="18"/>
              </w:rPr>
              <w:t>44,790.22</w:t>
            </w:r>
          </w:p>
        </w:tc>
        <w:tc>
          <w:tcPr>
            <w:tcW w:type="dxa" w:w="1872"/>
            <w:shd w:fill="F9FAFB"/>
            <w:tcMar>
              <w:top w:w="80" w:type="dxa"/>
              <w:bottom w:w="80" w:type="dxa"/>
              <w:left w:w="100" w:type="dxa"/>
              <w:right w:w="100" w:type="dxa"/>
            </w:tcMar>
          </w:tcPr>
          <w:p>
            <w:pPr>
              <w:jc w:val="right"/>
            </w:pPr>
            <w:r>
              <w:rPr>
                <w:rFonts w:ascii="Calibri" w:hAnsi="Calibri"/>
                <w:color w:val="222222"/>
                <w:sz w:val="18"/>
              </w:rPr>
              <w:t>1,74,506.30</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9,044.03</w:t>
            </w:r>
          </w:p>
        </w:tc>
        <w:tc>
          <w:tcPr>
            <w:tcW w:type="dxa" w:w="1872"/>
            <w:shd w:fill="FFFFFF"/>
            <w:tcMar>
              <w:top w:w="80" w:type="dxa"/>
              <w:bottom w:w="80" w:type="dxa"/>
              <w:left w:w="100" w:type="dxa"/>
              <w:right w:w="100" w:type="dxa"/>
            </w:tcMar>
          </w:tcPr>
          <w:p>
            <w:pPr>
              <w:jc w:val="right"/>
            </w:pPr>
            <w:r>
              <w:rPr>
                <w:rFonts w:ascii="Calibri" w:hAnsi="Calibri"/>
                <w:color w:val="222222"/>
                <w:sz w:val="18"/>
              </w:rPr>
              <w:t>9,265.09</w:t>
            </w:r>
          </w:p>
        </w:tc>
        <w:tc>
          <w:tcPr>
            <w:tcW w:type="dxa" w:w="1872"/>
            <w:shd w:fill="FFFFFF"/>
            <w:tcMar>
              <w:top w:w="80" w:type="dxa"/>
              <w:bottom w:w="80" w:type="dxa"/>
              <w:left w:w="100" w:type="dxa"/>
              <w:right w:w="100" w:type="dxa"/>
            </w:tcMar>
          </w:tcPr>
          <w:p>
            <w:pPr>
              <w:jc w:val="right"/>
            </w:pPr>
            <w:r>
              <w:rPr>
                <w:rFonts w:ascii="Calibri" w:hAnsi="Calibri"/>
                <w:color w:val="222222"/>
                <w:sz w:val="18"/>
              </w:rPr>
              <w:t>8,693.64</w:t>
            </w:r>
          </w:p>
        </w:tc>
        <w:tc>
          <w:tcPr>
            <w:tcW w:type="dxa" w:w="1872"/>
            <w:shd w:fill="FFFFFF"/>
            <w:tcMar>
              <w:top w:w="80" w:type="dxa"/>
              <w:bottom w:w="80" w:type="dxa"/>
              <w:left w:w="100" w:type="dxa"/>
              <w:right w:w="100" w:type="dxa"/>
            </w:tcMar>
          </w:tcPr>
          <w:p>
            <w:pPr>
              <w:jc w:val="right"/>
            </w:pPr>
            <w:r>
              <w:rPr>
                <w:rFonts w:ascii="Calibri" w:hAnsi="Calibri"/>
                <w:color w:val="222222"/>
                <w:sz w:val="18"/>
              </w:rPr>
              <w:t>36,840.96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e) Insurance Business**</w:t>
            </w:r>
          </w:p>
        </w:tc>
        <w:tc>
          <w:tcPr>
            <w:tcW w:type="dxa" w:w="1872"/>
            <w:shd w:fill="F9FAFB"/>
            <w:tcMar>
              <w:top w:w="80" w:type="dxa"/>
              <w:bottom w:w="80" w:type="dxa"/>
              <w:left w:w="100" w:type="dxa"/>
              <w:right w:w="100" w:type="dxa"/>
            </w:tcMar>
          </w:tcPr>
          <w:p>
            <w:pPr>
              <w:jc w:val="right"/>
            </w:pPr>
            <w:r>
              <w:rPr>
                <w:rFonts w:ascii="Calibri" w:hAnsi="Calibri"/>
                <w:color w:val="222222"/>
                <w:sz w:val="18"/>
              </w:rPr>
              <w:t>35,951.83</w:t>
            </w:r>
          </w:p>
        </w:tc>
        <w:tc>
          <w:tcPr>
            <w:tcW w:type="dxa" w:w="1872"/>
            <w:shd w:fill="F9FAFB"/>
            <w:tcMar>
              <w:top w:w="80" w:type="dxa"/>
              <w:bottom w:w="80" w:type="dxa"/>
              <w:left w:w="100" w:type="dxa"/>
              <w:right w:w="100" w:type="dxa"/>
            </w:tcMar>
          </w:tcPr>
          <w:p>
            <w:pPr>
              <w:jc w:val="right"/>
            </w:pPr>
            <w:r>
              <w:rPr>
                <w:rFonts w:ascii="Calibri" w:hAnsi="Calibri"/>
                <w:color w:val="222222"/>
                <w:sz w:val="18"/>
              </w:rPr>
              <w:t>21,980.32</w:t>
            </w:r>
          </w:p>
        </w:tc>
        <w:tc>
          <w:tcPr>
            <w:tcW w:type="dxa" w:w="1872"/>
            <w:shd w:fill="F9FAFB"/>
            <w:tcMar>
              <w:top w:w="80" w:type="dxa"/>
              <w:bottom w:w="80" w:type="dxa"/>
              <w:left w:w="100" w:type="dxa"/>
              <w:right w:w="100" w:type="dxa"/>
            </w:tcMar>
          </w:tcPr>
          <w:p>
            <w:pPr>
              <w:jc w:val="right"/>
            </w:pPr>
            <w:r>
              <w:rPr>
                <w:rFonts w:ascii="Calibri" w:hAnsi="Calibri"/>
                <w:color w:val="222222"/>
                <w:sz w:val="18"/>
              </w:rPr>
              <w:t>31,619.24</w:t>
            </w:r>
          </w:p>
        </w:tc>
        <w:tc>
          <w:tcPr>
            <w:tcW w:type="dxa" w:w="1872"/>
            <w:shd w:fill="F9FAFB"/>
            <w:tcMar>
              <w:top w:w="80" w:type="dxa"/>
              <w:bottom w:w="80" w:type="dxa"/>
              <w:left w:w="100" w:type="dxa"/>
              <w:right w:w="100" w:type="dxa"/>
            </w:tcMar>
          </w:tcPr>
          <w:p>
            <w:pPr>
              <w:jc w:val="right"/>
            </w:pPr>
            <w:r>
              <w:rPr>
                <w:rFonts w:ascii="Calibri" w:hAnsi="Calibri"/>
                <w:color w:val="222222"/>
                <w:sz w:val="18"/>
              </w:rPr>
              <w:t>1,08,079.83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f) Others^</w:t>
            </w:r>
          </w:p>
        </w:tc>
        <w:tc>
          <w:tcPr>
            <w:tcW w:type="dxa" w:w="1872"/>
            <w:shd w:fill="FFFFFF"/>
            <w:tcMar>
              <w:top w:w="80" w:type="dxa"/>
              <w:bottom w:w="80" w:type="dxa"/>
              <w:left w:w="100" w:type="dxa"/>
              <w:right w:w="100" w:type="dxa"/>
            </w:tcMar>
          </w:tcPr>
          <w:p>
            <w:pPr>
              <w:jc w:val="right"/>
            </w:pPr>
            <w:r>
              <w:rPr>
                <w:rFonts w:ascii="Calibri" w:hAnsi="Calibri"/>
                <w:color w:val="222222"/>
                <w:sz w:val="18"/>
              </w:rPr>
              <w:t>4,974.15</w:t>
            </w:r>
          </w:p>
        </w:tc>
        <w:tc>
          <w:tcPr>
            <w:tcW w:type="dxa" w:w="1872"/>
            <w:shd w:fill="FFFFFF"/>
            <w:tcMar>
              <w:top w:w="80" w:type="dxa"/>
              <w:bottom w:w="80" w:type="dxa"/>
              <w:left w:w="100" w:type="dxa"/>
              <w:right w:w="100" w:type="dxa"/>
            </w:tcMar>
          </w:tcPr>
          <w:p>
            <w:pPr>
              <w:jc w:val="right"/>
            </w:pPr>
            <w:r>
              <w:rPr>
                <w:rFonts w:ascii="Calibri" w:hAnsi="Calibri"/>
                <w:color w:val="222222"/>
                <w:sz w:val="18"/>
              </w:rPr>
              <w:t>5,130.72</w:t>
            </w:r>
          </w:p>
        </w:tc>
        <w:tc>
          <w:tcPr>
            <w:tcW w:type="dxa" w:w="1872"/>
            <w:shd w:fill="FFFFFF"/>
            <w:tcMar>
              <w:top w:w="80" w:type="dxa"/>
              <w:bottom w:w="80" w:type="dxa"/>
              <w:left w:w="100" w:type="dxa"/>
              <w:right w:w="100" w:type="dxa"/>
            </w:tcMar>
          </w:tcPr>
          <w:p>
            <w:pPr>
              <w:jc w:val="right"/>
            </w:pPr>
            <w:r>
              <w:rPr>
                <w:rFonts w:ascii="Calibri" w:hAnsi="Calibri"/>
                <w:color w:val="222222"/>
                <w:sz w:val="18"/>
              </w:rPr>
              <w:t>4,414.83</w:t>
            </w:r>
          </w:p>
        </w:tc>
        <w:tc>
          <w:tcPr>
            <w:tcW w:type="dxa" w:w="1872"/>
            <w:shd w:fill="FFFFFF"/>
            <w:tcMar>
              <w:top w:w="80" w:type="dxa"/>
              <w:bottom w:w="80" w:type="dxa"/>
              <w:left w:w="100" w:type="dxa"/>
              <w:right w:w="100" w:type="dxa"/>
            </w:tcMar>
          </w:tcPr>
          <w:p>
            <w:pPr>
              <w:jc w:val="right"/>
            </w:pPr>
            <w:r>
              <w:rPr>
                <w:rFonts w:ascii="Calibri" w:hAnsi="Calibri"/>
                <w:color w:val="222222"/>
                <w:sz w:val="18"/>
              </w:rPr>
              <w:t>19,507.46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Total Segment Revenue</w:t>
            </w:r>
          </w:p>
        </w:tc>
        <w:tc>
          <w:tcPr>
            <w:tcW w:type="dxa" w:w="1872"/>
            <w:shd w:fill="F9FAFB"/>
            <w:tcMar>
              <w:top w:w="80" w:type="dxa"/>
              <w:bottom w:w="80" w:type="dxa"/>
              <w:left w:w="100" w:type="dxa"/>
              <w:right w:w="100" w:type="dxa"/>
            </w:tcMar>
          </w:tcPr>
          <w:p>
            <w:pPr>
              <w:jc w:val="right"/>
            </w:pPr>
            <w:r>
              <w:rPr>
                <w:rFonts w:ascii="Calibri" w:hAnsi="Calibri"/>
                <w:color w:val="222222"/>
                <w:sz w:val="18"/>
              </w:rPr>
              <w:t>1,92,722.04</w:t>
            </w:r>
          </w:p>
        </w:tc>
        <w:tc>
          <w:tcPr>
            <w:tcW w:type="dxa" w:w="1872"/>
            <w:shd w:fill="F9FAFB"/>
            <w:tcMar>
              <w:top w:w="80" w:type="dxa"/>
              <w:bottom w:w="80" w:type="dxa"/>
              <w:left w:w="100" w:type="dxa"/>
              <w:right w:w="100" w:type="dxa"/>
            </w:tcMar>
          </w:tcPr>
          <w:p>
            <w:pPr>
              <w:jc w:val="right"/>
            </w:pPr>
            <w:r>
              <w:rPr>
                <w:rFonts w:ascii="Calibri" w:hAnsi="Calibri"/>
                <w:color w:val="222222"/>
                <w:sz w:val="18"/>
              </w:rPr>
              <w:t>1,73,073.39</w:t>
            </w:r>
          </w:p>
        </w:tc>
        <w:tc>
          <w:tcPr>
            <w:tcW w:type="dxa" w:w="1872"/>
            <w:shd w:fill="F9FAFB"/>
            <w:tcMar>
              <w:top w:w="80" w:type="dxa"/>
              <w:bottom w:w="80" w:type="dxa"/>
              <w:left w:w="100" w:type="dxa"/>
              <w:right w:w="100" w:type="dxa"/>
            </w:tcMar>
          </w:tcPr>
          <w:p>
            <w:pPr>
              <w:jc w:val="right"/>
            </w:pPr>
            <w:r>
              <w:rPr>
                <w:rFonts w:ascii="Calibri" w:hAnsi="Calibri"/>
                <w:color w:val="222222"/>
                <w:sz w:val="18"/>
              </w:rPr>
              <w:t>1,90,813.32</w:t>
            </w:r>
          </w:p>
        </w:tc>
        <w:tc>
          <w:tcPr>
            <w:tcW w:type="dxa" w:w="1872"/>
            <w:shd w:fill="F9FAFB"/>
            <w:tcMar>
              <w:top w:w="80" w:type="dxa"/>
              <w:bottom w:w="80" w:type="dxa"/>
              <w:left w:w="100" w:type="dxa"/>
              <w:right w:w="100" w:type="dxa"/>
            </w:tcMar>
          </w:tcPr>
          <w:p>
            <w:pPr>
              <w:jc w:val="right"/>
            </w:pPr>
            <w:r>
              <w:rPr>
                <w:rFonts w:ascii="Calibri" w:hAnsi="Calibri"/>
                <w:color w:val="222222"/>
                <w:sz w:val="18"/>
              </w:rPr>
              <w:t>7,22,946.41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Less: Inter Segment Revenue</w:t>
            </w:r>
          </w:p>
        </w:tc>
        <w:tc>
          <w:tcPr>
            <w:tcW w:type="dxa" w:w="1872"/>
            <w:shd w:fill="FFFFFF"/>
            <w:tcMar>
              <w:top w:w="80" w:type="dxa"/>
              <w:bottom w:w="80" w:type="dxa"/>
              <w:left w:w="100" w:type="dxa"/>
              <w:right w:w="100" w:type="dxa"/>
            </w:tcMar>
          </w:tcPr>
          <w:p>
            <w:pPr>
              <w:jc w:val="right"/>
            </w:pPr>
            <w:r>
              <w:rPr>
                <w:rFonts w:ascii="Calibri" w:hAnsi="Calibri"/>
                <w:color w:val="222222"/>
                <w:sz w:val="18"/>
              </w:rPr>
              <w:t>59,611.68</w:t>
            </w:r>
          </w:p>
        </w:tc>
        <w:tc>
          <w:tcPr>
            <w:tcW w:type="dxa" w:w="1872"/>
            <w:shd w:fill="FFFFFF"/>
            <w:tcMar>
              <w:top w:w="80" w:type="dxa"/>
              <w:bottom w:w="80" w:type="dxa"/>
              <w:left w:w="100" w:type="dxa"/>
              <w:right w:w="100" w:type="dxa"/>
            </w:tcMar>
          </w:tcPr>
          <w:p>
            <w:pPr>
              <w:jc w:val="right"/>
            </w:pPr>
            <w:r>
              <w:rPr>
                <w:rFonts w:ascii="Calibri" w:hAnsi="Calibri"/>
                <w:color w:val="222222"/>
                <w:sz w:val="18"/>
              </w:rPr>
              <w:t>56,153.45</w:t>
            </w:r>
          </w:p>
        </w:tc>
        <w:tc>
          <w:tcPr>
            <w:tcW w:type="dxa" w:w="1872"/>
            <w:shd w:fill="FFFFFF"/>
            <w:tcMar>
              <w:top w:w="80" w:type="dxa"/>
              <w:bottom w:w="80" w:type="dxa"/>
              <w:left w:w="100" w:type="dxa"/>
              <w:right w:w="100" w:type="dxa"/>
            </w:tcMar>
          </w:tcPr>
          <w:p>
            <w:pPr>
              <w:jc w:val="right"/>
            </w:pPr>
            <w:r>
              <w:rPr>
                <w:rFonts w:ascii="Calibri" w:hAnsi="Calibri"/>
                <w:color w:val="222222"/>
                <w:sz w:val="18"/>
              </w:rPr>
              <w:t>57,758.35</w:t>
            </w:r>
          </w:p>
        </w:tc>
        <w:tc>
          <w:tcPr>
            <w:tcW w:type="dxa" w:w="1872"/>
            <w:shd w:fill="FFFFFF"/>
            <w:tcMar>
              <w:top w:w="80" w:type="dxa"/>
              <w:bottom w:w="80" w:type="dxa"/>
              <w:left w:w="100" w:type="dxa"/>
              <w:right w:w="100" w:type="dxa"/>
            </w:tcMar>
          </w:tcPr>
          <w:p>
            <w:pPr>
              <w:jc w:val="right"/>
            </w:pPr>
            <w:r>
              <w:rPr>
                <w:rFonts w:ascii="Calibri" w:hAnsi="Calibri"/>
                <w:color w:val="222222"/>
                <w:sz w:val="18"/>
              </w:rPr>
              <w:t>2,27,483.60</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Income from Operations</w:t>
            </w:r>
          </w:p>
        </w:tc>
        <w:tc>
          <w:tcPr>
            <w:tcW w:type="dxa" w:w="1872"/>
            <w:shd w:fill="F9FAFB"/>
            <w:tcMar>
              <w:top w:w="80" w:type="dxa"/>
              <w:bottom w:w="80" w:type="dxa"/>
              <w:left w:w="100" w:type="dxa"/>
              <w:right w:w="100" w:type="dxa"/>
            </w:tcMar>
          </w:tcPr>
          <w:p>
            <w:pPr>
              <w:jc w:val="right"/>
            </w:pPr>
            <w:r>
              <w:rPr>
                <w:rFonts w:ascii="Calibri" w:hAnsi="Calibri"/>
                <w:color w:val="222222"/>
                <w:sz w:val="18"/>
              </w:rPr>
              <w:t>1,33,110.36</w:t>
            </w:r>
          </w:p>
        </w:tc>
        <w:tc>
          <w:tcPr>
            <w:tcW w:type="dxa" w:w="1872"/>
            <w:shd w:fill="F9FAFB"/>
            <w:tcMar>
              <w:top w:w="80" w:type="dxa"/>
              <w:bottom w:w="80" w:type="dxa"/>
              <w:left w:w="100" w:type="dxa"/>
              <w:right w:w="100" w:type="dxa"/>
            </w:tcMar>
          </w:tcPr>
          <w:p>
            <w:pPr>
              <w:jc w:val="right"/>
            </w:pPr>
            <w:r>
              <w:rPr>
                <w:rFonts w:ascii="Calibri" w:hAnsi="Calibri"/>
                <w:color w:val="222222"/>
                <w:sz w:val="18"/>
              </w:rPr>
              <w:t>1,16,919.94</w:t>
            </w:r>
          </w:p>
        </w:tc>
        <w:tc>
          <w:tcPr>
            <w:tcW w:type="dxa" w:w="1872"/>
            <w:shd w:fill="F9FAFB"/>
            <w:tcMar>
              <w:top w:w="80" w:type="dxa"/>
              <w:bottom w:w="80" w:type="dxa"/>
              <w:left w:w="100" w:type="dxa"/>
              <w:right w:w="100" w:type="dxa"/>
            </w:tcMar>
          </w:tcPr>
          <w:p>
            <w:pPr>
              <w:jc w:val="right"/>
            </w:pPr>
            <w:r>
              <w:rPr>
                <w:rFonts w:ascii="Calibri" w:hAnsi="Calibri"/>
                <w:color w:val="222222"/>
                <w:sz w:val="18"/>
              </w:rPr>
              <w:t>1,33,054.97</w:t>
            </w:r>
          </w:p>
        </w:tc>
        <w:tc>
          <w:tcPr>
            <w:tcW w:type="dxa" w:w="1872"/>
            <w:shd w:fill="F9FAFB"/>
            <w:tcMar>
              <w:top w:w="80" w:type="dxa"/>
              <w:bottom w:w="80" w:type="dxa"/>
              <w:left w:w="100" w:type="dxa"/>
              <w:right w:w="100" w:type="dxa"/>
            </w:tcMar>
          </w:tcPr>
          <w:p>
            <w:pPr>
              <w:jc w:val="right"/>
            </w:pPr>
            <w:r>
              <w:rPr>
                <w:rFonts w:ascii="Calibri" w:hAnsi="Calibri"/>
                <w:color w:val="222222"/>
                <w:sz w:val="18"/>
              </w:rPr>
              <w:t>4,95,462.81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2. Segment Results (Profit Before Tax &amp; Minority Interest):</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2,406.59</w:t>
            </w:r>
          </w:p>
        </w:tc>
        <w:tc>
          <w:tcPr>
            <w:tcW w:type="dxa" w:w="1872"/>
            <w:shd w:fill="F9FAFB"/>
            <w:tcMar>
              <w:top w:w="80" w:type="dxa"/>
              <w:bottom w:w="80" w:type="dxa"/>
              <w:left w:w="100" w:type="dxa"/>
              <w:right w:w="100" w:type="dxa"/>
            </w:tcMar>
          </w:tcPr>
          <w:p>
            <w:pPr>
              <w:jc w:val="right"/>
            </w:pPr>
            <w:r>
              <w:rPr>
                <w:rFonts w:ascii="Calibri" w:hAnsi="Calibri"/>
                <w:color w:val="222222"/>
                <w:sz w:val="18"/>
              </w:rPr>
              <w:t>1,925.23</w:t>
            </w:r>
          </w:p>
        </w:tc>
        <w:tc>
          <w:tcPr>
            <w:tcW w:type="dxa" w:w="1872"/>
            <w:shd w:fill="F9FAFB"/>
            <w:tcMar>
              <w:top w:w="80" w:type="dxa"/>
              <w:bottom w:w="80" w:type="dxa"/>
              <w:left w:w="100" w:type="dxa"/>
              <w:right w:w="100" w:type="dxa"/>
            </w:tcMar>
          </w:tcPr>
          <w:p>
            <w:pPr>
              <w:jc w:val="right"/>
            </w:pPr>
            <w:r>
              <w:rPr>
                <w:rFonts w:ascii="Calibri" w:hAnsi="Calibri"/>
                <w:color w:val="222222"/>
                <w:sz w:val="18"/>
              </w:rPr>
              <w:t>10,597.73</w:t>
            </w:r>
          </w:p>
        </w:tc>
        <w:tc>
          <w:tcPr>
            <w:tcW w:type="dxa" w:w="1872"/>
            <w:shd w:fill="F9FAFB"/>
            <w:tcMar>
              <w:top w:w="80" w:type="dxa"/>
              <w:bottom w:w="80" w:type="dxa"/>
              <w:left w:w="100" w:type="dxa"/>
              <w:right w:w="100" w:type="dxa"/>
            </w:tcMar>
          </w:tcPr>
          <w:p>
            <w:pPr>
              <w:jc w:val="right"/>
            </w:pPr>
            <w:r>
              <w:rPr>
                <w:rFonts w:ascii="Calibri" w:hAnsi="Calibri"/>
                <w:color w:val="222222"/>
                <w:sz w:val="18"/>
              </w:rPr>
              <w:t>18,963.35</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 (incl Digital)</w:t>
            </w:r>
          </w:p>
        </w:tc>
        <w:tc>
          <w:tcPr>
            <w:tcW w:type="dxa" w:w="1872"/>
            <w:shd w:fill="FFFFFF"/>
            <w:tcMar>
              <w:top w:w="80" w:type="dxa"/>
              <w:bottom w:w="80" w:type="dxa"/>
              <w:left w:w="100" w:type="dxa"/>
              <w:right w:w="100" w:type="dxa"/>
            </w:tcMar>
          </w:tcPr>
          <w:p>
            <w:pPr>
              <w:jc w:val="right"/>
            </w:pPr>
            <w:r>
              <w:rPr>
                <w:rFonts w:ascii="Calibri" w:hAnsi="Calibri"/>
                <w:color w:val="222222"/>
                <w:sz w:val="18"/>
              </w:rPr>
              <w:t>10,131.32</w:t>
            </w:r>
          </w:p>
        </w:tc>
        <w:tc>
          <w:tcPr>
            <w:tcW w:type="dxa" w:w="1872"/>
            <w:shd w:fill="FFFFFF"/>
            <w:tcMar>
              <w:top w:w="80" w:type="dxa"/>
              <w:bottom w:w="80" w:type="dxa"/>
              <w:left w:w="100" w:type="dxa"/>
              <w:right w:w="100" w:type="dxa"/>
            </w:tcMar>
          </w:tcPr>
          <w:p>
            <w:pPr>
              <w:jc w:val="right"/>
            </w:pPr>
            <w:r>
              <w:rPr>
                <w:rFonts w:ascii="Calibri" w:hAnsi="Calibri"/>
                <w:color w:val="222222"/>
                <w:sz w:val="18"/>
              </w:rPr>
              <w:t>10,897.98</w:t>
            </w:r>
          </w:p>
        </w:tc>
        <w:tc>
          <w:tcPr>
            <w:tcW w:type="dxa" w:w="1872"/>
            <w:shd w:fill="FFFFFF"/>
            <w:tcMar>
              <w:top w:w="80" w:type="dxa"/>
              <w:bottom w:w="80" w:type="dxa"/>
              <w:left w:w="100" w:type="dxa"/>
              <w:right w:w="100" w:type="dxa"/>
            </w:tcMar>
          </w:tcPr>
          <w:p>
            <w:pPr>
              <w:jc w:val="right"/>
            </w:pPr>
            <w:r>
              <w:rPr>
                <w:rFonts w:ascii="Calibri" w:hAnsi="Calibri"/>
                <w:color w:val="222222"/>
                <w:sz w:val="18"/>
              </w:rPr>
              <w:t>3,381.70</w:t>
            </w:r>
          </w:p>
        </w:tc>
        <w:tc>
          <w:tcPr>
            <w:tcW w:type="dxa" w:w="1872"/>
            <w:shd w:fill="FFFFFF"/>
            <w:tcMar>
              <w:top w:w="80" w:type="dxa"/>
              <w:bottom w:w="80" w:type="dxa"/>
              <w:left w:w="100" w:type="dxa"/>
              <w:right w:w="100" w:type="dxa"/>
            </w:tcMar>
          </w:tcPr>
          <w:p>
            <w:pPr>
              <w:jc w:val="right"/>
            </w:pPr>
            <w:r>
              <w:rPr>
                <w:rFonts w:ascii="Calibri" w:hAnsi="Calibri"/>
                <w:color w:val="222222"/>
                <w:sz w:val="18"/>
              </w:rPr>
              <w:t>32,026.72</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10,364.04</w:t>
            </w:r>
          </w:p>
        </w:tc>
        <w:tc>
          <w:tcPr>
            <w:tcW w:type="dxa" w:w="1872"/>
            <w:shd w:fill="F9FAFB"/>
            <w:tcMar>
              <w:top w:w="80" w:type="dxa"/>
              <w:bottom w:w="80" w:type="dxa"/>
              <w:left w:w="100" w:type="dxa"/>
              <w:right w:w="100" w:type="dxa"/>
            </w:tcMar>
          </w:tcPr>
          <w:p>
            <w:pPr>
              <w:jc w:val="right"/>
            </w:pPr>
            <w:r>
              <w:rPr>
                <w:rFonts w:ascii="Calibri" w:hAnsi="Calibri"/>
                <w:color w:val="222222"/>
                <w:sz w:val="18"/>
              </w:rPr>
              <w:t>10,398.96</w:t>
            </w:r>
          </w:p>
        </w:tc>
        <w:tc>
          <w:tcPr>
            <w:tcW w:type="dxa" w:w="1872"/>
            <w:shd w:fill="F9FAFB"/>
            <w:tcMar>
              <w:top w:w="80" w:type="dxa"/>
              <w:bottom w:w="80" w:type="dxa"/>
              <w:left w:w="100" w:type="dxa"/>
              <w:right w:w="100" w:type="dxa"/>
            </w:tcMar>
          </w:tcPr>
          <w:p>
            <w:pPr>
              <w:jc w:val="right"/>
            </w:pPr>
            <w:r>
              <w:rPr>
                <w:rFonts w:ascii="Calibri" w:hAnsi="Calibri"/>
                <w:color w:val="222222"/>
                <w:sz w:val="18"/>
              </w:rPr>
              <w:t>3,698.39</w:t>
            </w:r>
          </w:p>
        </w:tc>
        <w:tc>
          <w:tcPr>
            <w:tcW w:type="dxa" w:w="1872"/>
            <w:shd w:fill="F9FAFB"/>
            <w:tcMar>
              <w:top w:w="80" w:type="dxa"/>
              <w:bottom w:w="80" w:type="dxa"/>
              <w:left w:w="100" w:type="dxa"/>
              <w:right w:w="100" w:type="dxa"/>
            </w:tcMar>
          </w:tcPr>
          <w:p>
            <w:pPr>
              <w:jc w:val="right"/>
            </w:pPr>
            <w:r>
              <w:rPr>
                <w:rFonts w:ascii="Calibri" w:hAnsi="Calibri"/>
                <w:color w:val="222222"/>
                <w:sz w:val="18"/>
              </w:rPr>
              <w:t>33,947.96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2,795.81</w:t>
            </w:r>
          </w:p>
        </w:tc>
        <w:tc>
          <w:tcPr>
            <w:tcW w:type="dxa" w:w="1872"/>
            <w:shd w:fill="FFFFFF"/>
            <w:tcMar>
              <w:top w:w="80" w:type="dxa"/>
              <w:bottom w:w="80" w:type="dxa"/>
              <w:left w:w="100" w:type="dxa"/>
              <w:right w:w="100" w:type="dxa"/>
            </w:tcMar>
          </w:tcPr>
          <w:p>
            <w:pPr>
              <w:jc w:val="right"/>
            </w:pPr>
            <w:r>
              <w:rPr>
                <w:rFonts w:ascii="Calibri" w:hAnsi="Calibri"/>
                <w:color w:val="222222"/>
                <w:sz w:val="18"/>
              </w:rPr>
              <w:t>2,562.40</w:t>
            </w:r>
          </w:p>
        </w:tc>
        <w:tc>
          <w:tcPr>
            <w:tcW w:type="dxa" w:w="1872"/>
            <w:shd w:fill="FFFFFF"/>
            <w:tcMar>
              <w:top w:w="80" w:type="dxa"/>
              <w:bottom w:w="80" w:type="dxa"/>
              <w:left w:w="100" w:type="dxa"/>
              <w:right w:w="100" w:type="dxa"/>
            </w:tcMar>
          </w:tcPr>
          <w:p>
            <w:pPr>
              <w:jc w:val="right"/>
            </w:pPr>
            <w:r>
              <w:rPr>
                <w:rFonts w:ascii="Calibri" w:hAnsi="Calibri"/>
                <w:color w:val="222222"/>
                <w:sz w:val="18"/>
              </w:rPr>
              <w:t>2,016.76</w:t>
            </w:r>
          </w:p>
        </w:tc>
        <w:tc>
          <w:tcPr>
            <w:tcW w:type="dxa" w:w="1872"/>
            <w:shd w:fill="FFFFFF"/>
            <w:tcMar>
              <w:top w:w="80" w:type="dxa"/>
              <w:bottom w:w="80" w:type="dxa"/>
              <w:left w:w="100" w:type="dxa"/>
              <w:right w:w="100" w:type="dxa"/>
            </w:tcMar>
          </w:tcPr>
          <w:p>
            <w:pPr>
              <w:jc w:val="right"/>
            </w:pPr>
            <w:r>
              <w:rPr>
                <w:rFonts w:ascii="Calibri" w:hAnsi="Calibri"/>
                <w:color w:val="222222"/>
                <w:sz w:val="18"/>
              </w:rPr>
              <w:t>10,415.96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e) Insurance Business**</w:t>
            </w:r>
          </w:p>
        </w:tc>
        <w:tc>
          <w:tcPr>
            <w:tcW w:type="dxa" w:w="1872"/>
            <w:shd w:fill="F9FAFB"/>
            <w:tcMar>
              <w:top w:w="80" w:type="dxa"/>
              <w:bottom w:w="80" w:type="dxa"/>
              <w:left w:w="100" w:type="dxa"/>
              <w:right w:w="100" w:type="dxa"/>
            </w:tcMar>
          </w:tcPr>
          <w:p>
            <w:pPr>
              <w:jc w:val="right"/>
            </w:pPr>
            <w:r>
              <w:rPr>
                <w:rFonts w:ascii="Calibri" w:hAnsi="Calibri"/>
                <w:color w:val="222222"/>
                <w:sz w:val="18"/>
              </w:rPr>
              <w:t>1,750.38</w:t>
            </w:r>
          </w:p>
        </w:tc>
        <w:tc>
          <w:tcPr>
            <w:tcW w:type="dxa" w:w="1872"/>
            <w:shd w:fill="F9FAFB"/>
            <w:tcMar>
              <w:top w:w="80" w:type="dxa"/>
              <w:bottom w:w="80" w:type="dxa"/>
              <w:left w:w="100" w:type="dxa"/>
              <w:right w:w="100" w:type="dxa"/>
            </w:tcMar>
          </w:tcPr>
          <w:p>
            <w:pPr>
              <w:jc w:val="right"/>
            </w:pPr>
            <w:r>
              <w:rPr>
                <w:rFonts w:ascii="Calibri" w:hAnsi="Calibri"/>
                <w:color w:val="222222"/>
                <w:sz w:val="18"/>
              </w:rPr>
              <w:t>1,778.65</w:t>
            </w:r>
          </w:p>
        </w:tc>
        <w:tc>
          <w:tcPr>
            <w:tcW w:type="dxa" w:w="1872"/>
            <w:shd w:fill="F9FAFB"/>
            <w:tcMar>
              <w:top w:w="80" w:type="dxa"/>
              <w:bottom w:w="80" w:type="dxa"/>
              <w:left w:w="100" w:type="dxa"/>
              <w:right w:w="100" w:type="dxa"/>
            </w:tcMar>
          </w:tcPr>
          <w:p>
            <w:pPr>
              <w:jc w:val="right"/>
            </w:pPr>
            <w:r>
              <w:rPr>
                <w:rFonts w:ascii="Calibri" w:hAnsi="Calibri"/>
                <w:color w:val="222222"/>
                <w:sz w:val="18"/>
              </w:rPr>
              <w:t>1,644.92</w:t>
            </w:r>
          </w:p>
        </w:tc>
        <w:tc>
          <w:tcPr>
            <w:tcW w:type="dxa" w:w="1872"/>
            <w:shd w:fill="F9FAFB"/>
            <w:tcMar>
              <w:top w:w="80" w:type="dxa"/>
              <w:bottom w:w="80" w:type="dxa"/>
              <w:left w:w="100" w:type="dxa"/>
              <w:right w:w="100" w:type="dxa"/>
            </w:tcMar>
          </w:tcPr>
          <w:p>
            <w:pPr>
              <w:jc w:val="right"/>
            </w:pPr>
            <w:r>
              <w:rPr>
                <w:rFonts w:ascii="Calibri" w:hAnsi="Calibri"/>
                <w:color w:val="222222"/>
                <w:sz w:val="18"/>
              </w:rPr>
              <w:t>7,083.51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f) Others</w:t>
            </w:r>
          </w:p>
        </w:tc>
        <w:tc>
          <w:tcPr>
            <w:tcW w:type="dxa" w:w="1872"/>
            <w:shd w:fill="FFFFFF"/>
            <w:tcMar>
              <w:top w:w="80" w:type="dxa"/>
              <w:bottom w:w="80" w:type="dxa"/>
              <w:left w:w="100" w:type="dxa"/>
              <w:right w:w="100" w:type="dxa"/>
            </w:tcMar>
          </w:tcPr>
          <w:p>
            <w:pPr>
              <w:jc w:val="right"/>
            </w:pPr>
            <w:r>
              <w:rPr>
                <w:rFonts w:ascii="Calibri" w:hAnsi="Calibri"/>
                <w:color w:val="222222"/>
                <w:sz w:val="18"/>
              </w:rPr>
              <w:t>334.48</w:t>
            </w:r>
          </w:p>
        </w:tc>
        <w:tc>
          <w:tcPr>
            <w:tcW w:type="dxa" w:w="1872"/>
            <w:shd w:fill="FFFFFF"/>
            <w:tcMar>
              <w:top w:w="80" w:type="dxa"/>
              <w:bottom w:w="80" w:type="dxa"/>
              <w:left w:w="100" w:type="dxa"/>
              <w:right w:w="100" w:type="dxa"/>
            </w:tcMar>
          </w:tcPr>
          <w:p>
            <w:pPr>
              <w:jc w:val="right"/>
            </w:pPr>
            <w:r>
              <w:rPr>
                <w:rFonts w:ascii="Calibri" w:hAnsi="Calibri"/>
                <w:color w:val="222222"/>
                <w:sz w:val="18"/>
              </w:rPr>
              <w:t>699.63</w:t>
            </w:r>
          </w:p>
        </w:tc>
        <w:tc>
          <w:tcPr>
            <w:tcW w:type="dxa" w:w="1872"/>
            <w:shd w:fill="FFFFFF"/>
            <w:tcMar>
              <w:top w:w="80" w:type="dxa"/>
              <w:bottom w:w="80" w:type="dxa"/>
              <w:left w:w="100" w:type="dxa"/>
              <w:right w:w="100" w:type="dxa"/>
            </w:tcMar>
          </w:tcPr>
          <w:p>
            <w:pPr>
              <w:jc w:val="right"/>
            </w:pPr>
            <w:r>
              <w:rPr>
                <w:rFonts w:ascii="Calibri" w:hAnsi="Calibri"/>
                <w:color w:val="222222"/>
                <w:sz w:val="18"/>
              </w:rPr>
              <w:t>91.71</w:t>
            </w:r>
          </w:p>
        </w:tc>
        <w:tc>
          <w:tcPr>
            <w:tcW w:type="dxa" w:w="1872"/>
            <w:shd w:fill="FFFFFF"/>
            <w:tcMar>
              <w:top w:w="80" w:type="dxa"/>
              <w:bottom w:w="80" w:type="dxa"/>
              <w:left w:w="100" w:type="dxa"/>
              <w:right w:w="100" w:type="dxa"/>
            </w:tcMar>
          </w:tcPr>
          <w:p>
            <w:pPr>
              <w:jc w:val="right"/>
            </w:pPr>
            <w:r>
              <w:rPr>
                <w:rFonts w:ascii="Calibri" w:hAnsi="Calibri"/>
                <w:color w:val="222222"/>
                <w:sz w:val="18"/>
              </w:rPr>
              <w:t>2,068.38</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g) Unallocated</w:t>
            </w:r>
          </w:p>
        </w:tc>
        <w:tc>
          <w:tcPr>
            <w:tcW w:type="dxa" w:w="1872"/>
            <w:shd w:fill="F9FAFB"/>
            <w:tcMar>
              <w:top w:w="80" w:type="dxa"/>
              <w:bottom w:w="80" w:type="dxa"/>
              <w:left w:w="100" w:type="dxa"/>
              <w:right w:w="100" w:type="dxa"/>
            </w:tcMar>
          </w:tcPr>
          <w:p>
            <w:pPr>
              <w:jc w:val="right"/>
            </w:pPr>
            <w:r>
              <w:rPr>
                <w:rFonts w:ascii="Calibri" w:hAnsi="Calibri"/>
                <w:color w:val="222222"/>
                <w:sz w:val="18"/>
              </w:rPr>
              <w:t>(589.46)</w:t>
            </w:r>
          </w:p>
        </w:tc>
        <w:tc>
          <w:tcPr>
            <w:tcW w:type="dxa" w:w="1872"/>
            <w:shd w:fill="F9FAFB"/>
            <w:tcMar>
              <w:top w:w="80" w:type="dxa"/>
              <w:bottom w:w="80" w:type="dxa"/>
              <w:left w:w="100" w:type="dxa"/>
              <w:right w:w="100" w:type="dxa"/>
            </w:tcMar>
          </w:tcPr>
          <w:p>
            <w:pPr>
              <w:jc w:val="right"/>
            </w:pPr>
            <w:r>
              <w:rPr>
                <w:rFonts w:ascii="Calibri" w:hAnsi="Calibri"/>
                <w:color w:val="222222"/>
                <w:sz w:val="18"/>
              </w:rPr>
              <w:t>(591.22)</w:t>
            </w:r>
          </w:p>
        </w:tc>
        <w:tc>
          <w:tcPr>
            <w:tcW w:type="dxa" w:w="1872"/>
            <w:shd w:fill="F9FAFB"/>
            <w:tcMar>
              <w:top w:w="80" w:type="dxa"/>
              <w:bottom w:w="80" w:type="dxa"/>
              <w:left w:w="100" w:type="dxa"/>
              <w:right w:w="100" w:type="dxa"/>
            </w:tcMar>
          </w:tcPr>
          <w:p>
            <w:pPr>
              <w:jc w:val="right"/>
            </w:pPr>
            <w:r>
              <w:rPr>
                <w:rFonts w:ascii="Calibri" w:hAnsi="Calibri"/>
                <w:color w:val="222222"/>
                <w:sz w:val="18"/>
              </w:rPr>
              <w:t>(581.38)</w:t>
            </w:r>
          </w:p>
        </w:tc>
        <w:tc>
          <w:tcPr>
            <w:tcW w:type="dxa" w:w="1872"/>
            <w:shd w:fill="F9FAFB"/>
            <w:tcMar>
              <w:top w:w="80" w:type="dxa"/>
              <w:bottom w:w="80" w:type="dxa"/>
              <w:left w:w="100" w:type="dxa"/>
              <w:right w:w="100" w:type="dxa"/>
            </w:tcMar>
          </w:tcPr>
          <w:p>
            <w:pPr>
              <w:jc w:val="right"/>
            </w:pPr>
            <w:r>
              <w:rPr>
                <w:rFonts w:ascii="Calibri" w:hAnsi="Calibri"/>
                <w:color w:val="222222"/>
                <w:sz w:val="18"/>
              </w:rPr>
              <w:t>(2,364.43)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Total Profit Before Tax &amp; Minority Interest</w:t>
            </w:r>
          </w:p>
        </w:tc>
        <w:tc>
          <w:tcPr>
            <w:tcW w:type="dxa" w:w="1872"/>
            <w:shd w:fill="FFFFFF"/>
            <w:tcMar>
              <w:top w:w="80" w:type="dxa"/>
              <w:bottom w:w="80" w:type="dxa"/>
              <w:left w:w="100" w:type="dxa"/>
              <w:right w:w="100" w:type="dxa"/>
            </w:tcMar>
          </w:tcPr>
          <w:p>
            <w:pPr>
              <w:jc w:val="right"/>
            </w:pPr>
            <w:r>
              <w:rPr>
                <w:rFonts w:ascii="Calibri" w:hAnsi="Calibri"/>
                <w:color w:val="222222"/>
                <w:sz w:val="18"/>
              </w:rPr>
              <w:t>27,193.16</w:t>
            </w:r>
          </w:p>
        </w:tc>
        <w:tc>
          <w:tcPr>
            <w:tcW w:type="dxa" w:w="1872"/>
            <w:shd w:fill="FFFFFF"/>
            <w:tcMar>
              <w:top w:w="80" w:type="dxa"/>
              <w:bottom w:w="80" w:type="dxa"/>
              <w:left w:w="100" w:type="dxa"/>
              <w:right w:w="100" w:type="dxa"/>
            </w:tcMar>
          </w:tcPr>
          <w:p>
            <w:pPr>
              <w:jc w:val="right"/>
            </w:pPr>
            <w:r>
              <w:rPr>
                <w:rFonts w:ascii="Calibri" w:hAnsi="Calibri"/>
                <w:color w:val="222222"/>
                <w:sz w:val="18"/>
              </w:rPr>
              <w:t>27,671.63</w:t>
            </w:r>
          </w:p>
        </w:tc>
        <w:tc>
          <w:tcPr>
            <w:tcW w:type="dxa" w:w="1872"/>
            <w:shd w:fill="FFFFFF"/>
            <w:tcMar>
              <w:top w:w="80" w:type="dxa"/>
              <w:bottom w:w="80" w:type="dxa"/>
              <w:left w:w="100" w:type="dxa"/>
              <w:right w:w="100" w:type="dxa"/>
            </w:tcMar>
          </w:tcPr>
          <w:p>
            <w:pPr>
              <w:jc w:val="right"/>
            </w:pPr>
            <w:r>
              <w:rPr>
                <w:rFonts w:ascii="Calibri" w:hAnsi="Calibri"/>
                <w:color w:val="222222"/>
                <w:sz w:val="18"/>
              </w:rPr>
              <w:t>20,849.83</w:t>
            </w:r>
          </w:p>
        </w:tc>
        <w:tc>
          <w:tcPr>
            <w:tcW w:type="dxa" w:w="1872"/>
            <w:shd w:fill="FFFFFF"/>
            <w:tcMar>
              <w:top w:w="80" w:type="dxa"/>
              <w:bottom w:w="80" w:type="dxa"/>
              <w:left w:w="100" w:type="dxa"/>
              <w:right w:w="100" w:type="dxa"/>
            </w:tcMar>
          </w:tcPr>
          <w:p>
            <w:pPr>
              <w:jc w:val="right"/>
            </w:pPr>
            <w:r>
              <w:rPr>
                <w:rFonts w:ascii="Calibri" w:hAnsi="Calibri"/>
                <w:color w:val="222222"/>
                <w:sz w:val="18"/>
              </w:rPr>
              <w:t>1,02,141.45</w:t>
            </w:r>
          </w:p>
        </w:tc>
      </w:tr>
      <w:tr>
        <w:tc>
          <w:tcPr>
            <w:tcW w:type="dxa" w:w="1872"/>
            <w:shd w:fill="F9FAFB"/>
            <w:tcMar>
              <w:top w:w="80" w:type="dxa"/>
              <w:bottom w:w="80" w:type="dxa"/>
              <w:left w:w="100" w:type="dxa"/>
              <w:right w:w="100" w:type="dxa"/>
            </w:tcMar>
          </w:tcPr>
          <w:p>
            <w:pPr>
              <w:jc w:val="left"/>
            </w:pPr>
            <w:r>
              <w:rPr>
                <w:rFonts w:ascii="Calibri" w:hAnsi="Calibri"/>
                <w:color w:val="222222"/>
                <w:sz w:val="18"/>
              </w:rPr>
              <w:t>3. Segment Assets:</w:t>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c>
          <w:tcPr>
            <w:tcW w:type="dxa" w:w="1872"/>
            <w:shd w:fill="F9FAFB"/>
            <w:tcMar>
              <w:top w:w="80" w:type="dxa"/>
              <w:bottom w:w="80" w:type="dxa"/>
              <w:left w:w="100" w:type="dxa"/>
              <w:right w:w="100" w:type="dxa"/>
            </w:tcMar>
          </w:tcPr>
          <w:p>
            <w:pPr>
              <w:jc w:val="left"/>
            </w:pPr>
            <w:r>
              <w:rPr>
                <w:rFonts w:ascii="Calibri" w:hAnsi="Calibri"/>
                <w:color w:val="222222"/>
                <w:sz w:val="18"/>
              </w:rPr>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FFFFF"/>
            <w:tcMar>
              <w:top w:w="80" w:type="dxa"/>
              <w:bottom w:w="80" w:type="dxa"/>
              <w:left w:w="100" w:type="dxa"/>
              <w:right w:w="100" w:type="dxa"/>
            </w:tcMar>
          </w:tcPr>
          <w:p>
            <w:pPr>
              <w:jc w:val="right"/>
            </w:pPr>
            <w:r>
              <w:rPr>
                <w:rFonts w:ascii="Calibri" w:hAnsi="Calibri"/>
                <w:color w:val="222222"/>
                <w:sz w:val="18"/>
              </w:rPr>
              <w:t>10,86,021.85</w:t>
            </w:r>
          </w:p>
        </w:tc>
        <w:tc>
          <w:tcPr>
            <w:tcW w:type="dxa" w:w="1872"/>
            <w:shd w:fill="FFFFFF"/>
            <w:tcMar>
              <w:top w:w="80" w:type="dxa"/>
              <w:bottom w:w="80" w:type="dxa"/>
              <w:left w:w="100" w:type="dxa"/>
              <w:right w:w="100" w:type="dxa"/>
            </w:tcMar>
          </w:tcPr>
          <w:p>
            <w:pPr>
              <w:jc w:val="right"/>
            </w:pPr>
            <w:r>
              <w:rPr>
                <w:rFonts w:ascii="Calibri" w:hAnsi="Calibri"/>
                <w:color w:val="222222"/>
                <w:sz w:val="18"/>
              </w:rPr>
              <w:t>11,49,929.44</w:t>
            </w:r>
          </w:p>
        </w:tc>
        <w:tc>
          <w:tcPr>
            <w:tcW w:type="dxa" w:w="1872"/>
            <w:shd w:fill="FFFFFF"/>
            <w:tcMar>
              <w:top w:w="80" w:type="dxa"/>
              <w:bottom w:w="80" w:type="dxa"/>
              <w:left w:w="100" w:type="dxa"/>
              <w:right w:w="100" w:type="dxa"/>
            </w:tcMar>
          </w:tcPr>
          <w:p>
            <w:pPr>
              <w:jc w:val="right"/>
            </w:pPr>
            <w:r>
              <w:rPr>
                <w:rFonts w:ascii="Calibri" w:hAnsi="Calibri"/>
                <w:color w:val="222222"/>
                <w:sz w:val="18"/>
              </w:rPr>
              <w:t>10,24,344.73</w:t>
            </w:r>
          </w:p>
        </w:tc>
        <w:tc>
          <w:tcPr>
            <w:tcW w:type="dxa" w:w="1872"/>
            <w:shd w:fill="FFFFFF"/>
            <w:tcMar>
              <w:top w:w="80" w:type="dxa"/>
              <w:bottom w:w="80" w:type="dxa"/>
              <w:left w:w="100" w:type="dxa"/>
              <w:right w:w="100" w:type="dxa"/>
            </w:tcMar>
          </w:tcPr>
          <w:p>
            <w:pPr>
              <w:jc w:val="right"/>
            </w:pPr>
            <w:r>
              <w:rPr>
                <w:rFonts w:ascii="Calibri" w:hAnsi="Calibri"/>
                <w:color w:val="222222"/>
                <w:sz w:val="18"/>
              </w:rPr>
              <w:t>11,49,929.44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b) Retail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16,18,976.54</w:t>
            </w:r>
          </w:p>
        </w:tc>
        <w:tc>
          <w:tcPr>
            <w:tcW w:type="dxa" w:w="1872"/>
            <w:shd w:fill="F9FAFB"/>
            <w:tcMar>
              <w:top w:w="80" w:type="dxa"/>
              <w:bottom w:w="80" w:type="dxa"/>
              <w:left w:w="100" w:type="dxa"/>
              <w:right w:w="100" w:type="dxa"/>
            </w:tcMar>
          </w:tcPr>
          <w:p>
            <w:pPr>
              <w:jc w:val="right"/>
            </w:pPr>
            <w:r>
              <w:rPr>
                <w:rFonts w:ascii="Calibri" w:hAnsi="Calibri"/>
                <w:color w:val="222222"/>
                <w:sz w:val="18"/>
              </w:rPr>
              <w:t>15,80,887.11</w:t>
            </w:r>
          </w:p>
        </w:tc>
        <w:tc>
          <w:tcPr>
            <w:tcW w:type="dxa" w:w="1872"/>
            <w:shd w:fill="F9FAFB"/>
            <w:tcMar>
              <w:top w:w="80" w:type="dxa"/>
              <w:bottom w:w="80" w:type="dxa"/>
              <w:left w:w="100" w:type="dxa"/>
              <w:right w:w="100" w:type="dxa"/>
            </w:tcMar>
          </w:tcPr>
          <w:p>
            <w:pPr>
              <w:jc w:val="right"/>
            </w:pPr>
            <w:r>
              <w:rPr>
                <w:rFonts w:ascii="Calibri" w:hAnsi="Calibri"/>
                <w:color w:val="222222"/>
                <w:sz w:val="18"/>
              </w:rPr>
              <w:t>15,28,135.60</w:t>
            </w:r>
          </w:p>
        </w:tc>
        <w:tc>
          <w:tcPr>
            <w:tcW w:type="dxa" w:w="1872"/>
            <w:shd w:fill="F9FAFB"/>
            <w:tcMar>
              <w:top w:w="80" w:type="dxa"/>
              <w:bottom w:w="80" w:type="dxa"/>
              <w:left w:w="100" w:type="dxa"/>
              <w:right w:w="100" w:type="dxa"/>
            </w:tcMar>
          </w:tcPr>
          <w:p>
            <w:pPr>
              <w:jc w:val="right"/>
            </w:pPr>
            <w:r>
              <w:rPr>
                <w:rFonts w:ascii="Calibri" w:hAnsi="Calibri"/>
                <w:color w:val="222222"/>
                <w:sz w:val="18"/>
              </w:rPr>
              <w:t>15,80,887.11</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15,59,292.84</w:t>
            </w:r>
          </w:p>
        </w:tc>
        <w:tc>
          <w:tcPr>
            <w:tcW w:type="dxa" w:w="1872"/>
            <w:shd w:fill="FFFFFF"/>
            <w:tcMar>
              <w:top w:w="80" w:type="dxa"/>
              <w:bottom w:w="80" w:type="dxa"/>
              <w:left w:w="100" w:type="dxa"/>
              <w:right w:w="100" w:type="dxa"/>
            </w:tcMar>
          </w:tcPr>
          <w:p>
            <w:pPr>
              <w:jc w:val="right"/>
            </w:pPr>
            <w:r>
              <w:rPr>
                <w:rFonts w:ascii="Calibri" w:hAnsi="Calibri"/>
                <w:color w:val="222222"/>
                <w:sz w:val="18"/>
              </w:rPr>
              <w:t>14,99,816.13</w:t>
            </w:r>
          </w:p>
        </w:tc>
        <w:tc>
          <w:tcPr>
            <w:tcW w:type="dxa" w:w="1872"/>
            <w:shd w:fill="FFFFFF"/>
            <w:tcMar>
              <w:top w:w="80" w:type="dxa"/>
              <w:bottom w:w="80" w:type="dxa"/>
              <w:left w:w="100" w:type="dxa"/>
              <w:right w:w="100" w:type="dxa"/>
            </w:tcMar>
          </w:tcPr>
          <w:p>
            <w:pPr>
              <w:jc w:val="right"/>
            </w:pPr>
            <w:r>
              <w:rPr>
                <w:rFonts w:ascii="Calibri" w:hAnsi="Calibri"/>
                <w:color w:val="222222"/>
                <w:sz w:val="18"/>
              </w:rPr>
              <w:t>12,69,139.82</w:t>
            </w:r>
          </w:p>
        </w:tc>
        <w:tc>
          <w:tcPr>
            <w:tcW w:type="dxa" w:w="1872"/>
            <w:shd w:fill="FFFFFF"/>
            <w:tcMar>
              <w:top w:w="80" w:type="dxa"/>
              <w:bottom w:w="80" w:type="dxa"/>
              <w:left w:w="100" w:type="dxa"/>
              <w:right w:w="100" w:type="dxa"/>
            </w:tcMar>
          </w:tcPr>
          <w:p>
            <w:pPr>
              <w:jc w:val="right"/>
            </w:pPr>
            <w:r>
              <w:rPr>
                <w:rFonts w:ascii="Calibri" w:hAnsi="Calibri"/>
                <w:color w:val="222222"/>
                <w:sz w:val="18"/>
              </w:rPr>
              <w:t>14,99,816.13</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9FAFB"/>
            <w:tcMar>
              <w:top w:w="80" w:type="dxa"/>
              <w:bottom w:w="80" w:type="dxa"/>
              <w:left w:w="100" w:type="dxa"/>
              <w:right w:w="100" w:type="dxa"/>
            </w:tcMar>
          </w:tcPr>
          <w:p>
            <w:pPr>
              <w:jc w:val="right"/>
            </w:pPr>
            <w:r>
              <w:rPr>
                <w:rFonts w:ascii="Calibri" w:hAnsi="Calibri"/>
                <w:color w:val="222222"/>
                <w:sz w:val="18"/>
              </w:rPr>
              <w:t>1,15,884.08</w:t>
            </w:r>
          </w:p>
        </w:tc>
        <w:tc>
          <w:tcPr>
            <w:tcW w:type="dxa" w:w="1872"/>
            <w:shd w:fill="F9FAFB"/>
            <w:tcMar>
              <w:top w:w="80" w:type="dxa"/>
              <w:bottom w:w="80" w:type="dxa"/>
              <w:left w:w="100" w:type="dxa"/>
              <w:right w:w="100" w:type="dxa"/>
            </w:tcMar>
          </w:tcPr>
          <w:p>
            <w:pPr>
              <w:jc w:val="right"/>
            </w:pPr>
            <w:r>
              <w:rPr>
                <w:rFonts w:ascii="Calibri" w:hAnsi="Calibri"/>
                <w:color w:val="222222"/>
                <w:sz w:val="18"/>
              </w:rPr>
              <w:t>1,12,867.13</w:t>
            </w:r>
          </w:p>
        </w:tc>
        <w:tc>
          <w:tcPr>
            <w:tcW w:type="dxa" w:w="1872"/>
            <w:shd w:fill="F9FAFB"/>
            <w:tcMar>
              <w:top w:w="80" w:type="dxa"/>
              <w:bottom w:w="80" w:type="dxa"/>
              <w:left w:w="100" w:type="dxa"/>
              <w:right w:w="100" w:type="dxa"/>
            </w:tcMar>
          </w:tcPr>
          <w:p>
            <w:pPr>
              <w:jc w:val="right"/>
            </w:pPr>
            <w:r>
              <w:rPr>
                <w:rFonts w:ascii="Calibri" w:hAnsi="Calibri"/>
                <w:color w:val="222222"/>
                <w:sz w:val="18"/>
              </w:rPr>
              <w:t>1,10,854.88</w:t>
            </w:r>
          </w:p>
        </w:tc>
        <w:tc>
          <w:tcPr>
            <w:tcW w:type="dxa" w:w="1872"/>
            <w:shd w:fill="F9FAFB"/>
            <w:tcMar>
              <w:top w:w="80" w:type="dxa"/>
              <w:bottom w:w="80" w:type="dxa"/>
              <w:left w:w="100" w:type="dxa"/>
              <w:right w:w="100" w:type="dxa"/>
            </w:tcMar>
          </w:tcPr>
          <w:p>
            <w:pPr>
              <w:jc w:val="right"/>
            </w:pPr>
            <w:r>
              <w:rPr>
                <w:rFonts w:ascii="Calibri" w:hAnsi="Calibri"/>
                <w:color w:val="222222"/>
                <w:sz w:val="18"/>
              </w:rPr>
              <w:t>1,12,867.13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e) Insurance Business**</w:t>
            </w:r>
          </w:p>
        </w:tc>
        <w:tc>
          <w:tcPr>
            <w:tcW w:type="dxa" w:w="1872"/>
            <w:shd w:fill="FFFFFF"/>
            <w:tcMar>
              <w:top w:w="80" w:type="dxa"/>
              <w:bottom w:w="80" w:type="dxa"/>
              <w:left w:w="100" w:type="dxa"/>
              <w:right w:w="100" w:type="dxa"/>
            </w:tcMar>
          </w:tcPr>
          <w:p>
            <w:pPr>
              <w:jc w:val="right"/>
            </w:pPr>
            <w:r>
              <w:rPr>
                <w:rFonts w:ascii="Calibri" w:hAnsi="Calibri"/>
                <w:color w:val="222222"/>
                <w:sz w:val="18"/>
              </w:rPr>
              <w:t>4,41,063.92</w:t>
            </w:r>
          </w:p>
        </w:tc>
        <w:tc>
          <w:tcPr>
            <w:tcW w:type="dxa" w:w="1872"/>
            <w:shd w:fill="FFFFFF"/>
            <w:tcMar>
              <w:top w:w="80" w:type="dxa"/>
              <w:bottom w:w="80" w:type="dxa"/>
              <w:left w:w="100" w:type="dxa"/>
              <w:right w:w="100" w:type="dxa"/>
            </w:tcMar>
          </w:tcPr>
          <w:p>
            <w:pPr>
              <w:jc w:val="right"/>
            </w:pPr>
            <w:r>
              <w:rPr>
                <w:rFonts w:ascii="Calibri" w:hAnsi="Calibri"/>
                <w:color w:val="222222"/>
                <w:sz w:val="18"/>
              </w:rPr>
              <w:t>4,14,400.04</w:t>
            </w:r>
          </w:p>
        </w:tc>
        <w:tc>
          <w:tcPr>
            <w:tcW w:type="dxa" w:w="1872"/>
            <w:shd w:fill="FFFFFF"/>
            <w:tcMar>
              <w:top w:w="80" w:type="dxa"/>
              <w:bottom w:w="80" w:type="dxa"/>
              <w:left w:w="100" w:type="dxa"/>
              <w:right w:w="100" w:type="dxa"/>
            </w:tcMar>
          </w:tcPr>
          <w:p>
            <w:pPr>
              <w:jc w:val="right"/>
            </w:pPr>
            <w:r>
              <w:rPr>
                <w:rFonts w:ascii="Calibri" w:hAnsi="Calibri"/>
                <w:color w:val="222222"/>
                <w:sz w:val="18"/>
              </w:rPr>
              <w:t>3,90,123.07</w:t>
            </w:r>
          </w:p>
        </w:tc>
        <w:tc>
          <w:tcPr>
            <w:tcW w:type="dxa" w:w="1872"/>
            <w:shd w:fill="FFFFFF"/>
            <w:tcMar>
              <w:top w:w="80" w:type="dxa"/>
              <w:bottom w:w="80" w:type="dxa"/>
              <w:left w:w="100" w:type="dxa"/>
              <w:right w:w="100" w:type="dxa"/>
            </w:tcMar>
          </w:tcPr>
          <w:p>
            <w:pPr>
              <w:jc w:val="right"/>
            </w:pPr>
            <w:r>
              <w:rPr>
                <w:rFonts w:ascii="Calibri" w:hAnsi="Calibri"/>
                <w:color w:val="222222"/>
                <w:sz w:val="18"/>
              </w:rPr>
              <w:t>4,14,400.04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f) Others</w:t>
            </w:r>
          </w:p>
        </w:tc>
        <w:tc>
          <w:tcPr>
            <w:tcW w:type="dxa" w:w="1872"/>
            <w:shd w:fill="F9FAFB"/>
            <w:tcMar>
              <w:top w:w="80" w:type="dxa"/>
              <w:bottom w:w="80" w:type="dxa"/>
              <w:left w:w="100" w:type="dxa"/>
              <w:right w:w="100" w:type="dxa"/>
            </w:tcMar>
          </w:tcPr>
          <w:p>
            <w:pPr>
              <w:jc w:val="right"/>
            </w:pPr>
            <w:r>
              <w:rPr>
                <w:rFonts w:ascii="Calibri" w:hAnsi="Calibri"/>
                <w:color w:val="222222"/>
                <w:sz w:val="18"/>
              </w:rPr>
              <w:t>1,32,948.46</w:t>
            </w:r>
          </w:p>
        </w:tc>
        <w:tc>
          <w:tcPr>
            <w:tcW w:type="dxa" w:w="1872"/>
            <w:shd w:fill="F9FAFB"/>
            <w:tcMar>
              <w:top w:w="80" w:type="dxa"/>
              <w:bottom w:w="80" w:type="dxa"/>
              <w:left w:w="100" w:type="dxa"/>
              <w:right w:w="100" w:type="dxa"/>
            </w:tcMar>
          </w:tcPr>
          <w:p>
            <w:pPr>
              <w:jc w:val="right"/>
            </w:pPr>
            <w:r>
              <w:rPr>
                <w:rFonts w:ascii="Calibri" w:hAnsi="Calibri"/>
                <w:color w:val="222222"/>
                <w:sz w:val="18"/>
              </w:rPr>
              <w:t>1,28,754.48</w:t>
            </w:r>
          </w:p>
        </w:tc>
        <w:tc>
          <w:tcPr>
            <w:tcW w:type="dxa" w:w="1872"/>
            <w:shd w:fill="F9FAFB"/>
            <w:tcMar>
              <w:top w:w="80" w:type="dxa"/>
              <w:bottom w:w="80" w:type="dxa"/>
              <w:left w:w="100" w:type="dxa"/>
              <w:right w:w="100" w:type="dxa"/>
            </w:tcMar>
          </w:tcPr>
          <w:p>
            <w:pPr>
              <w:jc w:val="right"/>
            </w:pPr>
            <w:r>
              <w:rPr>
                <w:rFonts w:ascii="Calibri" w:hAnsi="Calibri"/>
                <w:color w:val="222222"/>
                <w:sz w:val="18"/>
              </w:rPr>
              <w:t>1,11,848.31</w:t>
            </w:r>
          </w:p>
        </w:tc>
        <w:tc>
          <w:tcPr>
            <w:tcW w:type="dxa" w:w="1872"/>
            <w:shd w:fill="F9FAFB"/>
            <w:tcMar>
              <w:top w:w="80" w:type="dxa"/>
              <w:bottom w:w="80" w:type="dxa"/>
              <w:left w:w="100" w:type="dxa"/>
              <w:right w:w="100" w:type="dxa"/>
            </w:tcMar>
          </w:tcPr>
          <w:p>
            <w:pPr>
              <w:jc w:val="right"/>
            </w:pPr>
            <w:r>
              <w:rPr>
                <w:rFonts w:ascii="Calibri" w:hAnsi="Calibri"/>
                <w:color w:val="222222"/>
                <w:sz w:val="18"/>
              </w:rPr>
              <w:t>1,28,754.48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g) Unallocated</w:t>
            </w:r>
          </w:p>
        </w:tc>
        <w:tc>
          <w:tcPr>
            <w:tcW w:type="dxa" w:w="1872"/>
            <w:shd w:fill="FFFFFF"/>
            <w:tcMar>
              <w:top w:w="80" w:type="dxa"/>
              <w:bottom w:w="80" w:type="dxa"/>
              <w:left w:w="100" w:type="dxa"/>
              <w:right w:w="100" w:type="dxa"/>
            </w:tcMar>
          </w:tcPr>
          <w:p>
            <w:pPr>
              <w:jc w:val="right"/>
            </w:pPr>
            <w:r>
              <w:rPr>
                <w:rFonts w:ascii="Calibri" w:hAnsi="Calibri"/>
                <w:color w:val="222222"/>
                <w:sz w:val="18"/>
              </w:rPr>
              <w:t>17,285.97</w:t>
            </w:r>
          </w:p>
        </w:tc>
        <w:tc>
          <w:tcPr>
            <w:tcW w:type="dxa" w:w="1872"/>
            <w:shd w:fill="FFFFFF"/>
            <w:tcMar>
              <w:top w:w="80" w:type="dxa"/>
              <w:bottom w:w="80" w:type="dxa"/>
              <w:left w:w="100" w:type="dxa"/>
              <w:right w:w="100" w:type="dxa"/>
            </w:tcMar>
          </w:tcPr>
          <w:p>
            <w:pPr>
              <w:jc w:val="right"/>
            </w:pPr>
            <w:r>
              <w:rPr>
                <w:rFonts w:ascii="Calibri" w:hAnsi="Calibri"/>
                <w:color w:val="222222"/>
                <w:sz w:val="18"/>
              </w:rPr>
              <w:t>21,386.51</w:t>
            </w:r>
          </w:p>
        </w:tc>
        <w:tc>
          <w:tcPr>
            <w:tcW w:type="dxa" w:w="1872"/>
            <w:shd w:fill="FFFFFF"/>
            <w:tcMar>
              <w:top w:w="80" w:type="dxa"/>
              <w:bottom w:w="80" w:type="dxa"/>
              <w:left w:w="100" w:type="dxa"/>
              <w:right w:w="100" w:type="dxa"/>
            </w:tcMar>
          </w:tcPr>
          <w:p>
            <w:pPr>
              <w:jc w:val="right"/>
            </w:pPr>
            <w:r>
              <w:rPr>
                <w:rFonts w:ascii="Calibri" w:hAnsi="Calibri"/>
                <w:color w:val="222222"/>
                <w:sz w:val="18"/>
              </w:rPr>
              <w:t>21,601.63</w:t>
            </w:r>
          </w:p>
        </w:tc>
        <w:tc>
          <w:tcPr>
            <w:tcW w:type="dxa" w:w="1872"/>
            <w:shd w:fill="FFFFFF"/>
            <w:tcMar>
              <w:top w:w="80" w:type="dxa"/>
              <w:bottom w:w="80" w:type="dxa"/>
              <w:left w:w="100" w:type="dxa"/>
              <w:right w:w="100" w:type="dxa"/>
            </w:tcMar>
          </w:tcPr>
          <w:p>
            <w:pPr>
              <w:jc w:val="right"/>
            </w:pPr>
            <w:r>
              <w:rPr>
                <w:rFonts w:ascii="Calibri" w:hAnsi="Calibri"/>
                <w:color w:val="222222"/>
                <w:sz w:val="18"/>
              </w:rPr>
              <w:t>21,386.51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Total Segment Assets</w:t>
            </w:r>
          </w:p>
        </w:tc>
        <w:tc>
          <w:tcPr>
            <w:tcW w:type="dxa" w:w="1872"/>
            <w:shd w:fill="F9FAFB"/>
            <w:tcMar>
              <w:top w:w="80" w:type="dxa"/>
              <w:bottom w:w="80" w:type="dxa"/>
              <w:left w:w="100" w:type="dxa"/>
              <w:right w:w="100" w:type="dxa"/>
            </w:tcMar>
          </w:tcPr>
          <w:p>
            <w:pPr>
              <w:jc w:val="right"/>
            </w:pPr>
            <w:r>
              <w:rPr>
                <w:rFonts w:ascii="Calibri" w:hAnsi="Calibri"/>
                <w:color w:val="222222"/>
                <w:sz w:val="18"/>
              </w:rPr>
              <w:t>49,71,473.66</w:t>
            </w:r>
          </w:p>
        </w:tc>
        <w:tc>
          <w:tcPr>
            <w:tcW w:type="dxa" w:w="1872"/>
            <w:shd w:fill="F9FAFB"/>
            <w:tcMar>
              <w:top w:w="80" w:type="dxa"/>
              <w:bottom w:w="80" w:type="dxa"/>
              <w:left w:w="100" w:type="dxa"/>
              <w:right w:w="100" w:type="dxa"/>
            </w:tcMar>
          </w:tcPr>
          <w:p>
            <w:pPr>
              <w:jc w:val="right"/>
            </w:pPr>
            <w:r>
              <w:rPr>
                <w:rFonts w:ascii="Calibri" w:hAnsi="Calibri"/>
                <w:color w:val="222222"/>
                <w:sz w:val="18"/>
              </w:rPr>
              <w:t>49,08,040.84</w:t>
            </w:r>
          </w:p>
        </w:tc>
        <w:tc>
          <w:tcPr>
            <w:tcW w:type="dxa" w:w="1872"/>
            <w:shd w:fill="F9FAFB"/>
            <w:tcMar>
              <w:top w:w="80" w:type="dxa"/>
              <w:bottom w:w="80" w:type="dxa"/>
              <w:left w:w="100" w:type="dxa"/>
              <w:right w:w="100" w:type="dxa"/>
            </w:tcMar>
          </w:tcPr>
          <w:p>
            <w:pPr>
              <w:jc w:val="right"/>
            </w:pPr>
            <w:r>
              <w:rPr>
                <w:rFonts w:ascii="Calibri" w:hAnsi="Calibri"/>
                <w:color w:val="222222"/>
                <w:sz w:val="18"/>
              </w:rPr>
              <w:t>44,56,048.04</w:t>
            </w:r>
          </w:p>
        </w:tc>
        <w:tc>
          <w:tcPr>
            <w:tcW w:type="dxa" w:w="1872"/>
            <w:shd w:fill="F9FAFB"/>
            <w:tcMar>
              <w:top w:w="80" w:type="dxa"/>
              <w:bottom w:w="80" w:type="dxa"/>
              <w:left w:w="100" w:type="dxa"/>
              <w:right w:w="100" w:type="dxa"/>
            </w:tcMar>
          </w:tcPr>
          <w:p>
            <w:pPr>
              <w:jc w:val="right"/>
            </w:pPr>
            <w:r>
              <w:rPr>
                <w:rFonts w:ascii="Calibri" w:hAnsi="Calibri"/>
                <w:color w:val="222222"/>
                <w:sz w:val="18"/>
              </w:rPr>
              <w:t>49,08,040.84</w:t>
            </w:r>
          </w:p>
        </w:tc>
      </w:tr>
      <w:tr>
        <w:tc>
          <w:tcPr>
            <w:tcW w:type="dxa" w:w="1872"/>
            <w:shd w:fill="FFFFFF"/>
            <w:tcMar>
              <w:top w:w="80" w:type="dxa"/>
              <w:bottom w:w="80" w:type="dxa"/>
              <w:left w:w="100" w:type="dxa"/>
              <w:right w:w="100" w:type="dxa"/>
            </w:tcMar>
          </w:tcPr>
          <w:p>
            <w:pPr>
              <w:jc w:val="left"/>
            </w:pPr>
            <w:r>
              <w:rPr>
                <w:rFonts w:ascii="Calibri" w:hAnsi="Calibri"/>
                <w:color w:val="222222"/>
                <w:sz w:val="18"/>
              </w:rPr>
              <w:t>4. Segment Liabilities:</w:t>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c>
          <w:tcPr>
            <w:tcW w:type="dxa" w:w="1872"/>
            <w:shd w:fill="FFFFFF"/>
            <w:tcMar>
              <w:top w:w="80" w:type="dxa"/>
              <w:bottom w:w="80" w:type="dxa"/>
              <w:left w:w="100" w:type="dxa"/>
              <w:right w:w="100" w:type="dxa"/>
            </w:tcMar>
          </w:tcPr>
          <w:p>
            <w:pPr>
              <w:jc w:val="left"/>
            </w:pPr>
            <w:r>
              <w:rPr>
                <w:rFonts w:ascii="Calibri" w:hAnsi="Calibri"/>
                <w:color w:val="222222"/>
                <w:sz w:val="18"/>
              </w:rPr>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a) Treasury</w:t>
            </w:r>
          </w:p>
        </w:tc>
        <w:tc>
          <w:tcPr>
            <w:tcW w:type="dxa" w:w="1872"/>
            <w:shd w:fill="F9FAFB"/>
            <w:tcMar>
              <w:top w:w="80" w:type="dxa"/>
              <w:bottom w:w="80" w:type="dxa"/>
              <w:left w:w="100" w:type="dxa"/>
              <w:right w:w="100" w:type="dxa"/>
            </w:tcMar>
          </w:tcPr>
          <w:p>
            <w:pPr>
              <w:jc w:val="right"/>
            </w:pPr>
            <w:r>
              <w:rPr>
                <w:rFonts w:ascii="Calibri" w:hAnsi="Calibri"/>
                <w:color w:val="222222"/>
                <w:sz w:val="18"/>
              </w:rPr>
              <w:t>78,998.60</w:t>
            </w:r>
          </w:p>
        </w:tc>
        <w:tc>
          <w:tcPr>
            <w:tcW w:type="dxa" w:w="1872"/>
            <w:shd w:fill="F9FAFB"/>
            <w:tcMar>
              <w:top w:w="80" w:type="dxa"/>
              <w:bottom w:w="80" w:type="dxa"/>
              <w:left w:w="100" w:type="dxa"/>
              <w:right w:w="100" w:type="dxa"/>
            </w:tcMar>
          </w:tcPr>
          <w:p>
            <w:pPr>
              <w:jc w:val="right"/>
            </w:pPr>
            <w:r>
              <w:rPr>
                <w:rFonts w:ascii="Calibri" w:hAnsi="Calibri"/>
                <w:color w:val="222222"/>
                <w:sz w:val="18"/>
              </w:rPr>
              <w:t>98,273.66</w:t>
            </w:r>
          </w:p>
        </w:tc>
        <w:tc>
          <w:tcPr>
            <w:tcW w:type="dxa" w:w="1872"/>
            <w:shd w:fill="F9FAFB"/>
            <w:tcMar>
              <w:top w:w="80" w:type="dxa"/>
              <w:bottom w:w="80" w:type="dxa"/>
              <w:left w:w="100" w:type="dxa"/>
              <w:right w:w="100" w:type="dxa"/>
            </w:tcMar>
          </w:tcPr>
          <w:p>
            <w:pPr>
              <w:jc w:val="right"/>
            </w:pPr>
            <w:r>
              <w:rPr>
                <w:rFonts w:ascii="Calibri" w:hAnsi="Calibri"/>
                <w:color w:val="222222"/>
                <w:sz w:val="18"/>
              </w:rPr>
              <w:t>84,025.64</w:t>
            </w:r>
          </w:p>
        </w:tc>
        <w:tc>
          <w:tcPr>
            <w:tcW w:type="dxa" w:w="1872"/>
            <w:shd w:fill="F9FAFB"/>
            <w:tcMar>
              <w:top w:w="80" w:type="dxa"/>
              <w:bottom w:w="80" w:type="dxa"/>
              <w:left w:w="100" w:type="dxa"/>
              <w:right w:w="100" w:type="dxa"/>
            </w:tcMar>
          </w:tcPr>
          <w:p>
            <w:pPr>
              <w:jc w:val="right"/>
            </w:pPr>
            <w:r>
              <w:rPr>
                <w:rFonts w:ascii="Calibri" w:hAnsi="Calibri"/>
                <w:color w:val="222222"/>
                <w:sz w:val="18"/>
              </w:rPr>
              <w:t>98,273.66</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b) Retail Banking</w:t>
            </w:r>
          </w:p>
        </w:tc>
        <w:tc>
          <w:tcPr>
            <w:tcW w:type="dxa" w:w="1872"/>
            <w:shd w:fill="FFFFFF"/>
            <w:tcMar>
              <w:top w:w="80" w:type="dxa"/>
              <w:bottom w:w="80" w:type="dxa"/>
              <w:left w:w="100" w:type="dxa"/>
              <w:right w:w="100" w:type="dxa"/>
            </w:tcMar>
          </w:tcPr>
          <w:p>
            <w:pPr>
              <w:jc w:val="right"/>
            </w:pPr>
            <w:r>
              <w:rPr>
                <w:rFonts w:ascii="Calibri" w:hAnsi="Calibri"/>
                <w:color w:val="222222"/>
                <w:sz w:val="18"/>
              </w:rPr>
              <w:t>25,32,744.34</w:t>
            </w:r>
          </w:p>
        </w:tc>
        <w:tc>
          <w:tcPr>
            <w:tcW w:type="dxa" w:w="1872"/>
            <w:shd w:fill="FFFFFF"/>
            <w:tcMar>
              <w:top w:w="80" w:type="dxa"/>
              <w:bottom w:w="80" w:type="dxa"/>
              <w:left w:w="100" w:type="dxa"/>
              <w:right w:w="100" w:type="dxa"/>
            </w:tcMar>
          </w:tcPr>
          <w:p>
            <w:pPr>
              <w:jc w:val="right"/>
            </w:pPr>
            <w:r>
              <w:rPr>
                <w:rFonts w:ascii="Calibri" w:hAnsi="Calibri"/>
                <w:color w:val="222222"/>
                <w:sz w:val="18"/>
              </w:rPr>
              <w:t>25,28,789.64</w:t>
            </w:r>
          </w:p>
        </w:tc>
        <w:tc>
          <w:tcPr>
            <w:tcW w:type="dxa" w:w="1872"/>
            <w:shd w:fill="FFFFFF"/>
            <w:tcMar>
              <w:top w:w="80" w:type="dxa"/>
              <w:bottom w:w="80" w:type="dxa"/>
              <w:left w:w="100" w:type="dxa"/>
              <w:right w:w="100" w:type="dxa"/>
            </w:tcMar>
          </w:tcPr>
          <w:p>
            <w:pPr>
              <w:jc w:val="right"/>
            </w:pPr>
            <w:r>
              <w:rPr>
                <w:rFonts w:ascii="Calibri" w:hAnsi="Calibri"/>
                <w:color w:val="222222"/>
                <w:sz w:val="18"/>
              </w:rPr>
              <w:t>23,22,644.57</w:t>
            </w:r>
          </w:p>
        </w:tc>
        <w:tc>
          <w:tcPr>
            <w:tcW w:type="dxa" w:w="1872"/>
            <w:shd w:fill="FFFFFF"/>
            <w:tcMar>
              <w:top w:w="80" w:type="dxa"/>
              <w:bottom w:w="80" w:type="dxa"/>
              <w:left w:w="100" w:type="dxa"/>
              <w:right w:w="100" w:type="dxa"/>
            </w:tcMar>
          </w:tcPr>
          <w:p>
            <w:pPr>
              <w:jc w:val="right"/>
            </w:pPr>
            <w:r>
              <w:rPr>
                <w:rFonts w:ascii="Calibri" w:hAnsi="Calibri"/>
                <w:color w:val="222222"/>
                <w:sz w:val="18"/>
              </w:rPr>
              <w:t>25,28,789.64</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c) Wholesale Banking</w:t>
            </w:r>
          </w:p>
        </w:tc>
        <w:tc>
          <w:tcPr>
            <w:tcW w:type="dxa" w:w="1872"/>
            <w:shd w:fill="F9FAFB"/>
            <w:tcMar>
              <w:top w:w="80" w:type="dxa"/>
              <w:bottom w:w="80" w:type="dxa"/>
              <w:left w:w="100" w:type="dxa"/>
              <w:right w:w="100" w:type="dxa"/>
            </w:tcMar>
          </w:tcPr>
          <w:p>
            <w:pPr>
              <w:jc w:val="right"/>
            </w:pPr>
            <w:r>
              <w:rPr>
                <w:rFonts w:ascii="Calibri" w:hAnsi="Calibri"/>
                <w:color w:val="222222"/>
                <w:sz w:val="18"/>
              </w:rPr>
              <w:t>11,59,025.98</w:t>
            </w:r>
          </w:p>
        </w:tc>
        <w:tc>
          <w:tcPr>
            <w:tcW w:type="dxa" w:w="1872"/>
            <w:shd w:fill="F9FAFB"/>
            <w:tcMar>
              <w:top w:w="80" w:type="dxa"/>
              <w:bottom w:w="80" w:type="dxa"/>
              <w:left w:w="100" w:type="dxa"/>
              <w:right w:w="100" w:type="dxa"/>
            </w:tcMar>
          </w:tcPr>
          <w:p>
            <w:pPr>
              <w:jc w:val="right"/>
            </w:pPr>
            <w:r>
              <w:rPr>
                <w:rFonts w:ascii="Calibri" w:hAnsi="Calibri"/>
                <w:color w:val="222222"/>
                <w:sz w:val="18"/>
              </w:rPr>
              <w:t>11,30,276.17</w:t>
            </w:r>
          </w:p>
        </w:tc>
        <w:tc>
          <w:tcPr>
            <w:tcW w:type="dxa" w:w="1872"/>
            <w:shd w:fill="F9FAFB"/>
            <w:tcMar>
              <w:top w:w="80" w:type="dxa"/>
              <w:bottom w:w="80" w:type="dxa"/>
              <w:left w:w="100" w:type="dxa"/>
              <w:right w:w="100" w:type="dxa"/>
            </w:tcMar>
          </w:tcPr>
          <w:p>
            <w:pPr>
              <w:jc w:val="right"/>
            </w:pPr>
            <w:r>
              <w:rPr>
                <w:rFonts w:ascii="Calibri" w:hAnsi="Calibri"/>
                <w:color w:val="222222"/>
                <w:sz w:val="18"/>
              </w:rPr>
              <w:t>9,66,071.31</w:t>
            </w:r>
          </w:p>
        </w:tc>
        <w:tc>
          <w:tcPr>
            <w:tcW w:type="dxa" w:w="1872"/>
            <w:shd w:fill="F9FAFB"/>
            <w:tcMar>
              <w:top w:w="80" w:type="dxa"/>
              <w:bottom w:w="80" w:type="dxa"/>
              <w:left w:w="100" w:type="dxa"/>
              <w:right w:w="100" w:type="dxa"/>
            </w:tcMar>
          </w:tcPr>
          <w:p>
            <w:pPr>
              <w:jc w:val="right"/>
            </w:pPr>
            <w:r>
              <w:rPr>
                <w:rFonts w:ascii="Calibri" w:hAnsi="Calibri"/>
                <w:color w:val="222222"/>
                <w:sz w:val="18"/>
              </w:rPr>
              <w:t>11,30,276.17</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d) Other Banking Operations</w:t>
            </w:r>
          </w:p>
        </w:tc>
        <w:tc>
          <w:tcPr>
            <w:tcW w:type="dxa" w:w="1872"/>
            <w:shd w:fill="FFFFFF"/>
            <w:tcMar>
              <w:top w:w="80" w:type="dxa"/>
              <w:bottom w:w="80" w:type="dxa"/>
              <w:left w:w="100" w:type="dxa"/>
              <w:right w:w="100" w:type="dxa"/>
            </w:tcMar>
          </w:tcPr>
          <w:p>
            <w:pPr>
              <w:jc w:val="right"/>
            </w:pPr>
            <w:r>
              <w:rPr>
                <w:rFonts w:ascii="Calibri" w:hAnsi="Calibri"/>
                <w:color w:val="222222"/>
                <w:sz w:val="18"/>
              </w:rPr>
              <w:t>4,100.45</w:t>
            </w:r>
          </w:p>
        </w:tc>
        <w:tc>
          <w:tcPr>
            <w:tcW w:type="dxa" w:w="1872"/>
            <w:shd w:fill="FFFFFF"/>
            <w:tcMar>
              <w:top w:w="80" w:type="dxa"/>
              <w:bottom w:w="80" w:type="dxa"/>
              <w:left w:w="100" w:type="dxa"/>
              <w:right w:w="100" w:type="dxa"/>
            </w:tcMar>
          </w:tcPr>
          <w:p>
            <w:pPr>
              <w:jc w:val="right"/>
            </w:pPr>
            <w:r>
              <w:rPr>
                <w:rFonts w:ascii="Calibri" w:hAnsi="Calibri"/>
                <w:color w:val="222222"/>
                <w:sz w:val="18"/>
              </w:rPr>
              <w:t>3,997.87</w:t>
            </w:r>
          </w:p>
        </w:tc>
        <w:tc>
          <w:tcPr>
            <w:tcW w:type="dxa" w:w="1872"/>
            <w:shd w:fill="FFFFFF"/>
            <w:tcMar>
              <w:top w:w="80" w:type="dxa"/>
              <w:bottom w:w="80" w:type="dxa"/>
              <w:left w:w="100" w:type="dxa"/>
              <w:right w:w="100" w:type="dxa"/>
            </w:tcMar>
          </w:tcPr>
          <w:p>
            <w:pPr>
              <w:jc w:val="right"/>
            </w:pPr>
            <w:r>
              <w:rPr>
                <w:rFonts w:ascii="Calibri" w:hAnsi="Calibri"/>
                <w:color w:val="222222"/>
                <w:sz w:val="18"/>
              </w:rPr>
              <w:t>9,253.99</w:t>
            </w:r>
          </w:p>
        </w:tc>
        <w:tc>
          <w:tcPr>
            <w:tcW w:type="dxa" w:w="1872"/>
            <w:shd w:fill="FFFFFF"/>
            <w:tcMar>
              <w:top w:w="80" w:type="dxa"/>
              <w:bottom w:w="80" w:type="dxa"/>
              <w:left w:w="100" w:type="dxa"/>
              <w:right w:w="100" w:type="dxa"/>
            </w:tcMar>
          </w:tcPr>
          <w:p>
            <w:pPr>
              <w:jc w:val="right"/>
            </w:pPr>
            <w:r>
              <w:rPr>
                <w:rFonts w:ascii="Calibri" w:hAnsi="Calibri"/>
                <w:color w:val="222222"/>
                <w:sz w:val="18"/>
              </w:rPr>
              <w:t>3,997.87</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e) Insurance Business**</w:t>
            </w:r>
          </w:p>
        </w:tc>
        <w:tc>
          <w:tcPr>
            <w:tcW w:type="dxa" w:w="1872"/>
            <w:shd w:fill="F9FAFB"/>
            <w:tcMar>
              <w:top w:w="80" w:type="dxa"/>
              <w:bottom w:w="80" w:type="dxa"/>
              <w:left w:w="100" w:type="dxa"/>
              <w:right w:w="100" w:type="dxa"/>
            </w:tcMar>
          </w:tcPr>
          <w:p>
            <w:pPr>
              <w:jc w:val="right"/>
            </w:pPr>
            <w:r>
              <w:rPr>
                <w:rFonts w:ascii="Calibri" w:hAnsi="Calibri"/>
                <w:color w:val="222222"/>
                <w:sz w:val="18"/>
              </w:rPr>
              <w:t>4,21,651.63</w:t>
            </w:r>
          </w:p>
        </w:tc>
        <w:tc>
          <w:tcPr>
            <w:tcW w:type="dxa" w:w="1872"/>
            <w:shd w:fill="F9FAFB"/>
            <w:tcMar>
              <w:top w:w="80" w:type="dxa"/>
              <w:bottom w:w="80" w:type="dxa"/>
              <w:left w:w="100" w:type="dxa"/>
              <w:right w:w="100" w:type="dxa"/>
            </w:tcMar>
          </w:tcPr>
          <w:p>
            <w:pPr>
              <w:jc w:val="right"/>
            </w:pPr>
            <w:r>
              <w:rPr>
                <w:rFonts w:ascii="Calibri" w:hAnsi="Calibri"/>
                <w:color w:val="222222"/>
                <w:sz w:val="18"/>
              </w:rPr>
              <w:t>3,98,573.63</w:t>
            </w:r>
          </w:p>
        </w:tc>
        <w:tc>
          <w:tcPr>
            <w:tcW w:type="dxa" w:w="1872"/>
            <w:shd w:fill="F9FAFB"/>
            <w:tcMar>
              <w:top w:w="80" w:type="dxa"/>
              <w:bottom w:w="80" w:type="dxa"/>
              <w:left w:w="100" w:type="dxa"/>
              <w:right w:w="100" w:type="dxa"/>
            </w:tcMar>
          </w:tcPr>
          <w:p>
            <w:pPr>
              <w:jc w:val="right"/>
            </w:pPr>
            <w:r>
              <w:rPr>
                <w:rFonts w:ascii="Calibri" w:hAnsi="Calibri"/>
                <w:color w:val="222222"/>
                <w:sz w:val="18"/>
              </w:rPr>
              <w:t>3,74,712.75</w:t>
            </w:r>
          </w:p>
        </w:tc>
        <w:tc>
          <w:tcPr>
            <w:tcW w:type="dxa" w:w="1872"/>
            <w:shd w:fill="F9FAFB"/>
            <w:tcMar>
              <w:top w:w="80" w:type="dxa"/>
              <w:bottom w:w="80" w:type="dxa"/>
              <w:left w:w="100" w:type="dxa"/>
              <w:right w:w="100" w:type="dxa"/>
            </w:tcMar>
          </w:tcPr>
          <w:p>
            <w:pPr>
              <w:jc w:val="right"/>
            </w:pPr>
            <w:r>
              <w:rPr>
                <w:rFonts w:ascii="Calibri" w:hAnsi="Calibri"/>
                <w:color w:val="222222"/>
                <w:sz w:val="18"/>
              </w:rPr>
              <w:t>3,98,573.63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f) Others</w:t>
            </w:r>
          </w:p>
        </w:tc>
        <w:tc>
          <w:tcPr>
            <w:tcW w:type="dxa" w:w="1872"/>
            <w:shd w:fill="FFFFFF"/>
            <w:tcMar>
              <w:top w:w="80" w:type="dxa"/>
              <w:bottom w:w="80" w:type="dxa"/>
              <w:left w:w="100" w:type="dxa"/>
              <w:right w:w="100" w:type="dxa"/>
            </w:tcMar>
          </w:tcPr>
          <w:p>
            <w:pPr>
              <w:jc w:val="right"/>
            </w:pPr>
            <w:r>
              <w:rPr>
                <w:rFonts w:ascii="Calibri" w:hAnsi="Calibri"/>
                <w:color w:val="222222"/>
                <w:sz w:val="18"/>
              </w:rPr>
              <w:t>1,06,068.47</w:t>
            </w:r>
          </w:p>
        </w:tc>
        <w:tc>
          <w:tcPr>
            <w:tcW w:type="dxa" w:w="1872"/>
            <w:shd w:fill="FFFFFF"/>
            <w:tcMar>
              <w:top w:w="80" w:type="dxa"/>
              <w:bottom w:w="80" w:type="dxa"/>
              <w:left w:w="100" w:type="dxa"/>
              <w:right w:w="100" w:type="dxa"/>
            </w:tcMar>
          </w:tcPr>
          <w:p>
            <w:pPr>
              <w:jc w:val="right"/>
            </w:pPr>
            <w:r>
              <w:rPr>
                <w:rFonts w:ascii="Calibri" w:hAnsi="Calibri"/>
                <w:color w:val="222222"/>
                <w:sz w:val="18"/>
              </w:rPr>
              <w:t>99,037.36</w:t>
            </w:r>
          </w:p>
        </w:tc>
        <w:tc>
          <w:tcPr>
            <w:tcW w:type="dxa" w:w="1872"/>
            <w:shd w:fill="FFFFFF"/>
            <w:tcMar>
              <w:top w:w="80" w:type="dxa"/>
              <w:bottom w:w="80" w:type="dxa"/>
              <w:left w:w="100" w:type="dxa"/>
              <w:right w:w="100" w:type="dxa"/>
            </w:tcMar>
          </w:tcPr>
          <w:p>
            <w:pPr>
              <w:jc w:val="right"/>
            </w:pPr>
            <w:r>
              <w:rPr>
                <w:rFonts w:ascii="Calibri" w:hAnsi="Calibri"/>
                <w:color w:val="222222"/>
                <w:sz w:val="18"/>
              </w:rPr>
              <w:t>86,751.07</w:t>
            </w:r>
          </w:p>
        </w:tc>
        <w:tc>
          <w:tcPr>
            <w:tcW w:type="dxa" w:w="1872"/>
            <w:shd w:fill="FFFFFF"/>
            <w:tcMar>
              <w:top w:w="80" w:type="dxa"/>
              <w:bottom w:w="80" w:type="dxa"/>
              <w:left w:w="100" w:type="dxa"/>
              <w:right w:w="100" w:type="dxa"/>
            </w:tcMar>
          </w:tcPr>
          <w:p>
            <w:pPr>
              <w:jc w:val="right"/>
            </w:pPr>
            <w:r>
              <w:rPr>
                <w:rFonts w:ascii="Calibri" w:hAnsi="Calibri"/>
                <w:color w:val="222222"/>
                <w:sz w:val="18"/>
              </w:rPr>
              <w:t>99,037.36</w:t>
            </w:r>
          </w:p>
        </w:tc>
      </w:tr>
      <w:tr>
        <w:tc>
          <w:tcPr>
            <w:tcW w:type="dxa" w:w="1872"/>
            <w:shd w:fill="F9FAFB"/>
            <w:tcMar>
              <w:top w:w="80" w:type="dxa"/>
              <w:bottom w:w="80" w:type="dxa"/>
              <w:left w:w="100" w:type="dxa"/>
              <w:right w:w="100" w:type="dxa"/>
            </w:tcMar>
          </w:tcPr>
          <w:p>
            <w:pPr>
              <w:jc w:val="left"/>
            </w:pPr>
            <w:r>
              <w:rPr>
                <w:rFonts w:ascii="Calibri" w:hAnsi="Calibri"/>
                <w:color w:val="222222"/>
                <w:sz w:val="18"/>
              </w:rPr>
              <w:t xml:space="preserve">  g) Unallocated</w:t>
            </w:r>
          </w:p>
        </w:tc>
        <w:tc>
          <w:tcPr>
            <w:tcW w:type="dxa" w:w="1872"/>
            <w:shd w:fill="F9FAFB"/>
            <w:tcMar>
              <w:top w:w="80" w:type="dxa"/>
              <w:bottom w:w="80" w:type="dxa"/>
              <w:left w:w="100" w:type="dxa"/>
              <w:right w:w="100" w:type="dxa"/>
            </w:tcMar>
          </w:tcPr>
          <w:p>
            <w:pPr>
              <w:jc w:val="right"/>
            </w:pPr>
            <w:r>
              <w:rPr>
                <w:rFonts w:ascii="Calibri" w:hAnsi="Calibri"/>
                <w:color w:val="222222"/>
                <w:sz w:val="18"/>
              </w:rPr>
              <w:t>39,498.81</w:t>
            </w:r>
          </w:p>
        </w:tc>
        <w:tc>
          <w:tcPr>
            <w:tcW w:type="dxa" w:w="1872"/>
            <w:shd w:fill="F9FAFB"/>
            <w:tcMar>
              <w:top w:w="80" w:type="dxa"/>
              <w:bottom w:w="80" w:type="dxa"/>
              <w:left w:w="100" w:type="dxa"/>
              <w:right w:w="100" w:type="dxa"/>
            </w:tcMar>
          </w:tcPr>
          <w:p>
            <w:pPr>
              <w:jc w:val="right"/>
            </w:pPr>
            <w:r>
              <w:rPr>
                <w:rFonts w:ascii="Calibri" w:hAnsi="Calibri"/>
                <w:color w:val="222222"/>
                <w:sz w:val="18"/>
              </w:rPr>
              <w:t>40,648.08</w:t>
            </w:r>
          </w:p>
        </w:tc>
        <w:tc>
          <w:tcPr>
            <w:tcW w:type="dxa" w:w="1872"/>
            <w:shd w:fill="F9FAFB"/>
            <w:tcMar>
              <w:top w:w="80" w:type="dxa"/>
              <w:bottom w:w="80" w:type="dxa"/>
              <w:left w:w="100" w:type="dxa"/>
              <w:right w:w="100" w:type="dxa"/>
            </w:tcMar>
          </w:tcPr>
          <w:p>
            <w:pPr>
              <w:jc w:val="right"/>
            </w:pPr>
            <w:r>
              <w:rPr>
                <w:rFonts w:ascii="Calibri" w:hAnsi="Calibri"/>
                <w:color w:val="222222"/>
                <w:sz w:val="18"/>
              </w:rPr>
              <w:t>49,441.01</w:t>
            </w:r>
          </w:p>
        </w:tc>
        <w:tc>
          <w:tcPr>
            <w:tcW w:type="dxa" w:w="1872"/>
            <w:shd w:fill="F9FAFB"/>
            <w:tcMar>
              <w:top w:w="80" w:type="dxa"/>
              <w:bottom w:w="80" w:type="dxa"/>
              <w:left w:w="100" w:type="dxa"/>
              <w:right w:w="100" w:type="dxa"/>
            </w:tcMar>
          </w:tcPr>
          <w:p>
            <w:pPr>
              <w:jc w:val="right"/>
            </w:pPr>
            <w:r>
              <w:rPr>
                <w:rFonts w:ascii="Calibri" w:hAnsi="Calibri"/>
                <w:color w:val="222222"/>
                <w:sz w:val="18"/>
              </w:rPr>
              <w:t>40,648.08</w:t>
            </w:r>
          </w:p>
        </w:tc>
      </w:tr>
      <w:tr>
        <w:tc>
          <w:tcPr>
            <w:tcW w:type="dxa" w:w="1872"/>
            <w:shd w:fill="FFFFFF"/>
            <w:tcMar>
              <w:top w:w="80" w:type="dxa"/>
              <w:bottom w:w="80" w:type="dxa"/>
              <w:left w:w="100" w:type="dxa"/>
              <w:right w:w="100" w:type="dxa"/>
            </w:tcMar>
          </w:tcPr>
          <w:p>
            <w:pPr>
              <w:jc w:val="left"/>
            </w:pPr>
            <w:r>
              <w:rPr>
                <w:rFonts w:ascii="Calibri" w:hAnsi="Calibri"/>
                <w:color w:val="222222"/>
                <w:sz w:val="18"/>
              </w:rPr>
              <w:t xml:space="preserve">  Total Segment Liabilities</w:t>
            </w:r>
          </w:p>
        </w:tc>
        <w:tc>
          <w:tcPr>
            <w:tcW w:type="dxa" w:w="1872"/>
            <w:shd w:fill="FFFFFF"/>
            <w:tcMar>
              <w:top w:w="80" w:type="dxa"/>
              <w:bottom w:w="80" w:type="dxa"/>
              <w:left w:w="100" w:type="dxa"/>
              <w:right w:w="100" w:type="dxa"/>
            </w:tcMar>
          </w:tcPr>
          <w:p>
            <w:pPr>
              <w:jc w:val="right"/>
            </w:pPr>
            <w:r>
              <w:rPr>
                <w:rFonts w:ascii="Calibri" w:hAnsi="Calibri"/>
                <w:color w:val="222222"/>
                <w:sz w:val="18"/>
              </w:rPr>
              <w:t>43,42,088.28</w:t>
            </w:r>
          </w:p>
        </w:tc>
        <w:tc>
          <w:tcPr>
            <w:tcW w:type="dxa" w:w="1872"/>
            <w:shd w:fill="FFFFFF"/>
            <w:tcMar>
              <w:top w:w="80" w:type="dxa"/>
              <w:bottom w:w="80" w:type="dxa"/>
              <w:left w:w="100" w:type="dxa"/>
              <w:right w:w="100" w:type="dxa"/>
            </w:tcMar>
          </w:tcPr>
          <w:p>
            <w:pPr>
              <w:jc w:val="right"/>
            </w:pPr>
            <w:r>
              <w:rPr>
                <w:rFonts w:ascii="Calibri" w:hAnsi="Calibri"/>
                <w:color w:val="222222"/>
                <w:sz w:val="18"/>
              </w:rPr>
              <w:t>42,99,596.41</w:t>
            </w:r>
          </w:p>
        </w:tc>
        <w:tc>
          <w:tcPr>
            <w:tcW w:type="dxa" w:w="1872"/>
            <w:shd w:fill="FFFFFF"/>
            <w:tcMar>
              <w:top w:w="80" w:type="dxa"/>
              <w:bottom w:w="80" w:type="dxa"/>
              <w:left w:w="100" w:type="dxa"/>
              <w:right w:w="100" w:type="dxa"/>
            </w:tcMar>
          </w:tcPr>
          <w:p>
            <w:pPr>
              <w:jc w:val="right"/>
            </w:pPr>
            <w:r>
              <w:rPr>
                <w:rFonts w:ascii="Calibri" w:hAnsi="Calibri"/>
                <w:color w:val="222222"/>
                <w:sz w:val="18"/>
              </w:rPr>
              <w:t>38,92,900.34</w:t>
            </w:r>
          </w:p>
        </w:tc>
        <w:tc>
          <w:tcPr>
            <w:tcW w:type="dxa" w:w="1872"/>
            <w:shd w:fill="FFFFFF"/>
            <w:tcMar>
              <w:top w:w="80" w:type="dxa"/>
              <w:bottom w:w="80" w:type="dxa"/>
              <w:left w:w="100" w:type="dxa"/>
              <w:right w:w="100" w:type="dxa"/>
            </w:tcMar>
          </w:tcPr>
          <w:p>
            <w:pPr>
              <w:jc w:val="right"/>
            </w:pPr>
            <w:r>
              <w:rPr>
                <w:rFonts w:ascii="Calibri" w:hAnsi="Calibri"/>
                <w:color w:val="222222"/>
                <w:sz w:val="18"/>
              </w:rPr>
              <w:t>42,99,596.41</w:t>
            </w:r>
          </w:p>
        </w:tc>
      </w:tr>
      <w:tr>
        <w:tc>
          <w:tcPr>
            <w:tcW w:type="dxa" w:w="1872"/>
            <w:shd w:fill="F9FAFB"/>
            <w:tcMar>
              <w:top w:w="80" w:type="dxa"/>
              <w:bottom w:w="80" w:type="dxa"/>
              <w:left w:w="100" w:type="dxa"/>
              <w:right w:w="100" w:type="dxa"/>
            </w:tcMar>
          </w:tcPr>
          <w:p>
            <w:pPr>
              <w:jc w:val="left"/>
            </w:pPr>
            <w:r>
              <w:rPr>
                <w:rFonts w:ascii="Calibri" w:hAnsi="Calibri"/>
                <w:color w:val="222222"/>
                <w:sz w:val="18"/>
              </w:rPr>
              <w:t>5. Capital, ESOPs &amp; Reserves</w:t>
            </w:r>
          </w:p>
        </w:tc>
        <w:tc>
          <w:tcPr>
            <w:tcW w:type="dxa" w:w="1872"/>
            <w:shd w:fill="F9FAFB"/>
            <w:tcMar>
              <w:top w:w="80" w:type="dxa"/>
              <w:bottom w:w="80" w:type="dxa"/>
              <w:left w:w="100" w:type="dxa"/>
              <w:right w:w="100" w:type="dxa"/>
            </w:tcMar>
          </w:tcPr>
          <w:p>
            <w:pPr>
              <w:jc w:val="right"/>
            </w:pPr>
            <w:r>
              <w:rPr>
                <w:rFonts w:ascii="Calibri" w:hAnsi="Calibri"/>
                <w:color w:val="222222"/>
                <w:sz w:val="18"/>
              </w:rPr>
              <w:t>6,29,385.38</w:t>
            </w:r>
          </w:p>
        </w:tc>
        <w:tc>
          <w:tcPr>
            <w:tcW w:type="dxa" w:w="1872"/>
            <w:shd w:fill="F9FAFB"/>
            <w:tcMar>
              <w:top w:w="80" w:type="dxa"/>
              <w:bottom w:w="80" w:type="dxa"/>
              <w:left w:w="100" w:type="dxa"/>
              <w:right w:w="100" w:type="dxa"/>
            </w:tcMar>
          </w:tcPr>
          <w:p>
            <w:pPr>
              <w:jc w:val="right"/>
            </w:pPr>
            <w:r>
              <w:rPr>
                <w:rFonts w:ascii="Calibri" w:hAnsi="Calibri"/>
                <w:color w:val="222222"/>
                <w:sz w:val="18"/>
              </w:rPr>
              <w:t>6,08,444.43</w:t>
            </w:r>
          </w:p>
        </w:tc>
        <w:tc>
          <w:tcPr>
            <w:tcW w:type="dxa" w:w="1872"/>
            <w:shd w:fill="F9FAFB"/>
            <w:tcMar>
              <w:top w:w="80" w:type="dxa"/>
              <w:bottom w:w="80" w:type="dxa"/>
              <w:left w:w="100" w:type="dxa"/>
              <w:right w:w="100" w:type="dxa"/>
            </w:tcMar>
          </w:tcPr>
          <w:p>
            <w:pPr>
              <w:jc w:val="right"/>
            </w:pPr>
            <w:r>
              <w:rPr>
                <w:rFonts w:ascii="Calibri" w:hAnsi="Calibri"/>
                <w:color w:val="222222"/>
                <w:sz w:val="18"/>
              </w:rPr>
              <w:t>5,63,147.70</w:t>
            </w:r>
          </w:p>
        </w:tc>
        <w:tc>
          <w:tcPr>
            <w:tcW w:type="dxa" w:w="1872"/>
            <w:shd w:fill="F9FAFB"/>
            <w:tcMar>
              <w:top w:w="80" w:type="dxa"/>
              <w:bottom w:w="80" w:type="dxa"/>
              <w:left w:w="100" w:type="dxa"/>
              <w:right w:w="100" w:type="dxa"/>
            </w:tcMar>
          </w:tcPr>
          <w:p>
            <w:pPr>
              <w:jc w:val="right"/>
            </w:pPr>
            <w:r>
              <w:rPr>
                <w:rFonts w:ascii="Calibri" w:hAnsi="Calibri"/>
                <w:color w:val="222222"/>
                <w:sz w:val="18"/>
              </w:rPr>
              <w:t>6,08,444.43</w:t>
            </w:r>
          </w:p>
        </w:tc>
      </w:tr>
      <w:tr>
        <w:tc>
          <w:tcPr>
            <w:tcW w:type="dxa" w:w="1872"/>
            <w:shd w:fill="FFFFFF"/>
            <w:tcMar>
              <w:top w:w="80" w:type="dxa"/>
              <w:bottom w:w="80" w:type="dxa"/>
              <w:left w:w="100" w:type="dxa"/>
              <w:right w:w="100" w:type="dxa"/>
            </w:tcMar>
          </w:tcPr>
          <w:p>
            <w:pPr>
              <w:jc w:val="left"/>
            </w:pPr>
            <w:r>
              <w:rPr>
                <w:rFonts w:ascii="Calibri" w:hAnsi="Calibri"/>
                <w:color w:val="222222"/>
                <w:sz w:val="18"/>
              </w:rPr>
              <w:t>6. Total Liabilities &amp; Equity</w:t>
            </w:r>
          </w:p>
        </w:tc>
        <w:tc>
          <w:tcPr>
            <w:tcW w:type="dxa" w:w="1872"/>
            <w:shd w:fill="FFFFFF"/>
            <w:tcMar>
              <w:top w:w="80" w:type="dxa"/>
              <w:bottom w:w="80" w:type="dxa"/>
              <w:left w:w="100" w:type="dxa"/>
              <w:right w:w="100" w:type="dxa"/>
            </w:tcMar>
          </w:tcPr>
          <w:p>
            <w:pPr>
              <w:jc w:val="right"/>
            </w:pPr>
            <w:r>
              <w:rPr>
                <w:rFonts w:ascii="Calibri" w:hAnsi="Calibri"/>
                <w:color w:val="222222"/>
                <w:sz w:val="18"/>
              </w:rPr>
              <w:t>49,71,473.66</w:t>
            </w:r>
          </w:p>
        </w:tc>
        <w:tc>
          <w:tcPr>
            <w:tcW w:type="dxa" w:w="1872"/>
            <w:shd w:fill="FFFFFF"/>
            <w:tcMar>
              <w:top w:w="80" w:type="dxa"/>
              <w:bottom w:w="80" w:type="dxa"/>
              <w:left w:w="100" w:type="dxa"/>
              <w:right w:w="100" w:type="dxa"/>
            </w:tcMar>
          </w:tcPr>
          <w:p>
            <w:pPr>
              <w:jc w:val="right"/>
            </w:pPr>
            <w:r>
              <w:rPr>
                <w:rFonts w:ascii="Calibri" w:hAnsi="Calibri"/>
                <w:color w:val="222222"/>
                <w:sz w:val="18"/>
              </w:rPr>
              <w:t>49,08,040.84</w:t>
            </w:r>
          </w:p>
        </w:tc>
        <w:tc>
          <w:tcPr>
            <w:tcW w:type="dxa" w:w="1872"/>
            <w:shd w:fill="FFFFFF"/>
            <w:tcMar>
              <w:top w:w="80" w:type="dxa"/>
              <w:bottom w:w="80" w:type="dxa"/>
              <w:left w:w="100" w:type="dxa"/>
              <w:right w:w="100" w:type="dxa"/>
            </w:tcMar>
          </w:tcPr>
          <w:p>
            <w:pPr>
              <w:jc w:val="right"/>
            </w:pPr>
            <w:r>
              <w:rPr>
                <w:rFonts w:ascii="Calibri" w:hAnsi="Calibri"/>
                <w:color w:val="222222"/>
                <w:sz w:val="18"/>
              </w:rPr>
              <w:t>44,56,048.04</w:t>
            </w:r>
          </w:p>
        </w:tc>
        <w:tc>
          <w:tcPr>
            <w:tcW w:type="dxa" w:w="1872"/>
            <w:shd w:fill="FFFFFF"/>
            <w:tcMar>
              <w:top w:w="80" w:type="dxa"/>
              <w:bottom w:w="80" w:type="dxa"/>
              <w:left w:w="100" w:type="dxa"/>
              <w:right w:w="100" w:type="dxa"/>
            </w:tcMar>
          </w:tcPr>
          <w:p>
            <w:pPr>
              <w:jc w:val="right"/>
            </w:pPr>
            <w:r>
              <w:rPr>
                <w:rFonts w:ascii="Calibri" w:hAnsi="Calibri"/>
                <w:color w:val="222222"/>
                <w:sz w:val="18"/>
              </w:rPr>
              <w:t>49,08,040.84</w:t>
            </w:r>
          </w:p>
        </w:tc>
      </w:tr>
    </w:tbl>
    <w:p>
      <w:pPr>
        <w:spacing w:after="240"/>
      </w:pPr>
      <w:r>
        <w:t>**Includes HDFC Life and HDFC ERGO operations. ^Includes other non-banking consolidated entities.</w:t>
      </w:r>
    </w:p>
    <w:p>
      <w:pPr>
        <w:pStyle w:val="Heading2"/>
      </w:pPr>
      <w:r>
        <w:t>Table 9: Consolidated Statement of Assets and Liabilities (Note 1) (₹ in crore)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003366"/>
            <w:tcMar>
              <w:top w:w="100" w:type="dxa"/>
              <w:bottom w:w="100" w:type="dxa"/>
              <w:left w:w="100" w:type="dxa"/>
              <w:right w:w="100" w:type="dxa"/>
            </w:tcMar>
          </w:tcPr>
          <w:p>
            <w:pPr>
              <w:jc w:val="left"/>
            </w:pPr>
            <w:r>
              <w:rPr>
                <w:rFonts w:ascii="Calibri" w:hAnsi="Calibri"/>
                <w:b/>
                <w:color w:val="FFFFFF"/>
                <w:sz w:val="19"/>
              </w:rPr>
              <w:t>Particulars</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30.06.2026 (Unaudited)</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30.06.2025 (Unaudited)</w:t>
            </w:r>
          </w:p>
        </w:tc>
        <w:tc>
          <w:tcPr>
            <w:tcW w:type="dxa" w:w="2340"/>
            <w:shd w:fill="003366"/>
            <w:tcMar>
              <w:top w:w="100" w:type="dxa"/>
              <w:bottom w:w="100" w:type="dxa"/>
              <w:left w:w="100" w:type="dxa"/>
              <w:right w:w="100" w:type="dxa"/>
            </w:tcMar>
          </w:tcPr>
          <w:p>
            <w:pPr>
              <w:jc w:val="left"/>
            </w:pPr>
            <w:r>
              <w:rPr>
                <w:rFonts w:ascii="Calibri" w:hAnsi="Calibri"/>
                <w:b/>
                <w:color w:val="FFFFFF"/>
                <w:sz w:val="19"/>
              </w:rPr>
              <w:t>As at 31.03.2026 (Audited)</w:t>
            </w:r>
          </w:p>
        </w:tc>
      </w:tr>
      <w:tr>
        <w:tc>
          <w:tcPr>
            <w:tcW w:type="dxa" w:w="2340"/>
            <w:shd w:fill="FFFFFF"/>
            <w:tcMar>
              <w:top w:w="80" w:type="dxa"/>
              <w:bottom w:w="80" w:type="dxa"/>
              <w:left w:w="100" w:type="dxa"/>
              <w:right w:w="100" w:type="dxa"/>
            </w:tcMar>
          </w:tcPr>
          <w:p>
            <w:pPr>
              <w:jc w:val="left"/>
            </w:pPr>
            <w:r>
              <w:rPr>
                <w:rFonts w:ascii="Calibri" w:hAnsi="Calibri"/>
                <w:color w:val="222222"/>
                <w:sz w:val="18"/>
              </w:rPr>
              <w:t>CAPITAL AND LIABILITIES</w:t>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Capital</w:t>
            </w:r>
          </w:p>
        </w:tc>
        <w:tc>
          <w:tcPr>
            <w:tcW w:type="dxa" w:w="2340"/>
            <w:shd w:fill="F9FAFB"/>
            <w:tcMar>
              <w:top w:w="80" w:type="dxa"/>
              <w:bottom w:w="80" w:type="dxa"/>
              <w:left w:w="100" w:type="dxa"/>
              <w:right w:w="100" w:type="dxa"/>
            </w:tcMar>
          </w:tcPr>
          <w:p>
            <w:pPr>
              <w:jc w:val="right"/>
            </w:pPr>
            <w:r>
              <w:rPr>
                <w:rFonts w:ascii="Calibri" w:hAnsi="Calibri"/>
                <w:color w:val="222222"/>
                <w:sz w:val="18"/>
              </w:rPr>
              <w:t>1,540.13</w:t>
            </w:r>
          </w:p>
        </w:tc>
        <w:tc>
          <w:tcPr>
            <w:tcW w:type="dxa" w:w="2340"/>
            <w:shd w:fill="F9FAFB"/>
            <w:tcMar>
              <w:top w:w="80" w:type="dxa"/>
              <w:bottom w:w="80" w:type="dxa"/>
              <w:left w:w="100" w:type="dxa"/>
              <w:right w:w="100" w:type="dxa"/>
            </w:tcMar>
          </w:tcPr>
          <w:p>
            <w:pPr>
              <w:jc w:val="right"/>
            </w:pPr>
            <w:r>
              <w:rPr>
                <w:rFonts w:ascii="Calibri" w:hAnsi="Calibri"/>
                <w:color w:val="222222"/>
                <w:sz w:val="18"/>
              </w:rPr>
              <w:t>766.79</w:t>
            </w:r>
          </w:p>
        </w:tc>
        <w:tc>
          <w:tcPr>
            <w:tcW w:type="dxa" w:w="2340"/>
            <w:shd w:fill="F9FAFB"/>
            <w:tcMar>
              <w:top w:w="80" w:type="dxa"/>
              <w:bottom w:w="80" w:type="dxa"/>
              <w:left w:w="100" w:type="dxa"/>
              <w:right w:w="100" w:type="dxa"/>
            </w:tcMar>
          </w:tcPr>
          <w:p>
            <w:pPr>
              <w:jc w:val="right"/>
            </w:pPr>
            <w:r>
              <w:rPr>
                <w:rFonts w:ascii="Calibri" w:hAnsi="Calibri"/>
                <w:color w:val="222222"/>
                <w:sz w:val="18"/>
              </w:rPr>
              <w:t>1,539.34</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Employees stock options / units outstanding</w:t>
            </w:r>
          </w:p>
        </w:tc>
        <w:tc>
          <w:tcPr>
            <w:tcW w:type="dxa" w:w="2340"/>
            <w:shd w:fill="FFFFFF"/>
            <w:tcMar>
              <w:top w:w="80" w:type="dxa"/>
              <w:bottom w:w="80" w:type="dxa"/>
              <w:left w:w="100" w:type="dxa"/>
              <w:right w:w="100" w:type="dxa"/>
            </w:tcMar>
          </w:tcPr>
          <w:p>
            <w:pPr>
              <w:jc w:val="right"/>
            </w:pPr>
            <w:r>
              <w:rPr>
                <w:rFonts w:ascii="Calibri" w:hAnsi="Calibri"/>
                <w:color w:val="222222"/>
                <w:sz w:val="18"/>
              </w:rPr>
              <w:t>4,894.56</w:t>
            </w:r>
          </w:p>
        </w:tc>
        <w:tc>
          <w:tcPr>
            <w:tcW w:type="dxa" w:w="2340"/>
            <w:shd w:fill="FFFFFF"/>
            <w:tcMar>
              <w:top w:w="80" w:type="dxa"/>
              <w:bottom w:w="80" w:type="dxa"/>
              <w:left w:w="100" w:type="dxa"/>
              <w:right w:w="100" w:type="dxa"/>
            </w:tcMar>
          </w:tcPr>
          <w:p>
            <w:pPr>
              <w:jc w:val="right"/>
            </w:pPr>
            <w:r>
              <w:rPr>
                <w:rFonts w:ascii="Calibri" w:hAnsi="Calibri"/>
                <w:color w:val="222222"/>
                <w:sz w:val="18"/>
              </w:rPr>
              <w:t>4,043.72</w:t>
            </w:r>
          </w:p>
        </w:tc>
        <w:tc>
          <w:tcPr>
            <w:tcW w:type="dxa" w:w="2340"/>
            <w:shd w:fill="FFFFFF"/>
            <w:tcMar>
              <w:top w:w="80" w:type="dxa"/>
              <w:bottom w:w="80" w:type="dxa"/>
              <w:left w:w="100" w:type="dxa"/>
              <w:right w:w="100" w:type="dxa"/>
            </w:tcMar>
          </w:tcPr>
          <w:p>
            <w:pPr>
              <w:jc w:val="right"/>
            </w:pPr>
            <w:r>
              <w:rPr>
                <w:rFonts w:ascii="Calibri" w:hAnsi="Calibri"/>
                <w:color w:val="222222"/>
                <w:sz w:val="18"/>
              </w:rPr>
              <w:t>4,545.11</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Reserves and surplus</w:t>
            </w:r>
          </w:p>
        </w:tc>
        <w:tc>
          <w:tcPr>
            <w:tcW w:type="dxa" w:w="2340"/>
            <w:shd w:fill="F9FAFB"/>
            <w:tcMar>
              <w:top w:w="80" w:type="dxa"/>
              <w:bottom w:w="80" w:type="dxa"/>
              <w:left w:w="100" w:type="dxa"/>
              <w:right w:w="100" w:type="dxa"/>
            </w:tcMar>
          </w:tcPr>
          <w:p>
            <w:pPr>
              <w:jc w:val="right"/>
            </w:pPr>
            <w:r>
              <w:rPr>
                <w:rFonts w:ascii="Calibri" w:hAnsi="Calibri"/>
                <w:color w:val="222222"/>
                <w:sz w:val="18"/>
              </w:rPr>
              <w:t>5,99,871.21</w:t>
            </w:r>
          </w:p>
        </w:tc>
        <w:tc>
          <w:tcPr>
            <w:tcW w:type="dxa" w:w="2340"/>
            <w:shd w:fill="F9FAFB"/>
            <w:tcMar>
              <w:top w:w="80" w:type="dxa"/>
              <w:bottom w:w="80" w:type="dxa"/>
              <w:left w:w="100" w:type="dxa"/>
              <w:right w:w="100" w:type="dxa"/>
            </w:tcMar>
          </w:tcPr>
          <w:p>
            <w:pPr>
              <w:jc w:val="right"/>
            </w:pPr>
            <w:r>
              <w:rPr>
                <w:rFonts w:ascii="Calibri" w:hAnsi="Calibri"/>
                <w:color w:val="222222"/>
                <w:sz w:val="18"/>
              </w:rPr>
              <w:t>5,37,823.51</w:t>
            </w:r>
          </w:p>
        </w:tc>
        <w:tc>
          <w:tcPr>
            <w:tcW w:type="dxa" w:w="2340"/>
            <w:shd w:fill="F9FAFB"/>
            <w:tcMar>
              <w:top w:w="80" w:type="dxa"/>
              <w:bottom w:w="80" w:type="dxa"/>
              <w:left w:w="100" w:type="dxa"/>
              <w:right w:w="100" w:type="dxa"/>
            </w:tcMar>
          </w:tcPr>
          <w:p>
            <w:pPr>
              <w:jc w:val="right"/>
            </w:pPr>
            <w:r>
              <w:rPr>
                <w:rFonts w:ascii="Calibri" w:hAnsi="Calibri"/>
                <w:color w:val="222222"/>
                <w:sz w:val="18"/>
              </w:rPr>
              <w:t>5,79,975.02</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Minority interest</w:t>
            </w:r>
          </w:p>
        </w:tc>
        <w:tc>
          <w:tcPr>
            <w:tcW w:type="dxa" w:w="2340"/>
            <w:shd w:fill="FFFFFF"/>
            <w:tcMar>
              <w:top w:w="80" w:type="dxa"/>
              <w:bottom w:w="80" w:type="dxa"/>
              <w:left w:w="100" w:type="dxa"/>
              <w:right w:w="100" w:type="dxa"/>
            </w:tcMar>
          </w:tcPr>
          <w:p>
            <w:pPr>
              <w:jc w:val="right"/>
            </w:pPr>
            <w:r>
              <w:rPr>
                <w:rFonts w:ascii="Calibri" w:hAnsi="Calibri"/>
                <w:color w:val="222222"/>
                <w:sz w:val="18"/>
              </w:rPr>
              <w:t>23,079.48</w:t>
            </w:r>
          </w:p>
        </w:tc>
        <w:tc>
          <w:tcPr>
            <w:tcW w:type="dxa" w:w="2340"/>
            <w:shd w:fill="FFFFFF"/>
            <w:tcMar>
              <w:top w:w="80" w:type="dxa"/>
              <w:bottom w:w="80" w:type="dxa"/>
              <w:left w:w="100" w:type="dxa"/>
              <w:right w:w="100" w:type="dxa"/>
            </w:tcMar>
          </w:tcPr>
          <w:p>
            <w:pPr>
              <w:jc w:val="right"/>
            </w:pPr>
            <w:r>
              <w:rPr>
                <w:rFonts w:ascii="Calibri" w:hAnsi="Calibri"/>
                <w:color w:val="222222"/>
                <w:sz w:val="18"/>
              </w:rPr>
              <w:t>20,513.68</w:t>
            </w:r>
          </w:p>
        </w:tc>
        <w:tc>
          <w:tcPr>
            <w:tcW w:type="dxa" w:w="2340"/>
            <w:shd w:fill="FFFFFF"/>
            <w:tcMar>
              <w:top w:w="80" w:type="dxa"/>
              <w:bottom w:w="80" w:type="dxa"/>
              <w:left w:w="100" w:type="dxa"/>
              <w:right w:w="100" w:type="dxa"/>
            </w:tcMar>
          </w:tcPr>
          <w:p>
            <w:pPr>
              <w:jc w:val="right"/>
            </w:pPr>
            <w:r>
              <w:rPr>
                <w:rFonts w:ascii="Calibri" w:hAnsi="Calibri"/>
                <w:color w:val="222222"/>
                <w:sz w:val="18"/>
              </w:rPr>
              <w:t>22,384.96</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Deposits</w:t>
            </w:r>
          </w:p>
        </w:tc>
        <w:tc>
          <w:tcPr>
            <w:tcW w:type="dxa" w:w="2340"/>
            <w:shd w:fill="F9FAFB"/>
            <w:tcMar>
              <w:top w:w="80" w:type="dxa"/>
              <w:bottom w:w="80" w:type="dxa"/>
              <w:left w:w="100" w:type="dxa"/>
              <w:right w:w="100" w:type="dxa"/>
            </w:tcMar>
          </w:tcPr>
          <w:p>
            <w:pPr>
              <w:jc w:val="right"/>
            </w:pPr>
            <w:r>
              <w:rPr>
                <w:rFonts w:ascii="Calibri" w:hAnsi="Calibri"/>
                <w:color w:val="222222"/>
                <w:sz w:val="18"/>
              </w:rPr>
              <w:t>31,67,330.55</w:t>
            </w:r>
          </w:p>
        </w:tc>
        <w:tc>
          <w:tcPr>
            <w:tcW w:type="dxa" w:w="2340"/>
            <w:shd w:fill="F9FAFB"/>
            <w:tcMar>
              <w:top w:w="80" w:type="dxa"/>
              <w:bottom w:w="80" w:type="dxa"/>
              <w:left w:w="100" w:type="dxa"/>
              <w:right w:w="100" w:type="dxa"/>
            </w:tcMar>
          </w:tcPr>
          <w:p>
            <w:pPr>
              <w:jc w:val="right"/>
            </w:pPr>
            <w:r>
              <w:rPr>
                <w:rFonts w:ascii="Calibri" w:hAnsi="Calibri"/>
                <w:color w:val="222222"/>
                <w:sz w:val="18"/>
              </w:rPr>
              <w:t>27,56,487.50</w:t>
            </w:r>
          </w:p>
        </w:tc>
        <w:tc>
          <w:tcPr>
            <w:tcW w:type="dxa" w:w="2340"/>
            <w:shd w:fill="F9FAFB"/>
            <w:tcMar>
              <w:top w:w="80" w:type="dxa"/>
              <w:bottom w:w="80" w:type="dxa"/>
              <w:left w:w="100" w:type="dxa"/>
              <w:right w:w="100" w:type="dxa"/>
            </w:tcMar>
          </w:tcPr>
          <w:p>
            <w:pPr>
              <w:jc w:val="right"/>
            </w:pPr>
            <w:r>
              <w:rPr>
                <w:rFonts w:ascii="Calibri" w:hAnsi="Calibri"/>
                <w:color w:val="222222"/>
                <w:sz w:val="18"/>
              </w:rPr>
              <w:t>30,99,638.29</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Borrowings</w:t>
            </w:r>
          </w:p>
        </w:tc>
        <w:tc>
          <w:tcPr>
            <w:tcW w:type="dxa" w:w="2340"/>
            <w:shd w:fill="FFFFFF"/>
            <w:tcMar>
              <w:top w:w="80" w:type="dxa"/>
              <w:bottom w:w="80" w:type="dxa"/>
              <w:left w:w="100" w:type="dxa"/>
              <w:right w:w="100" w:type="dxa"/>
            </w:tcMar>
          </w:tcPr>
          <w:p>
            <w:pPr>
              <w:jc w:val="right"/>
            </w:pPr>
            <w:r>
              <w:rPr>
                <w:rFonts w:ascii="Calibri" w:hAnsi="Calibri"/>
                <w:color w:val="222222"/>
                <w:sz w:val="18"/>
              </w:rPr>
              <w:t>5,65,871.38</w:t>
            </w:r>
          </w:p>
        </w:tc>
        <w:tc>
          <w:tcPr>
            <w:tcW w:type="dxa" w:w="2340"/>
            <w:shd w:fill="FFFFFF"/>
            <w:tcMar>
              <w:top w:w="80" w:type="dxa"/>
              <w:bottom w:w="80" w:type="dxa"/>
              <w:left w:w="100" w:type="dxa"/>
              <w:right w:w="100" w:type="dxa"/>
            </w:tcMar>
          </w:tcPr>
          <w:p>
            <w:pPr>
              <w:jc w:val="right"/>
            </w:pPr>
            <w:r>
              <w:rPr>
                <w:rFonts w:ascii="Calibri" w:hAnsi="Calibri"/>
                <w:color w:val="222222"/>
                <w:sz w:val="18"/>
              </w:rPr>
              <w:t>5,99,612.81</w:t>
            </w:r>
          </w:p>
        </w:tc>
        <w:tc>
          <w:tcPr>
            <w:tcW w:type="dxa" w:w="2340"/>
            <w:shd w:fill="FFFFFF"/>
            <w:tcMar>
              <w:top w:w="80" w:type="dxa"/>
              <w:bottom w:w="80" w:type="dxa"/>
              <w:left w:w="100" w:type="dxa"/>
              <w:right w:w="100" w:type="dxa"/>
            </w:tcMar>
          </w:tcPr>
          <w:p>
            <w:pPr>
              <w:jc w:val="right"/>
            </w:pPr>
            <w:r>
              <w:rPr>
                <w:rFonts w:ascii="Calibri" w:hAnsi="Calibri"/>
                <w:color w:val="222222"/>
                <w:sz w:val="18"/>
              </w:rPr>
              <w:t>5,88,484.55</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Other liabilities and provisions</w:t>
            </w:r>
          </w:p>
        </w:tc>
        <w:tc>
          <w:tcPr>
            <w:tcW w:type="dxa" w:w="2340"/>
            <w:shd w:fill="F9FAFB"/>
            <w:tcMar>
              <w:top w:w="80" w:type="dxa"/>
              <w:bottom w:w="80" w:type="dxa"/>
              <w:left w:w="100" w:type="dxa"/>
              <w:right w:w="100" w:type="dxa"/>
            </w:tcMar>
          </w:tcPr>
          <w:p>
            <w:pPr>
              <w:jc w:val="right"/>
            </w:pPr>
            <w:r>
              <w:rPr>
                <w:rFonts w:ascii="Calibri" w:hAnsi="Calibri"/>
                <w:color w:val="222222"/>
                <w:sz w:val="18"/>
              </w:rPr>
              <w:t>2,26,751.15</w:t>
            </w:r>
          </w:p>
        </w:tc>
        <w:tc>
          <w:tcPr>
            <w:tcW w:type="dxa" w:w="2340"/>
            <w:shd w:fill="F9FAFB"/>
            <w:tcMar>
              <w:top w:w="80" w:type="dxa"/>
              <w:bottom w:w="80" w:type="dxa"/>
              <w:left w:w="100" w:type="dxa"/>
              <w:right w:w="100" w:type="dxa"/>
            </w:tcMar>
          </w:tcPr>
          <w:p>
            <w:pPr>
              <w:jc w:val="right"/>
            </w:pPr>
            <w:r>
              <w:rPr>
                <w:rFonts w:ascii="Calibri" w:hAnsi="Calibri"/>
                <w:color w:val="222222"/>
                <w:sz w:val="18"/>
              </w:rPr>
              <w:t>1,98,051.73</w:t>
            </w:r>
          </w:p>
        </w:tc>
        <w:tc>
          <w:tcPr>
            <w:tcW w:type="dxa" w:w="2340"/>
            <w:shd w:fill="F9FAFB"/>
            <w:tcMar>
              <w:top w:w="80" w:type="dxa"/>
              <w:bottom w:w="80" w:type="dxa"/>
              <w:left w:w="100" w:type="dxa"/>
              <w:right w:w="100" w:type="dxa"/>
            </w:tcMar>
          </w:tcPr>
          <w:p>
            <w:pPr>
              <w:jc w:val="right"/>
            </w:pPr>
            <w:r>
              <w:rPr>
                <w:rFonts w:ascii="Calibri" w:hAnsi="Calibri"/>
                <w:color w:val="222222"/>
                <w:sz w:val="18"/>
              </w:rPr>
              <w:t>2,52,977.53</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Policyholders' funds</w:t>
            </w:r>
          </w:p>
        </w:tc>
        <w:tc>
          <w:tcPr>
            <w:tcW w:type="dxa" w:w="2340"/>
            <w:shd w:fill="FFFFFF"/>
            <w:tcMar>
              <w:top w:w="80" w:type="dxa"/>
              <w:bottom w:w="80" w:type="dxa"/>
              <w:left w:w="100" w:type="dxa"/>
              <w:right w:w="100" w:type="dxa"/>
            </w:tcMar>
          </w:tcPr>
          <w:p>
            <w:pPr>
              <w:jc w:val="right"/>
            </w:pPr>
            <w:r>
              <w:rPr>
                <w:rFonts w:ascii="Calibri" w:hAnsi="Calibri"/>
                <w:color w:val="222222"/>
                <w:sz w:val="18"/>
              </w:rPr>
              <w:t>3,82,135.20</w:t>
            </w:r>
          </w:p>
        </w:tc>
        <w:tc>
          <w:tcPr>
            <w:tcW w:type="dxa" w:w="2340"/>
            <w:shd w:fill="FFFFFF"/>
            <w:tcMar>
              <w:top w:w="80" w:type="dxa"/>
              <w:bottom w:w="80" w:type="dxa"/>
              <w:left w:w="100" w:type="dxa"/>
              <w:right w:w="100" w:type="dxa"/>
            </w:tcMar>
          </w:tcPr>
          <w:p>
            <w:pPr>
              <w:jc w:val="right"/>
            </w:pPr>
            <w:r>
              <w:rPr>
                <w:rFonts w:ascii="Calibri" w:hAnsi="Calibri"/>
                <w:color w:val="222222"/>
                <w:sz w:val="18"/>
              </w:rPr>
              <w:t>3,38,748.30</w:t>
            </w:r>
          </w:p>
        </w:tc>
        <w:tc>
          <w:tcPr>
            <w:tcW w:type="dxa" w:w="2340"/>
            <w:shd w:fill="FFFFFF"/>
            <w:tcMar>
              <w:top w:w="80" w:type="dxa"/>
              <w:bottom w:w="80" w:type="dxa"/>
              <w:left w:w="100" w:type="dxa"/>
              <w:right w:w="100" w:type="dxa"/>
            </w:tcMar>
          </w:tcPr>
          <w:p>
            <w:pPr>
              <w:jc w:val="right"/>
            </w:pPr>
            <w:r>
              <w:rPr>
                <w:rFonts w:ascii="Calibri" w:hAnsi="Calibri"/>
                <w:color w:val="222222"/>
                <w:sz w:val="18"/>
              </w:rPr>
              <w:t>3,58,496.04</w:t>
            </w:r>
          </w:p>
        </w:tc>
      </w:tr>
      <w:tr>
        <w:tc>
          <w:tcPr>
            <w:tcW w:type="dxa" w:w="2340"/>
            <w:shd w:fill="F9FAFB"/>
            <w:tcMar>
              <w:top w:w="80" w:type="dxa"/>
              <w:bottom w:w="80" w:type="dxa"/>
              <w:left w:w="100" w:type="dxa"/>
              <w:right w:w="100" w:type="dxa"/>
            </w:tcMar>
          </w:tcPr>
          <w:p>
            <w:pPr>
              <w:jc w:val="left"/>
            </w:pPr>
            <w:r>
              <w:rPr>
                <w:rFonts w:ascii="Calibri" w:hAnsi="Calibri"/>
                <w:color w:val="222222"/>
                <w:sz w:val="18"/>
              </w:rPr>
              <w:t>TOTAL CAPITAL AND LIABILITIES</w:t>
            </w:r>
          </w:p>
        </w:tc>
        <w:tc>
          <w:tcPr>
            <w:tcW w:type="dxa" w:w="2340"/>
            <w:shd w:fill="F9FAFB"/>
            <w:tcMar>
              <w:top w:w="80" w:type="dxa"/>
              <w:bottom w:w="80" w:type="dxa"/>
              <w:left w:w="100" w:type="dxa"/>
              <w:right w:w="100" w:type="dxa"/>
            </w:tcMar>
          </w:tcPr>
          <w:p>
            <w:pPr>
              <w:jc w:val="right"/>
            </w:pPr>
            <w:r>
              <w:rPr>
                <w:rFonts w:ascii="Calibri" w:hAnsi="Calibri"/>
                <w:color w:val="222222"/>
                <w:sz w:val="18"/>
              </w:rPr>
              <w:t>49,71,473.66</w:t>
            </w:r>
          </w:p>
        </w:tc>
        <w:tc>
          <w:tcPr>
            <w:tcW w:type="dxa" w:w="2340"/>
            <w:shd w:fill="F9FAFB"/>
            <w:tcMar>
              <w:top w:w="80" w:type="dxa"/>
              <w:bottom w:w="80" w:type="dxa"/>
              <w:left w:w="100" w:type="dxa"/>
              <w:right w:w="100" w:type="dxa"/>
            </w:tcMar>
          </w:tcPr>
          <w:p>
            <w:pPr>
              <w:jc w:val="right"/>
            </w:pPr>
            <w:r>
              <w:rPr>
                <w:rFonts w:ascii="Calibri" w:hAnsi="Calibri"/>
                <w:color w:val="222222"/>
                <w:sz w:val="18"/>
              </w:rPr>
              <w:t>44,56,048.04</w:t>
            </w:r>
          </w:p>
        </w:tc>
        <w:tc>
          <w:tcPr>
            <w:tcW w:type="dxa" w:w="2340"/>
            <w:shd w:fill="F9FAFB"/>
            <w:tcMar>
              <w:top w:w="80" w:type="dxa"/>
              <w:bottom w:w="80" w:type="dxa"/>
              <w:left w:w="100" w:type="dxa"/>
              <w:right w:w="100" w:type="dxa"/>
            </w:tcMar>
          </w:tcPr>
          <w:p>
            <w:pPr>
              <w:jc w:val="right"/>
            </w:pPr>
            <w:r>
              <w:rPr>
                <w:rFonts w:ascii="Calibri" w:hAnsi="Calibri"/>
                <w:color w:val="222222"/>
                <w:sz w:val="18"/>
              </w:rPr>
              <w:t>49,08,040.84</w:t>
            </w:r>
          </w:p>
        </w:tc>
      </w:tr>
      <w:tr>
        <w:tc>
          <w:tcPr>
            <w:tcW w:type="dxa" w:w="2340"/>
            <w:shd w:fill="FFFFFF"/>
            <w:tcMar>
              <w:top w:w="80" w:type="dxa"/>
              <w:bottom w:w="80" w:type="dxa"/>
              <w:left w:w="100" w:type="dxa"/>
              <w:right w:w="100" w:type="dxa"/>
            </w:tcMar>
          </w:tcPr>
          <w:p>
            <w:pPr>
              <w:jc w:val="left"/>
            </w:pPr>
            <w:r>
              <w:rPr>
                <w:rFonts w:ascii="Calibri" w:hAnsi="Calibri"/>
                <w:color w:val="222222"/>
                <w:sz w:val="18"/>
              </w:rPr>
              <w:t>ASSETS</w:t>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c>
          <w:tcPr>
            <w:tcW w:type="dxa" w:w="2340"/>
            <w:shd w:fill="FFFFFF"/>
            <w:tcMar>
              <w:top w:w="80" w:type="dxa"/>
              <w:bottom w:w="80" w:type="dxa"/>
              <w:left w:w="100" w:type="dxa"/>
              <w:right w:w="100" w:type="dxa"/>
            </w:tcMar>
          </w:tcPr>
          <w:p>
            <w:pPr>
              <w:jc w:val="left"/>
            </w:pPr>
            <w:r>
              <w:rPr>
                <w:rFonts w:ascii="Calibri" w:hAnsi="Calibri"/>
                <w:color w:val="222222"/>
                <w:sz w:val="18"/>
              </w:rPr>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Cash and balances with Reserve Bank of India</w:t>
            </w:r>
          </w:p>
        </w:tc>
        <w:tc>
          <w:tcPr>
            <w:tcW w:type="dxa" w:w="2340"/>
            <w:shd w:fill="F9FAFB"/>
            <w:tcMar>
              <w:top w:w="80" w:type="dxa"/>
              <w:bottom w:w="80" w:type="dxa"/>
              <w:left w:w="100" w:type="dxa"/>
              <w:right w:w="100" w:type="dxa"/>
            </w:tcMar>
          </w:tcPr>
          <w:p>
            <w:pPr>
              <w:jc w:val="right"/>
            </w:pPr>
            <w:r>
              <w:rPr>
                <w:rFonts w:ascii="Calibri" w:hAnsi="Calibri"/>
                <w:color w:val="222222"/>
                <w:sz w:val="18"/>
              </w:rPr>
              <w:t>1,50,579.79</w:t>
            </w:r>
          </w:p>
        </w:tc>
        <w:tc>
          <w:tcPr>
            <w:tcW w:type="dxa" w:w="2340"/>
            <w:shd w:fill="F9FAFB"/>
            <w:tcMar>
              <w:top w:w="80" w:type="dxa"/>
              <w:bottom w:w="80" w:type="dxa"/>
              <w:left w:w="100" w:type="dxa"/>
              <w:right w:w="100" w:type="dxa"/>
            </w:tcMar>
          </w:tcPr>
          <w:p>
            <w:pPr>
              <w:jc w:val="right"/>
            </w:pPr>
            <w:r>
              <w:rPr>
                <w:rFonts w:ascii="Calibri" w:hAnsi="Calibri"/>
                <w:color w:val="222222"/>
                <w:sz w:val="18"/>
              </w:rPr>
              <w:t>1,42,561.88</w:t>
            </w:r>
          </w:p>
        </w:tc>
        <w:tc>
          <w:tcPr>
            <w:tcW w:type="dxa" w:w="2340"/>
            <w:shd w:fill="F9FAFB"/>
            <w:tcMar>
              <w:top w:w="80" w:type="dxa"/>
              <w:bottom w:w="80" w:type="dxa"/>
              <w:left w:w="100" w:type="dxa"/>
              <w:right w:w="100" w:type="dxa"/>
            </w:tcMar>
          </w:tcPr>
          <w:p>
            <w:pPr>
              <w:jc w:val="right"/>
            </w:pPr>
            <w:r>
              <w:rPr>
                <w:rFonts w:ascii="Calibri" w:hAnsi="Calibri"/>
                <w:color w:val="222222"/>
                <w:sz w:val="18"/>
              </w:rPr>
              <w:t>2,00,707.11</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Balances with banks &amp; money at call / short notice</w:t>
            </w:r>
          </w:p>
        </w:tc>
        <w:tc>
          <w:tcPr>
            <w:tcW w:type="dxa" w:w="2340"/>
            <w:shd w:fill="FFFFFF"/>
            <w:tcMar>
              <w:top w:w="80" w:type="dxa"/>
              <w:bottom w:w="80" w:type="dxa"/>
              <w:left w:w="100" w:type="dxa"/>
              <w:right w:w="100" w:type="dxa"/>
            </w:tcMar>
          </w:tcPr>
          <w:p>
            <w:pPr>
              <w:jc w:val="right"/>
            </w:pPr>
            <w:r>
              <w:rPr>
                <w:rFonts w:ascii="Calibri" w:hAnsi="Calibri"/>
                <w:color w:val="222222"/>
                <w:sz w:val="18"/>
              </w:rPr>
              <w:t>87,186.84</w:t>
            </w:r>
          </w:p>
        </w:tc>
        <w:tc>
          <w:tcPr>
            <w:tcW w:type="dxa" w:w="2340"/>
            <w:shd w:fill="FFFFFF"/>
            <w:tcMar>
              <w:top w:w="80" w:type="dxa"/>
              <w:bottom w:w="80" w:type="dxa"/>
              <w:left w:w="100" w:type="dxa"/>
              <w:right w:w="100" w:type="dxa"/>
            </w:tcMar>
          </w:tcPr>
          <w:p>
            <w:pPr>
              <w:jc w:val="right"/>
            </w:pPr>
            <w:r>
              <w:rPr>
                <w:rFonts w:ascii="Calibri" w:hAnsi="Calibri"/>
                <w:color w:val="222222"/>
                <w:sz w:val="18"/>
              </w:rPr>
              <w:t>72,050.90</w:t>
            </w:r>
          </w:p>
        </w:tc>
        <w:tc>
          <w:tcPr>
            <w:tcW w:type="dxa" w:w="2340"/>
            <w:shd w:fill="FFFFFF"/>
            <w:tcMar>
              <w:top w:w="80" w:type="dxa"/>
              <w:bottom w:w="80" w:type="dxa"/>
              <w:left w:w="100" w:type="dxa"/>
              <w:right w:w="100" w:type="dxa"/>
            </w:tcMar>
          </w:tcPr>
          <w:p>
            <w:pPr>
              <w:jc w:val="right"/>
            </w:pPr>
            <w:r>
              <w:rPr>
                <w:rFonts w:ascii="Calibri" w:hAnsi="Calibri"/>
                <w:color w:val="222222"/>
                <w:sz w:val="18"/>
              </w:rPr>
              <w:t>1,11,218.94</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Investments</w:t>
            </w:r>
          </w:p>
        </w:tc>
        <w:tc>
          <w:tcPr>
            <w:tcW w:type="dxa" w:w="2340"/>
            <w:shd w:fill="F9FAFB"/>
            <w:tcMar>
              <w:top w:w="80" w:type="dxa"/>
              <w:bottom w:w="80" w:type="dxa"/>
              <w:left w:w="100" w:type="dxa"/>
              <w:right w:w="100" w:type="dxa"/>
            </w:tcMar>
          </w:tcPr>
          <w:p>
            <w:pPr>
              <w:jc w:val="right"/>
            </w:pPr>
            <w:r>
              <w:rPr>
                <w:rFonts w:ascii="Calibri" w:hAnsi="Calibri"/>
                <w:color w:val="222222"/>
                <w:sz w:val="18"/>
              </w:rPr>
              <w:t>13,39,916.99</w:t>
            </w:r>
          </w:p>
        </w:tc>
        <w:tc>
          <w:tcPr>
            <w:tcW w:type="dxa" w:w="2340"/>
            <w:shd w:fill="F9FAFB"/>
            <w:tcMar>
              <w:top w:w="80" w:type="dxa"/>
              <w:bottom w:w="80" w:type="dxa"/>
              <w:left w:w="100" w:type="dxa"/>
              <w:right w:w="100" w:type="dxa"/>
            </w:tcMar>
          </w:tcPr>
          <w:p>
            <w:pPr>
              <w:jc w:val="right"/>
            </w:pPr>
            <w:r>
              <w:rPr>
                <w:rFonts w:ascii="Calibri" w:hAnsi="Calibri"/>
                <w:color w:val="222222"/>
                <w:sz w:val="18"/>
              </w:rPr>
              <w:t>12,65,771.54</w:t>
            </w:r>
          </w:p>
        </w:tc>
        <w:tc>
          <w:tcPr>
            <w:tcW w:type="dxa" w:w="2340"/>
            <w:shd w:fill="F9FAFB"/>
            <w:tcMar>
              <w:top w:w="80" w:type="dxa"/>
              <w:bottom w:w="80" w:type="dxa"/>
              <w:left w:w="100" w:type="dxa"/>
              <w:right w:w="100" w:type="dxa"/>
            </w:tcMar>
          </w:tcPr>
          <w:p>
            <w:pPr>
              <w:jc w:val="right"/>
            </w:pPr>
            <w:r>
              <w:rPr>
                <w:rFonts w:ascii="Calibri" w:hAnsi="Calibri"/>
                <w:color w:val="222222"/>
                <w:sz w:val="18"/>
              </w:rPr>
              <w:t>12,80,216.29</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Advances</w:t>
            </w:r>
          </w:p>
        </w:tc>
        <w:tc>
          <w:tcPr>
            <w:tcW w:type="dxa" w:w="2340"/>
            <w:shd w:fill="FFFFFF"/>
            <w:tcMar>
              <w:top w:w="80" w:type="dxa"/>
              <w:bottom w:w="80" w:type="dxa"/>
              <w:left w:w="100" w:type="dxa"/>
              <w:right w:w="100" w:type="dxa"/>
            </w:tcMar>
          </w:tcPr>
          <w:p>
            <w:pPr>
              <w:jc w:val="right"/>
            </w:pPr>
            <w:r>
              <w:rPr>
                <w:rFonts w:ascii="Calibri" w:hAnsi="Calibri"/>
                <w:color w:val="222222"/>
                <w:sz w:val="18"/>
              </w:rPr>
              <w:t>31,56,014.45</w:t>
            </w:r>
          </w:p>
        </w:tc>
        <w:tc>
          <w:tcPr>
            <w:tcW w:type="dxa" w:w="2340"/>
            <w:shd w:fill="FFFFFF"/>
            <w:tcMar>
              <w:top w:w="80" w:type="dxa"/>
              <w:bottom w:w="80" w:type="dxa"/>
              <w:left w:w="100" w:type="dxa"/>
              <w:right w:w="100" w:type="dxa"/>
            </w:tcMar>
          </w:tcPr>
          <w:p>
            <w:pPr>
              <w:jc w:val="right"/>
            </w:pPr>
            <w:r>
              <w:rPr>
                <w:rFonts w:ascii="Calibri" w:hAnsi="Calibri"/>
                <w:color w:val="222222"/>
                <w:sz w:val="18"/>
              </w:rPr>
              <w:t>27,35,109.92</w:t>
            </w:r>
          </w:p>
        </w:tc>
        <w:tc>
          <w:tcPr>
            <w:tcW w:type="dxa" w:w="2340"/>
            <w:shd w:fill="FFFFFF"/>
            <w:tcMar>
              <w:top w:w="80" w:type="dxa"/>
              <w:bottom w:w="80" w:type="dxa"/>
              <w:left w:w="100" w:type="dxa"/>
              <w:right w:w="100" w:type="dxa"/>
            </w:tcMar>
          </w:tcPr>
          <w:p>
            <w:pPr>
              <w:jc w:val="right"/>
            </w:pPr>
            <w:r>
              <w:rPr>
                <w:rFonts w:ascii="Calibri" w:hAnsi="Calibri"/>
                <w:color w:val="222222"/>
                <w:sz w:val="18"/>
              </w:rPr>
              <w:t>30,50,783.23</w:t>
            </w:r>
          </w:p>
        </w:tc>
      </w:tr>
      <w:tr>
        <w:tc>
          <w:tcPr>
            <w:tcW w:type="dxa" w:w="2340"/>
            <w:shd w:fill="F9FAFB"/>
            <w:tcMar>
              <w:top w:w="80" w:type="dxa"/>
              <w:bottom w:w="80" w:type="dxa"/>
              <w:left w:w="100" w:type="dxa"/>
              <w:right w:w="100" w:type="dxa"/>
            </w:tcMar>
          </w:tcPr>
          <w:p>
            <w:pPr>
              <w:jc w:val="left"/>
            </w:pPr>
            <w:r>
              <w:rPr>
                <w:rFonts w:ascii="Calibri" w:hAnsi="Calibri"/>
                <w:color w:val="222222"/>
                <w:sz w:val="18"/>
              </w:rPr>
              <w:t xml:space="preserve">  Fixed assets</w:t>
            </w:r>
          </w:p>
        </w:tc>
        <w:tc>
          <w:tcPr>
            <w:tcW w:type="dxa" w:w="2340"/>
            <w:shd w:fill="F9FAFB"/>
            <w:tcMar>
              <w:top w:w="80" w:type="dxa"/>
              <w:bottom w:w="80" w:type="dxa"/>
              <w:left w:w="100" w:type="dxa"/>
              <w:right w:w="100" w:type="dxa"/>
            </w:tcMar>
          </w:tcPr>
          <w:p>
            <w:pPr>
              <w:jc w:val="right"/>
            </w:pPr>
            <w:r>
              <w:rPr>
                <w:rFonts w:ascii="Calibri" w:hAnsi="Calibri"/>
                <w:color w:val="222222"/>
                <w:sz w:val="18"/>
              </w:rPr>
              <w:t>16,333.29</w:t>
            </w:r>
          </w:p>
        </w:tc>
        <w:tc>
          <w:tcPr>
            <w:tcW w:type="dxa" w:w="2340"/>
            <w:shd w:fill="F9FAFB"/>
            <w:tcMar>
              <w:top w:w="80" w:type="dxa"/>
              <w:bottom w:w="80" w:type="dxa"/>
              <w:left w:w="100" w:type="dxa"/>
              <w:right w:w="100" w:type="dxa"/>
            </w:tcMar>
          </w:tcPr>
          <w:p>
            <w:pPr>
              <w:jc w:val="right"/>
            </w:pPr>
            <w:r>
              <w:rPr>
                <w:rFonts w:ascii="Calibri" w:hAnsi="Calibri"/>
                <w:color w:val="222222"/>
                <w:sz w:val="18"/>
              </w:rPr>
              <w:t>15,439.01</w:t>
            </w:r>
          </w:p>
        </w:tc>
        <w:tc>
          <w:tcPr>
            <w:tcW w:type="dxa" w:w="2340"/>
            <w:shd w:fill="F9FAFB"/>
            <w:tcMar>
              <w:top w:w="80" w:type="dxa"/>
              <w:bottom w:w="80" w:type="dxa"/>
              <w:left w:w="100" w:type="dxa"/>
              <w:right w:w="100" w:type="dxa"/>
            </w:tcMar>
          </w:tcPr>
          <w:p>
            <w:pPr>
              <w:jc w:val="right"/>
            </w:pPr>
            <w:r>
              <w:rPr>
                <w:rFonts w:ascii="Calibri" w:hAnsi="Calibri"/>
                <w:color w:val="222222"/>
                <w:sz w:val="18"/>
              </w:rPr>
              <w:t>16,491.59</w:t>
            </w:r>
          </w:p>
        </w:tc>
      </w:tr>
      <w:tr>
        <w:tc>
          <w:tcPr>
            <w:tcW w:type="dxa" w:w="2340"/>
            <w:shd w:fill="FFFFFF"/>
            <w:tcMar>
              <w:top w:w="80" w:type="dxa"/>
              <w:bottom w:w="80" w:type="dxa"/>
              <w:left w:w="100" w:type="dxa"/>
              <w:right w:w="100" w:type="dxa"/>
            </w:tcMar>
          </w:tcPr>
          <w:p>
            <w:pPr>
              <w:jc w:val="left"/>
            </w:pPr>
            <w:r>
              <w:rPr>
                <w:rFonts w:ascii="Calibri" w:hAnsi="Calibri"/>
                <w:color w:val="222222"/>
                <w:sz w:val="18"/>
              </w:rPr>
              <w:t xml:space="preserve">  Other assets</w:t>
            </w:r>
          </w:p>
        </w:tc>
        <w:tc>
          <w:tcPr>
            <w:tcW w:type="dxa" w:w="2340"/>
            <w:shd w:fill="FFFFFF"/>
            <w:tcMar>
              <w:top w:w="80" w:type="dxa"/>
              <w:bottom w:w="80" w:type="dxa"/>
              <w:left w:w="100" w:type="dxa"/>
              <w:right w:w="100" w:type="dxa"/>
            </w:tcMar>
          </w:tcPr>
          <w:p>
            <w:pPr>
              <w:jc w:val="right"/>
            </w:pPr>
            <w:r>
              <w:rPr>
                <w:rFonts w:ascii="Calibri" w:hAnsi="Calibri"/>
                <w:color w:val="222222"/>
                <w:sz w:val="18"/>
              </w:rPr>
              <w:t>2,21,442.30</w:t>
            </w:r>
          </w:p>
        </w:tc>
        <w:tc>
          <w:tcPr>
            <w:tcW w:type="dxa" w:w="2340"/>
            <w:shd w:fill="FFFFFF"/>
            <w:tcMar>
              <w:top w:w="80" w:type="dxa"/>
              <w:bottom w:w="80" w:type="dxa"/>
              <w:left w:w="100" w:type="dxa"/>
              <w:right w:w="100" w:type="dxa"/>
            </w:tcMar>
          </w:tcPr>
          <w:p>
            <w:pPr>
              <w:jc w:val="right"/>
            </w:pPr>
            <w:r>
              <w:rPr>
                <w:rFonts w:ascii="Calibri" w:hAnsi="Calibri"/>
                <w:color w:val="222222"/>
                <w:sz w:val="18"/>
              </w:rPr>
              <w:t>2,25,114.79</w:t>
            </w:r>
          </w:p>
        </w:tc>
        <w:tc>
          <w:tcPr>
            <w:tcW w:type="dxa" w:w="2340"/>
            <w:shd w:fill="FFFFFF"/>
            <w:tcMar>
              <w:top w:w="80" w:type="dxa"/>
              <w:bottom w:w="80" w:type="dxa"/>
              <w:left w:w="100" w:type="dxa"/>
              <w:right w:w="100" w:type="dxa"/>
            </w:tcMar>
          </w:tcPr>
          <w:p>
            <w:pPr>
              <w:jc w:val="right"/>
            </w:pPr>
            <w:r>
              <w:rPr>
                <w:rFonts w:ascii="Calibri" w:hAnsi="Calibri"/>
                <w:color w:val="222222"/>
                <w:sz w:val="18"/>
              </w:rPr>
              <w:t>2,48,623.68</w:t>
            </w:r>
          </w:p>
        </w:tc>
      </w:tr>
      <w:tr>
        <w:tc>
          <w:tcPr>
            <w:tcW w:type="dxa" w:w="2340"/>
            <w:shd w:fill="F9FAFB"/>
            <w:tcMar>
              <w:top w:w="80" w:type="dxa"/>
              <w:bottom w:w="80" w:type="dxa"/>
              <w:left w:w="100" w:type="dxa"/>
              <w:right w:w="100" w:type="dxa"/>
            </w:tcMar>
          </w:tcPr>
          <w:p>
            <w:pPr>
              <w:jc w:val="left"/>
            </w:pPr>
            <w:r>
              <w:rPr>
                <w:rFonts w:ascii="Calibri" w:hAnsi="Calibri"/>
                <w:color w:val="222222"/>
                <w:sz w:val="18"/>
              </w:rPr>
              <w:t>TOTAL ASSETS</w:t>
            </w:r>
          </w:p>
        </w:tc>
        <w:tc>
          <w:tcPr>
            <w:tcW w:type="dxa" w:w="2340"/>
            <w:shd w:fill="F9FAFB"/>
            <w:tcMar>
              <w:top w:w="80" w:type="dxa"/>
              <w:bottom w:w="80" w:type="dxa"/>
              <w:left w:w="100" w:type="dxa"/>
              <w:right w:w="100" w:type="dxa"/>
            </w:tcMar>
          </w:tcPr>
          <w:p>
            <w:pPr>
              <w:jc w:val="right"/>
            </w:pPr>
            <w:r>
              <w:rPr>
                <w:rFonts w:ascii="Calibri" w:hAnsi="Calibri"/>
                <w:color w:val="222222"/>
                <w:sz w:val="18"/>
              </w:rPr>
              <w:t>49,71,473.66</w:t>
            </w:r>
          </w:p>
        </w:tc>
        <w:tc>
          <w:tcPr>
            <w:tcW w:type="dxa" w:w="2340"/>
            <w:shd w:fill="F9FAFB"/>
            <w:tcMar>
              <w:top w:w="80" w:type="dxa"/>
              <w:bottom w:w="80" w:type="dxa"/>
              <w:left w:w="100" w:type="dxa"/>
              <w:right w:w="100" w:type="dxa"/>
            </w:tcMar>
          </w:tcPr>
          <w:p>
            <w:pPr>
              <w:jc w:val="right"/>
            </w:pPr>
            <w:r>
              <w:rPr>
                <w:rFonts w:ascii="Calibri" w:hAnsi="Calibri"/>
                <w:color w:val="222222"/>
                <w:sz w:val="18"/>
              </w:rPr>
              <w:t>44,56,048.04</w:t>
            </w:r>
          </w:p>
        </w:tc>
        <w:tc>
          <w:tcPr>
            <w:tcW w:type="dxa" w:w="2340"/>
            <w:shd w:fill="F9FAFB"/>
            <w:tcMar>
              <w:top w:w="80" w:type="dxa"/>
              <w:bottom w:w="80" w:type="dxa"/>
              <w:left w:w="100" w:type="dxa"/>
              <w:right w:w="100" w:type="dxa"/>
            </w:tcMar>
          </w:tcPr>
          <w:p>
            <w:pPr>
              <w:jc w:val="right"/>
            </w:pPr>
            <w:r>
              <w:rPr>
                <w:rFonts w:ascii="Calibri" w:hAnsi="Calibri"/>
                <w:color w:val="222222"/>
                <w:sz w:val="18"/>
              </w:rPr>
              <w:t>49,08,040.84</w:t>
            </w:r>
          </w:p>
        </w:tc>
      </w:tr>
    </w:tbl>
    <w:p>
      <w:pPr>
        <w:spacing w:after="320"/>
      </w:pPr>
    </w:p>
    <w:p>
      <w:r>
        <w:br w:type="page"/>
      </w:r>
    </w:p>
    <w:p>
      <w:pPr>
        <w:pStyle w:val="Heading1"/>
      </w:pPr>
      <w:r>
        <w:t>Part V: Consolidated Auditors' Report &amp; List of Consolidated Entities</w:t>
      </w:r>
    </w:p>
    <w:p>
      <w:pPr>
        <w:spacing w:after="240"/>
      </w:pPr>
      <w:r>
        <w:t>Independent Auditors' Limited Review Report on Consolidated Financial Results of HDFC Bank Limited</w:t>
        <w:br/>
        <w:br/>
        <w:t>To the Board of Directors of HDFC Bank Limited</w:t>
        <w:br/>
        <w:br/>
        <w:t>1. We have reviewed the accompanying Statement of Unaudited Consolidated Financial Results of HDFC Bank Limited ('the Parent' / 'the Bank') and its subsidiaries (together referred to as 'the Group') for the quarter ended June 30, 2026 ('the Statement'), submitted pursuant to Regulation 33 and Regulation 52(4) of SEBI Listing Regulations, except for consolidated Basel III Pillar 3 disclosures.</w:t>
        <w:br/>
        <w:br/>
        <w:t>2. Management Responsibility &amp; Compliance: Prepared in accordance with AS 25 Interim Financial Reporting, Banking Regulation Act 1949, RBI guidelines, and IRDAI guidelines for insurance subsidiaries.</w:t>
        <w:br/>
        <w:br/>
        <w:t>3. Scope &amp; Actuarial Reliance:</w:t>
        <w:br/>
        <w:t xml:space="preserve">  • Life Insurance Policy Liabilities: Relied upon Appointed Actuary's certificate of HDFC Life Insurance Company Limited.</w:t>
        <w:br/>
        <w:t xml:space="preserve">  • Non-Life IBNR/IBNER Reserves: Relied upon Appointed Actuary's certificate of HDFC ERGO General Insurance Company Limited.</w:t>
        <w:br/>
        <w:br/>
        <w:t>4. Conclusion: Nothing has come to our attention that causes us to believe that the Statement contains any material misstatement.</w:t>
        <w:br/>
        <w:br/>
        <w:t>Joint Statutory Auditors Signatures:</w:t>
        <w:br/>
        <w:t>For B S R &amp; Co. LLP (Firm Reg No: 101248W/W-100022)</w:t>
        <w:br/>
        <w:t>Sudhir Soni (Partner, Mem No: 041870 | UDIN: 26041870GKNRHZ4725)</w:t>
        <w:br/>
        <w:br/>
        <w:t>For Batliboi &amp; Purohit (Firm Reg No: 101048W)</w:t>
        <w:br/>
        <w:t>Janak Mehta (Partner, Mem No: 116976 | UDIN: 26116976KJDYQU8402)</w:t>
        <w:br/>
        <w:t>Place: Mumbai | Date: July 18, 2026</w:t>
      </w:r>
    </w:p>
    <w:p>
      <w:pPr>
        <w:pStyle w:val="Heading2"/>
      </w:pPr>
      <w:r>
        <w:t>Table 10: Annexure I — List of Entities Included in Consolidated Results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003366"/>
            <w:tcMar>
              <w:top w:w="100" w:type="dxa"/>
              <w:bottom w:w="100" w:type="dxa"/>
              <w:left w:w="100" w:type="dxa"/>
              <w:right w:w="100" w:type="dxa"/>
            </w:tcMar>
          </w:tcPr>
          <w:p>
            <w:pPr>
              <w:jc w:val="left"/>
            </w:pPr>
            <w:r>
              <w:rPr>
                <w:rFonts w:ascii="Calibri" w:hAnsi="Calibri"/>
                <w:b/>
                <w:color w:val="FFFFFF"/>
                <w:sz w:val="19"/>
              </w:rPr>
              <w:t>Sr. No.</w:t>
            </w:r>
          </w:p>
        </w:tc>
        <w:tc>
          <w:tcPr>
            <w:tcW w:type="dxa" w:w="2340"/>
            <w:shd w:fill="003366"/>
            <w:tcMar>
              <w:top w:w="100" w:type="dxa"/>
              <w:bottom w:w="100" w:type="dxa"/>
              <w:left w:w="100" w:type="dxa"/>
              <w:right w:w="100" w:type="dxa"/>
            </w:tcMar>
          </w:tcPr>
          <w:p>
            <w:pPr>
              <w:jc w:val="left"/>
            </w:pPr>
            <w:r>
              <w:rPr>
                <w:rFonts w:ascii="Calibri" w:hAnsi="Calibri"/>
                <w:b/>
                <w:color w:val="FFFFFF"/>
                <w:sz w:val="19"/>
              </w:rPr>
              <w:t>Name of Entity</w:t>
            </w:r>
          </w:p>
        </w:tc>
        <w:tc>
          <w:tcPr>
            <w:tcW w:type="dxa" w:w="2340"/>
            <w:shd w:fill="003366"/>
            <w:tcMar>
              <w:top w:w="100" w:type="dxa"/>
              <w:bottom w:w="100" w:type="dxa"/>
              <w:left w:w="100" w:type="dxa"/>
              <w:right w:w="100" w:type="dxa"/>
            </w:tcMar>
          </w:tcPr>
          <w:p>
            <w:pPr>
              <w:jc w:val="left"/>
            </w:pPr>
            <w:r>
              <w:rPr>
                <w:rFonts w:ascii="Calibri" w:hAnsi="Calibri"/>
                <w:b/>
                <w:color w:val="FFFFFF"/>
                <w:sz w:val="19"/>
              </w:rPr>
              <w:t>Relationship</w:t>
            </w:r>
          </w:p>
        </w:tc>
        <w:tc>
          <w:tcPr>
            <w:tcW w:type="dxa" w:w="2340"/>
            <w:shd w:fill="003366"/>
            <w:tcMar>
              <w:top w:w="100" w:type="dxa"/>
              <w:bottom w:w="100" w:type="dxa"/>
              <w:left w:w="100" w:type="dxa"/>
              <w:right w:w="100" w:type="dxa"/>
            </w:tcMar>
          </w:tcPr>
          <w:p>
            <w:pPr>
              <w:jc w:val="left"/>
            </w:pPr>
            <w:r>
              <w:rPr>
                <w:rFonts w:ascii="Calibri" w:hAnsi="Calibri"/>
                <w:b/>
                <w:color w:val="FFFFFF"/>
                <w:sz w:val="19"/>
              </w:rPr>
              <w:t>Location / Notes</w:t>
            </w:r>
          </w:p>
        </w:tc>
      </w:tr>
      <w:tr>
        <w:tc>
          <w:tcPr>
            <w:tcW w:type="dxa" w:w="2340"/>
            <w:shd w:fill="FFFFFF"/>
            <w:tcMar>
              <w:top w:w="80" w:type="dxa"/>
              <w:bottom w:w="80" w:type="dxa"/>
              <w:left w:w="100" w:type="dxa"/>
              <w:right w:w="100" w:type="dxa"/>
            </w:tcMar>
          </w:tcPr>
          <w:p>
            <w:pPr>
              <w:jc w:val="left"/>
            </w:pPr>
            <w:r>
              <w:rPr>
                <w:rFonts w:ascii="Calibri" w:hAnsi="Calibri"/>
                <w:color w:val="222222"/>
                <w:sz w:val="18"/>
              </w:rPr>
              <w:t>1</w:t>
            </w:r>
          </w:p>
        </w:tc>
        <w:tc>
          <w:tcPr>
            <w:tcW w:type="dxa" w:w="2340"/>
            <w:shd w:fill="FFFFFF"/>
            <w:tcMar>
              <w:top w:w="80" w:type="dxa"/>
              <w:bottom w:w="80" w:type="dxa"/>
              <w:left w:w="100" w:type="dxa"/>
              <w:right w:w="100" w:type="dxa"/>
            </w:tcMar>
          </w:tcPr>
          <w:p>
            <w:pPr>
              <w:jc w:val="left"/>
            </w:pPr>
            <w:r>
              <w:rPr>
                <w:rFonts w:ascii="Calibri" w:hAnsi="Calibri"/>
                <w:color w:val="222222"/>
                <w:sz w:val="18"/>
              </w:rPr>
              <w:t>HDFC Bank Limited</w:t>
            </w:r>
          </w:p>
        </w:tc>
        <w:tc>
          <w:tcPr>
            <w:tcW w:type="dxa" w:w="2340"/>
            <w:shd w:fill="FFFFFF"/>
            <w:tcMar>
              <w:top w:w="80" w:type="dxa"/>
              <w:bottom w:w="80" w:type="dxa"/>
              <w:left w:w="100" w:type="dxa"/>
              <w:right w:w="100" w:type="dxa"/>
            </w:tcMar>
          </w:tcPr>
          <w:p>
            <w:pPr>
              <w:jc w:val="left"/>
            </w:pPr>
            <w:r>
              <w:rPr>
                <w:rFonts w:ascii="Calibri" w:hAnsi="Calibri"/>
                <w:color w:val="222222"/>
                <w:sz w:val="18"/>
              </w:rPr>
              <w:t>Parent Entity</w:t>
            </w:r>
          </w:p>
        </w:tc>
        <w:tc>
          <w:tcPr>
            <w:tcW w:type="dxa" w:w="2340"/>
            <w:shd w:fill="FFFFFF"/>
            <w:tcMar>
              <w:top w:w="80" w:type="dxa"/>
              <w:bottom w:w="80" w:type="dxa"/>
              <w:left w:w="100" w:type="dxa"/>
              <w:right w:w="100" w:type="dxa"/>
            </w:tcMar>
          </w:tcPr>
          <w:p>
            <w:pPr>
              <w:jc w:val="left"/>
            </w:pPr>
            <w:r>
              <w:rPr>
                <w:rFonts w:ascii="Calibri" w:hAnsi="Calibri"/>
                <w:color w:val="222222"/>
                <w:sz w:val="18"/>
              </w:rPr>
              <w:t>Mumbai, 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2</w:t>
            </w:r>
          </w:p>
        </w:tc>
        <w:tc>
          <w:tcPr>
            <w:tcW w:type="dxa" w:w="2340"/>
            <w:shd w:fill="F9FAFB"/>
            <w:tcMar>
              <w:top w:w="80" w:type="dxa"/>
              <w:bottom w:w="80" w:type="dxa"/>
              <w:left w:w="100" w:type="dxa"/>
              <w:right w:w="100" w:type="dxa"/>
            </w:tcMar>
          </w:tcPr>
          <w:p>
            <w:pPr>
              <w:jc w:val="left"/>
            </w:pPr>
            <w:r>
              <w:rPr>
                <w:rFonts w:ascii="Calibri" w:hAnsi="Calibri"/>
                <w:color w:val="222222"/>
                <w:sz w:val="18"/>
              </w:rPr>
              <w:t>HDFC Life Insurance Company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w:t>
            </w:r>
          </w:p>
        </w:tc>
        <w:tc>
          <w:tcPr>
            <w:tcW w:type="dxa" w:w="2340"/>
            <w:shd w:fill="F9FAFB"/>
            <w:tcMar>
              <w:top w:w="80" w:type="dxa"/>
              <w:bottom w:w="80" w:type="dxa"/>
              <w:left w:w="100" w:type="dxa"/>
              <w:right w:w="100" w:type="dxa"/>
            </w:tcMar>
          </w:tcPr>
          <w:p>
            <w:pPr>
              <w:jc w:val="right"/>
            </w:pPr>
            <w:r>
              <w:rPr>
                <w:rFonts w:ascii="Calibri" w:hAnsi="Calibri"/>
                <w:color w:val="222222"/>
                <w:sz w:val="18"/>
              </w:rPr>
              <w:t>India (50.54% stake)</w:t>
            </w:r>
          </w:p>
        </w:tc>
      </w:tr>
      <w:tr>
        <w:tc>
          <w:tcPr>
            <w:tcW w:type="dxa" w:w="2340"/>
            <w:shd w:fill="FFFFFF"/>
            <w:tcMar>
              <w:top w:w="80" w:type="dxa"/>
              <w:bottom w:w="80" w:type="dxa"/>
              <w:left w:w="100" w:type="dxa"/>
              <w:right w:w="100" w:type="dxa"/>
            </w:tcMar>
          </w:tcPr>
          <w:p>
            <w:pPr>
              <w:jc w:val="left"/>
            </w:pPr>
            <w:r>
              <w:rPr>
                <w:rFonts w:ascii="Calibri" w:hAnsi="Calibri"/>
                <w:color w:val="222222"/>
                <w:sz w:val="18"/>
              </w:rPr>
              <w:t>3</w:t>
            </w:r>
          </w:p>
        </w:tc>
        <w:tc>
          <w:tcPr>
            <w:tcW w:type="dxa" w:w="2340"/>
            <w:shd w:fill="FFFFFF"/>
            <w:tcMar>
              <w:top w:w="80" w:type="dxa"/>
              <w:bottom w:w="80" w:type="dxa"/>
              <w:left w:w="100" w:type="dxa"/>
              <w:right w:w="100" w:type="dxa"/>
            </w:tcMar>
          </w:tcPr>
          <w:p>
            <w:pPr>
              <w:jc w:val="left"/>
            </w:pPr>
            <w:r>
              <w:rPr>
                <w:rFonts w:ascii="Calibri" w:hAnsi="Calibri"/>
                <w:color w:val="222222"/>
                <w:sz w:val="18"/>
              </w:rPr>
              <w:t>HDB Financial Services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w:t>
            </w:r>
          </w:p>
        </w:tc>
        <w:tc>
          <w:tcPr>
            <w:tcW w:type="dxa" w:w="2340"/>
            <w:shd w:fill="FFFFFF"/>
            <w:tcMar>
              <w:top w:w="80" w:type="dxa"/>
              <w:bottom w:w="80" w:type="dxa"/>
              <w:left w:w="100" w:type="dxa"/>
              <w:right w:w="100" w:type="dxa"/>
            </w:tcMar>
          </w:tcPr>
          <w:p>
            <w:pPr>
              <w:jc w:val="left"/>
            </w:pPr>
            <w:r>
              <w:rPr>
                <w:rFonts w:ascii="Calibri" w:hAnsi="Calibri"/>
                <w:color w:val="222222"/>
                <w:sz w:val="18"/>
              </w:rPr>
              <w:t>India (Post-IPO OFS)</w:t>
            </w:r>
          </w:p>
        </w:tc>
      </w:tr>
      <w:tr>
        <w:tc>
          <w:tcPr>
            <w:tcW w:type="dxa" w:w="2340"/>
            <w:shd w:fill="F9FAFB"/>
            <w:tcMar>
              <w:top w:w="80" w:type="dxa"/>
              <w:bottom w:w="80" w:type="dxa"/>
              <w:left w:w="100" w:type="dxa"/>
              <w:right w:w="100" w:type="dxa"/>
            </w:tcMar>
          </w:tcPr>
          <w:p>
            <w:pPr>
              <w:jc w:val="left"/>
            </w:pPr>
            <w:r>
              <w:rPr>
                <w:rFonts w:ascii="Calibri" w:hAnsi="Calibri"/>
                <w:color w:val="222222"/>
                <w:sz w:val="18"/>
              </w:rPr>
              <w:t>4</w:t>
            </w:r>
          </w:p>
        </w:tc>
        <w:tc>
          <w:tcPr>
            <w:tcW w:type="dxa" w:w="2340"/>
            <w:shd w:fill="F9FAFB"/>
            <w:tcMar>
              <w:top w:w="80" w:type="dxa"/>
              <w:bottom w:w="80" w:type="dxa"/>
              <w:left w:w="100" w:type="dxa"/>
              <w:right w:w="100" w:type="dxa"/>
            </w:tcMar>
          </w:tcPr>
          <w:p>
            <w:pPr>
              <w:jc w:val="left"/>
            </w:pPr>
            <w:r>
              <w:rPr>
                <w:rFonts w:ascii="Calibri" w:hAnsi="Calibri"/>
                <w:color w:val="222222"/>
                <w:sz w:val="18"/>
              </w:rPr>
              <w:t>HDFC Securities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w:t>
            </w:r>
          </w:p>
        </w:tc>
        <w:tc>
          <w:tcPr>
            <w:tcW w:type="dxa" w:w="2340"/>
            <w:shd w:fill="F9FAFB"/>
            <w:tcMar>
              <w:top w:w="80" w:type="dxa"/>
              <w:bottom w:w="80" w:type="dxa"/>
              <w:left w:w="100" w:type="dxa"/>
              <w:right w:w="100" w:type="dxa"/>
            </w:tcMar>
          </w:tcPr>
          <w:p>
            <w:pPr>
              <w:jc w:val="left"/>
            </w:pPr>
            <w:r>
              <w:rPr>
                <w:rFonts w:ascii="Calibri" w:hAnsi="Calibri"/>
                <w:color w:val="222222"/>
                <w:sz w:val="18"/>
              </w:rPr>
              <w:t>India</w:t>
            </w:r>
          </w:p>
        </w:tc>
      </w:tr>
      <w:tr>
        <w:tc>
          <w:tcPr>
            <w:tcW w:type="dxa" w:w="2340"/>
            <w:shd w:fill="FFFFFF"/>
            <w:tcMar>
              <w:top w:w="80" w:type="dxa"/>
              <w:bottom w:w="80" w:type="dxa"/>
              <w:left w:w="100" w:type="dxa"/>
              <w:right w:w="100" w:type="dxa"/>
            </w:tcMar>
          </w:tcPr>
          <w:p>
            <w:pPr>
              <w:jc w:val="left"/>
            </w:pPr>
            <w:r>
              <w:rPr>
                <w:rFonts w:ascii="Calibri" w:hAnsi="Calibri"/>
                <w:color w:val="222222"/>
                <w:sz w:val="18"/>
              </w:rPr>
              <w:t>5</w:t>
            </w:r>
          </w:p>
        </w:tc>
        <w:tc>
          <w:tcPr>
            <w:tcW w:type="dxa" w:w="2340"/>
            <w:shd w:fill="FFFFFF"/>
            <w:tcMar>
              <w:top w:w="80" w:type="dxa"/>
              <w:bottom w:w="80" w:type="dxa"/>
              <w:left w:w="100" w:type="dxa"/>
              <w:right w:w="100" w:type="dxa"/>
            </w:tcMar>
          </w:tcPr>
          <w:p>
            <w:pPr>
              <w:jc w:val="left"/>
            </w:pPr>
            <w:r>
              <w:rPr>
                <w:rFonts w:ascii="Calibri" w:hAnsi="Calibri"/>
                <w:color w:val="222222"/>
                <w:sz w:val="18"/>
              </w:rPr>
              <w:t>HDFC Asset Management Company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w:t>
            </w:r>
          </w:p>
        </w:tc>
        <w:tc>
          <w:tcPr>
            <w:tcW w:type="dxa" w:w="2340"/>
            <w:shd w:fill="FFFFFF"/>
            <w:tcMar>
              <w:top w:w="80" w:type="dxa"/>
              <w:bottom w:w="80" w:type="dxa"/>
              <w:left w:w="100" w:type="dxa"/>
              <w:right w:w="100" w:type="dxa"/>
            </w:tcMar>
          </w:tcPr>
          <w:p>
            <w:pPr>
              <w:jc w:val="left"/>
            </w:pPr>
            <w:r>
              <w:rPr>
                <w:rFonts w:ascii="Calibri" w:hAnsi="Calibri"/>
                <w:color w:val="222222"/>
                <w:sz w:val="18"/>
              </w:rPr>
              <w:t>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6</w:t>
            </w:r>
          </w:p>
        </w:tc>
        <w:tc>
          <w:tcPr>
            <w:tcW w:type="dxa" w:w="2340"/>
            <w:shd w:fill="F9FAFB"/>
            <w:tcMar>
              <w:top w:w="80" w:type="dxa"/>
              <w:bottom w:w="80" w:type="dxa"/>
              <w:left w:w="100" w:type="dxa"/>
              <w:right w:w="100" w:type="dxa"/>
            </w:tcMar>
          </w:tcPr>
          <w:p>
            <w:pPr>
              <w:jc w:val="left"/>
            </w:pPr>
            <w:r>
              <w:rPr>
                <w:rFonts w:ascii="Calibri" w:hAnsi="Calibri"/>
                <w:color w:val="222222"/>
                <w:sz w:val="18"/>
              </w:rPr>
              <w:t>HDFC ERGO General Insurance Company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w:t>
            </w:r>
          </w:p>
        </w:tc>
        <w:tc>
          <w:tcPr>
            <w:tcW w:type="dxa" w:w="2340"/>
            <w:shd w:fill="F9FAFB"/>
            <w:tcMar>
              <w:top w:w="80" w:type="dxa"/>
              <w:bottom w:w="80" w:type="dxa"/>
              <w:left w:w="100" w:type="dxa"/>
              <w:right w:w="100" w:type="dxa"/>
            </w:tcMar>
          </w:tcPr>
          <w:p>
            <w:pPr>
              <w:jc w:val="left"/>
            </w:pPr>
            <w:r>
              <w:rPr>
                <w:rFonts w:ascii="Calibri" w:hAnsi="Calibri"/>
                <w:color w:val="222222"/>
                <w:sz w:val="18"/>
              </w:rPr>
              <w:t>India</w:t>
            </w:r>
          </w:p>
        </w:tc>
      </w:tr>
      <w:tr>
        <w:tc>
          <w:tcPr>
            <w:tcW w:type="dxa" w:w="2340"/>
            <w:shd w:fill="FFFFFF"/>
            <w:tcMar>
              <w:top w:w="80" w:type="dxa"/>
              <w:bottom w:w="80" w:type="dxa"/>
              <w:left w:w="100" w:type="dxa"/>
              <w:right w:w="100" w:type="dxa"/>
            </w:tcMar>
          </w:tcPr>
          <w:p>
            <w:pPr>
              <w:jc w:val="left"/>
            </w:pPr>
            <w:r>
              <w:rPr>
                <w:rFonts w:ascii="Calibri" w:hAnsi="Calibri"/>
                <w:color w:val="222222"/>
                <w:sz w:val="18"/>
              </w:rPr>
              <w:t>7</w:t>
            </w:r>
          </w:p>
        </w:tc>
        <w:tc>
          <w:tcPr>
            <w:tcW w:type="dxa" w:w="2340"/>
            <w:shd w:fill="FFFFFF"/>
            <w:tcMar>
              <w:top w:w="80" w:type="dxa"/>
              <w:bottom w:w="80" w:type="dxa"/>
              <w:left w:w="100" w:type="dxa"/>
              <w:right w:w="100" w:type="dxa"/>
            </w:tcMar>
          </w:tcPr>
          <w:p>
            <w:pPr>
              <w:jc w:val="left"/>
            </w:pPr>
            <w:r>
              <w:rPr>
                <w:rFonts w:ascii="Calibri" w:hAnsi="Calibri"/>
                <w:color w:val="222222"/>
                <w:sz w:val="18"/>
              </w:rPr>
              <w:t>HDFC Sales Private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w:t>
            </w:r>
          </w:p>
        </w:tc>
        <w:tc>
          <w:tcPr>
            <w:tcW w:type="dxa" w:w="2340"/>
            <w:shd w:fill="FFFFFF"/>
            <w:tcMar>
              <w:top w:w="80" w:type="dxa"/>
              <w:bottom w:w="80" w:type="dxa"/>
              <w:left w:w="100" w:type="dxa"/>
              <w:right w:w="100" w:type="dxa"/>
            </w:tcMar>
          </w:tcPr>
          <w:p>
            <w:pPr>
              <w:jc w:val="left"/>
            </w:pPr>
            <w:r>
              <w:rPr>
                <w:rFonts w:ascii="Calibri" w:hAnsi="Calibri"/>
                <w:color w:val="222222"/>
                <w:sz w:val="18"/>
              </w:rPr>
              <w:t>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8</w:t>
            </w:r>
          </w:p>
        </w:tc>
        <w:tc>
          <w:tcPr>
            <w:tcW w:type="dxa" w:w="2340"/>
            <w:shd w:fill="F9FAFB"/>
            <w:tcMar>
              <w:top w:w="80" w:type="dxa"/>
              <w:bottom w:w="80" w:type="dxa"/>
              <w:left w:w="100" w:type="dxa"/>
              <w:right w:w="100" w:type="dxa"/>
            </w:tcMar>
          </w:tcPr>
          <w:p>
            <w:pPr>
              <w:jc w:val="left"/>
            </w:pPr>
            <w:r>
              <w:rPr>
                <w:rFonts w:ascii="Calibri" w:hAnsi="Calibri"/>
                <w:color w:val="222222"/>
                <w:sz w:val="18"/>
              </w:rPr>
              <w:t>HDFC Capital Advisors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w:t>
            </w:r>
          </w:p>
        </w:tc>
        <w:tc>
          <w:tcPr>
            <w:tcW w:type="dxa" w:w="2340"/>
            <w:shd w:fill="F9FAFB"/>
            <w:tcMar>
              <w:top w:w="80" w:type="dxa"/>
              <w:bottom w:w="80" w:type="dxa"/>
              <w:left w:w="100" w:type="dxa"/>
              <w:right w:w="100" w:type="dxa"/>
            </w:tcMar>
          </w:tcPr>
          <w:p>
            <w:pPr>
              <w:jc w:val="left"/>
            </w:pPr>
            <w:r>
              <w:rPr>
                <w:rFonts w:ascii="Calibri" w:hAnsi="Calibri"/>
                <w:color w:val="222222"/>
                <w:sz w:val="18"/>
              </w:rPr>
              <w:t>India</w:t>
            </w:r>
          </w:p>
        </w:tc>
      </w:tr>
      <w:tr>
        <w:tc>
          <w:tcPr>
            <w:tcW w:type="dxa" w:w="2340"/>
            <w:shd w:fill="FFFFFF"/>
            <w:tcMar>
              <w:top w:w="80" w:type="dxa"/>
              <w:bottom w:w="80" w:type="dxa"/>
              <w:left w:w="100" w:type="dxa"/>
              <w:right w:w="100" w:type="dxa"/>
            </w:tcMar>
          </w:tcPr>
          <w:p>
            <w:pPr>
              <w:jc w:val="left"/>
            </w:pPr>
            <w:r>
              <w:rPr>
                <w:rFonts w:ascii="Calibri" w:hAnsi="Calibri"/>
                <w:color w:val="222222"/>
                <w:sz w:val="18"/>
              </w:rPr>
              <w:t>9</w:t>
            </w:r>
          </w:p>
        </w:tc>
        <w:tc>
          <w:tcPr>
            <w:tcW w:type="dxa" w:w="2340"/>
            <w:shd w:fill="FFFFFF"/>
            <w:tcMar>
              <w:top w:w="80" w:type="dxa"/>
              <w:bottom w:w="80" w:type="dxa"/>
              <w:left w:w="100" w:type="dxa"/>
              <w:right w:w="100" w:type="dxa"/>
            </w:tcMar>
          </w:tcPr>
          <w:p>
            <w:pPr>
              <w:jc w:val="left"/>
            </w:pPr>
            <w:r>
              <w:rPr>
                <w:rFonts w:ascii="Calibri" w:hAnsi="Calibri"/>
                <w:color w:val="222222"/>
                <w:sz w:val="18"/>
              </w:rPr>
              <w:t>HDFC Trustee Company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w:t>
            </w:r>
          </w:p>
        </w:tc>
        <w:tc>
          <w:tcPr>
            <w:tcW w:type="dxa" w:w="2340"/>
            <w:shd w:fill="FFFFFF"/>
            <w:tcMar>
              <w:top w:w="80" w:type="dxa"/>
              <w:bottom w:w="80" w:type="dxa"/>
              <w:left w:w="100" w:type="dxa"/>
              <w:right w:w="100" w:type="dxa"/>
            </w:tcMar>
          </w:tcPr>
          <w:p>
            <w:pPr>
              <w:jc w:val="left"/>
            </w:pPr>
            <w:r>
              <w:rPr>
                <w:rFonts w:ascii="Calibri" w:hAnsi="Calibri"/>
                <w:color w:val="222222"/>
                <w:sz w:val="18"/>
              </w:rPr>
              <w:t>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10</w:t>
            </w:r>
          </w:p>
        </w:tc>
        <w:tc>
          <w:tcPr>
            <w:tcW w:type="dxa" w:w="2340"/>
            <w:shd w:fill="F9FAFB"/>
            <w:tcMar>
              <w:top w:w="80" w:type="dxa"/>
              <w:bottom w:w="80" w:type="dxa"/>
              <w:left w:w="100" w:type="dxa"/>
              <w:right w:w="100" w:type="dxa"/>
            </w:tcMar>
          </w:tcPr>
          <w:p>
            <w:pPr>
              <w:jc w:val="left"/>
            </w:pPr>
            <w:r>
              <w:rPr>
                <w:rFonts w:ascii="Calibri" w:hAnsi="Calibri"/>
                <w:color w:val="222222"/>
                <w:sz w:val="18"/>
              </w:rPr>
              <w:t>Griha Pte.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w:t>
            </w:r>
          </w:p>
        </w:tc>
        <w:tc>
          <w:tcPr>
            <w:tcW w:type="dxa" w:w="2340"/>
            <w:shd w:fill="F9FAFB"/>
            <w:tcMar>
              <w:top w:w="80" w:type="dxa"/>
              <w:bottom w:w="80" w:type="dxa"/>
              <w:left w:w="100" w:type="dxa"/>
              <w:right w:w="100" w:type="dxa"/>
            </w:tcMar>
          </w:tcPr>
          <w:p>
            <w:pPr>
              <w:jc w:val="left"/>
            </w:pPr>
            <w:r>
              <w:rPr>
                <w:rFonts w:ascii="Calibri" w:hAnsi="Calibri"/>
                <w:color w:val="222222"/>
                <w:sz w:val="18"/>
              </w:rPr>
              <w:t>Singapore</w:t>
            </w:r>
          </w:p>
        </w:tc>
      </w:tr>
      <w:tr>
        <w:tc>
          <w:tcPr>
            <w:tcW w:type="dxa" w:w="2340"/>
            <w:shd w:fill="FFFFFF"/>
            <w:tcMar>
              <w:top w:w="80" w:type="dxa"/>
              <w:bottom w:w="80" w:type="dxa"/>
              <w:left w:w="100" w:type="dxa"/>
              <w:right w:w="100" w:type="dxa"/>
            </w:tcMar>
          </w:tcPr>
          <w:p>
            <w:pPr>
              <w:jc w:val="left"/>
            </w:pPr>
            <w:r>
              <w:rPr>
                <w:rFonts w:ascii="Calibri" w:hAnsi="Calibri"/>
                <w:color w:val="222222"/>
                <w:sz w:val="18"/>
              </w:rPr>
              <w:t>11</w:t>
            </w:r>
          </w:p>
        </w:tc>
        <w:tc>
          <w:tcPr>
            <w:tcW w:type="dxa" w:w="2340"/>
            <w:shd w:fill="FFFFFF"/>
            <w:tcMar>
              <w:top w:w="80" w:type="dxa"/>
              <w:bottom w:w="80" w:type="dxa"/>
              <w:left w:w="100" w:type="dxa"/>
              <w:right w:w="100" w:type="dxa"/>
            </w:tcMar>
          </w:tcPr>
          <w:p>
            <w:pPr>
              <w:jc w:val="left"/>
            </w:pPr>
            <w:r>
              <w:rPr>
                <w:rFonts w:ascii="Calibri" w:hAnsi="Calibri"/>
                <w:color w:val="222222"/>
                <w:sz w:val="18"/>
              </w:rPr>
              <w:t>Griha Investments</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w:t>
            </w:r>
          </w:p>
        </w:tc>
        <w:tc>
          <w:tcPr>
            <w:tcW w:type="dxa" w:w="2340"/>
            <w:shd w:fill="FFFFFF"/>
            <w:tcMar>
              <w:top w:w="80" w:type="dxa"/>
              <w:bottom w:w="80" w:type="dxa"/>
              <w:left w:w="100" w:type="dxa"/>
              <w:right w:w="100" w:type="dxa"/>
            </w:tcMar>
          </w:tcPr>
          <w:p>
            <w:pPr>
              <w:jc w:val="left"/>
            </w:pPr>
            <w:r>
              <w:rPr>
                <w:rFonts w:ascii="Calibri" w:hAnsi="Calibri"/>
                <w:color w:val="222222"/>
                <w:sz w:val="18"/>
              </w:rPr>
              <w:t>Mauritius</w:t>
            </w:r>
          </w:p>
        </w:tc>
      </w:tr>
      <w:tr>
        <w:tc>
          <w:tcPr>
            <w:tcW w:type="dxa" w:w="2340"/>
            <w:shd w:fill="F9FAFB"/>
            <w:tcMar>
              <w:top w:w="80" w:type="dxa"/>
              <w:bottom w:w="80" w:type="dxa"/>
              <w:left w:w="100" w:type="dxa"/>
              <w:right w:w="100" w:type="dxa"/>
            </w:tcMar>
          </w:tcPr>
          <w:p>
            <w:pPr>
              <w:jc w:val="left"/>
            </w:pPr>
            <w:r>
              <w:rPr>
                <w:rFonts w:ascii="Calibri" w:hAnsi="Calibri"/>
                <w:color w:val="222222"/>
                <w:sz w:val="18"/>
              </w:rPr>
              <w:t>12</w:t>
            </w:r>
          </w:p>
        </w:tc>
        <w:tc>
          <w:tcPr>
            <w:tcW w:type="dxa" w:w="2340"/>
            <w:shd w:fill="F9FAFB"/>
            <w:tcMar>
              <w:top w:w="80" w:type="dxa"/>
              <w:bottom w:w="80" w:type="dxa"/>
              <w:left w:w="100" w:type="dxa"/>
              <w:right w:w="100" w:type="dxa"/>
            </w:tcMar>
          </w:tcPr>
          <w:p>
            <w:pPr>
              <w:jc w:val="left"/>
            </w:pPr>
            <w:r>
              <w:rPr>
                <w:rFonts w:ascii="Calibri" w:hAnsi="Calibri"/>
                <w:color w:val="222222"/>
                <w:sz w:val="18"/>
              </w:rPr>
              <w:t>HDFC International Life and Re Company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 of HDFC Life</w:t>
            </w:r>
          </w:p>
        </w:tc>
        <w:tc>
          <w:tcPr>
            <w:tcW w:type="dxa" w:w="2340"/>
            <w:shd w:fill="F9FAFB"/>
            <w:tcMar>
              <w:top w:w="80" w:type="dxa"/>
              <w:bottom w:w="80" w:type="dxa"/>
              <w:left w:w="100" w:type="dxa"/>
              <w:right w:w="100" w:type="dxa"/>
            </w:tcMar>
          </w:tcPr>
          <w:p>
            <w:pPr>
              <w:jc w:val="left"/>
            </w:pPr>
            <w:r>
              <w:rPr>
                <w:rFonts w:ascii="Calibri" w:hAnsi="Calibri"/>
                <w:color w:val="222222"/>
                <w:sz w:val="18"/>
              </w:rPr>
              <w:t>Dubai (DIFC)</w:t>
            </w:r>
          </w:p>
        </w:tc>
      </w:tr>
      <w:tr>
        <w:tc>
          <w:tcPr>
            <w:tcW w:type="dxa" w:w="2340"/>
            <w:shd w:fill="FFFFFF"/>
            <w:tcMar>
              <w:top w:w="80" w:type="dxa"/>
              <w:bottom w:w="80" w:type="dxa"/>
              <w:left w:w="100" w:type="dxa"/>
              <w:right w:w="100" w:type="dxa"/>
            </w:tcMar>
          </w:tcPr>
          <w:p>
            <w:pPr>
              <w:jc w:val="left"/>
            </w:pPr>
            <w:r>
              <w:rPr>
                <w:rFonts w:ascii="Calibri" w:hAnsi="Calibri"/>
                <w:color w:val="222222"/>
                <w:sz w:val="18"/>
              </w:rPr>
              <w:t>13</w:t>
            </w:r>
          </w:p>
        </w:tc>
        <w:tc>
          <w:tcPr>
            <w:tcW w:type="dxa" w:w="2340"/>
            <w:shd w:fill="FFFFFF"/>
            <w:tcMar>
              <w:top w:w="80" w:type="dxa"/>
              <w:bottom w:w="80" w:type="dxa"/>
              <w:left w:w="100" w:type="dxa"/>
              <w:right w:w="100" w:type="dxa"/>
            </w:tcMar>
          </w:tcPr>
          <w:p>
            <w:pPr>
              <w:jc w:val="left"/>
            </w:pPr>
            <w:r>
              <w:rPr>
                <w:rFonts w:ascii="Calibri" w:hAnsi="Calibri"/>
                <w:color w:val="222222"/>
                <w:sz w:val="18"/>
              </w:rPr>
              <w:t>HDFC Pension Fund Management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 of HDFC Life</w:t>
            </w:r>
          </w:p>
        </w:tc>
        <w:tc>
          <w:tcPr>
            <w:tcW w:type="dxa" w:w="2340"/>
            <w:shd w:fill="FFFFFF"/>
            <w:tcMar>
              <w:top w:w="80" w:type="dxa"/>
              <w:bottom w:w="80" w:type="dxa"/>
              <w:left w:w="100" w:type="dxa"/>
              <w:right w:w="100" w:type="dxa"/>
            </w:tcMar>
          </w:tcPr>
          <w:p>
            <w:pPr>
              <w:jc w:val="left"/>
            </w:pPr>
            <w:r>
              <w:rPr>
                <w:rFonts w:ascii="Calibri" w:hAnsi="Calibri"/>
                <w:color w:val="222222"/>
                <w:sz w:val="18"/>
              </w:rPr>
              <w:t>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14</w:t>
            </w:r>
          </w:p>
        </w:tc>
        <w:tc>
          <w:tcPr>
            <w:tcW w:type="dxa" w:w="2340"/>
            <w:shd w:fill="F9FAFB"/>
            <w:tcMar>
              <w:top w:w="80" w:type="dxa"/>
              <w:bottom w:w="80" w:type="dxa"/>
              <w:left w:w="100" w:type="dxa"/>
              <w:right w:w="100" w:type="dxa"/>
            </w:tcMar>
          </w:tcPr>
          <w:p>
            <w:pPr>
              <w:jc w:val="left"/>
            </w:pPr>
            <w:r>
              <w:rPr>
                <w:rFonts w:ascii="Calibri" w:hAnsi="Calibri"/>
                <w:color w:val="222222"/>
                <w:sz w:val="18"/>
              </w:rPr>
              <w:t>HDFC AMC International (IFSC) Limited</w:t>
            </w:r>
          </w:p>
        </w:tc>
        <w:tc>
          <w:tcPr>
            <w:tcW w:type="dxa" w:w="2340"/>
            <w:shd w:fill="F9FAFB"/>
            <w:tcMar>
              <w:top w:w="80" w:type="dxa"/>
              <w:bottom w:w="80" w:type="dxa"/>
              <w:left w:w="100" w:type="dxa"/>
              <w:right w:w="100" w:type="dxa"/>
            </w:tcMar>
          </w:tcPr>
          <w:p>
            <w:pPr>
              <w:jc w:val="left"/>
            </w:pPr>
            <w:r>
              <w:rPr>
                <w:rFonts w:ascii="Calibri" w:hAnsi="Calibri"/>
                <w:color w:val="222222"/>
                <w:sz w:val="18"/>
              </w:rPr>
              <w:t>Subsidiary of HDFC AMC</w:t>
            </w:r>
          </w:p>
        </w:tc>
        <w:tc>
          <w:tcPr>
            <w:tcW w:type="dxa" w:w="2340"/>
            <w:shd w:fill="F9FAFB"/>
            <w:tcMar>
              <w:top w:w="80" w:type="dxa"/>
              <w:bottom w:w="80" w:type="dxa"/>
              <w:left w:w="100" w:type="dxa"/>
              <w:right w:w="100" w:type="dxa"/>
            </w:tcMar>
          </w:tcPr>
          <w:p>
            <w:pPr>
              <w:jc w:val="left"/>
            </w:pPr>
            <w:r>
              <w:rPr>
                <w:rFonts w:ascii="Calibri" w:hAnsi="Calibri"/>
                <w:color w:val="222222"/>
                <w:sz w:val="18"/>
              </w:rPr>
              <w:t>GIFT City, India</w:t>
            </w:r>
          </w:p>
        </w:tc>
      </w:tr>
      <w:tr>
        <w:tc>
          <w:tcPr>
            <w:tcW w:type="dxa" w:w="2340"/>
            <w:shd w:fill="FFFFFF"/>
            <w:tcMar>
              <w:top w:w="80" w:type="dxa"/>
              <w:bottom w:w="80" w:type="dxa"/>
              <w:left w:w="100" w:type="dxa"/>
              <w:right w:w="100" w:type="dxa"/>
            </w:tcMar>
          </w:tcPr>
          <w:p>
            <w:pPr>
              <w:jc w:val="left"/>
            </w:pPr>
            <w:r>
              <w:rPr>
                <w:rFonts w:ascii="Calibri" w:hAnsi="Calibri"/>
                <w:color w:val="222222"/>
                <w:sz w:val="18"/>
              </w:rPr>
              <w:t>15</w:t>
            </w:r>
          </w:p>
        </w:tc>
        <w:tc>
          <w:tcPr>
            <w:tcW w:type="dxa" w:w="2340"/>
            <w:shd w:fill="FFFFFF"/>
            <w:tcMar>
              <w:top w:w="80" w:type="dxa"/>
              <w:bottom w:w="80" w:type="dxa"/>
              <w:left w:w="100" w:type="dxa"/>
              <w:right w:w="100" w:type="dxa"/>
            </w:tcMar>
          </w:tcPr>
          <w:p>
            <w:pPr>
              <w:jc w:val="left"/>
            </w:pPr>
            <w:r>
              <w:rPr>
                <w:rFonts w:ascii="Calibri" w:hAnsi="Calibri"/>
                <w:color w:val="222222"/>
                <w:sz w:val="18"/>
              </w:rPr>
              <w:t>HDFC Securities IFSC Limited</w:t>
            </w:r>
          </w:p>
        </w:tc>
        <w:tc>
          <w:tcPr>
            <w:tcW w:type="dxa" w:w="2340"/>
            <w:shd w:fill="FFFFFF"/>
            <w:tcMar>
              <w:top w:w="80" w:type="dxa"/>
              <w:bottom w:w="80" w:type="dxa"/>
              <w:left w:w="100" w:type="dxa"/>
              <w:right w:w="100" w:type="dxa"/>
            </w:tcMar>
          </w:tcPr>
          <w:p>
            <w:pPr>
              <w:jc w:val="left"/>
            </w:pPr>
            <w:r>
              <w:rPr>
                <w:rFonts w:ascii="Calibri" w:hAnsi="Calibri"/>
                <w:color w:val="222222"/>
                <w:sz w:val="18"/>
              </w:rPr>
              <w:t>Subsidiary of HDFC Securities</w:t>
            </w:r>
          </w:p>
        </w:tc>
        <w:tc>
          <w:tcPr>
            <w:tcW w:type="dxa" w:w="2340"/>
            <w:shd w:fill="FFFFFF"/>
            <w:tcMar>
              <w:top w:w="80" w:type="dxa"/>
              <w:bottom w:w="80" w:type="dxa"/>
              <w:left w:w="100" w:type="dxa"/>
              <w:right w:w="100" w:type="dxa"/>
            </w:tcMar>
          </w:tcPr>
          <w:p>
            <w:pPr>
              <w:jc w:val="left"/>
            </w:pPr>
            <w:r>
              <w:rPr>
                <w:rFonts w:ascii="Calibri" w:hAnsi="Calibri"/>
                <w:color w:val="222222"/>
                <w:sz w:val="18"/>
              </w:rPr>
              <w:t>GIFT City, India</w:t>
            </w:r>
          </w:p>
        </w:tc>
      </w:tr>
      <w:tr>
        <w:tc>
          <w:tcPr>
            <w:tcW w:type="dxa" w:w="2340"/>
            <w:shd w:fill="F9FAFB"/>
            <w:tcMar>
              <w:top w:w="80" w:type="dxa"/>
              <w:bottom w:w="80" w:type="dxa"/>
              <w:left w:w="100" w:type="dxa"/>
              <w:right w:w="100" w:type="dxa"/>
            </w:tcMar>
          </w:tcPr>
          <w:p>
            <w:pPr>
              <w:jc w:val="left"/>
            </w:pPr>
            <w:r>
              <w:rPr>
                <w:rFonts w:ascii="Calibri" w:hAnsi="Calibri"/>
                <w:color w:val="222222"/>
                <w:sz w:val="18"/>
              </w:rPr>
              <w:t>16</w:t>
            </w:r>
          </w:p>
        </w:tc>
        <w:tc>
          <w:tcPr>
            <w:tcW w:type="dxa" w:w="2340"/>
            <w:shd w:fill="F9FAFB"/>
            <w:tcMar>
              <w:top w:w="80" w:type="dxa"/>
              <w:bottom w:w="80" w:type="dxa"/>
              <w:left w:w="100" w:type="dxa"/>
              <w:right w:w="100" w:type="dxa"/>
            </w:tcMar>
          </w:tcPr>
          <w:p>
            <w:pPr>
              <w:jc w:val="left"/>
            </w:pPr>
            <w:r>
              <w:rPr>
                <w:rFonts w:ascii="Calibri" w:hAnsi="Calibri"/>
                <w:color w:val="222222"/>
                <w:sz w:val="18"/>
              </w:rPr>
              <w:t>HDB Employee Welfare Trust</w:t>
            </w:r>
          </w:p>
        </w:tc>
        <w:tc>
          <w:tcPr>
            <w:tcW w:type="dxa" w:w="2340"/>
            <w:shd w:fill="F9FAFB"/>
            <w:tcMar>
              <w:top w:w="80" w:type="dxa"/>
              <w:bottom w:w="80" w:type="dxa"/>
              <w:left w:w="100" w:type="dxa"/>
              <w:right w:w="100" w:type="dxa"/>
            </w:tcMar>
          </w:tcPr>
          <w:p>
            <w:pPr>
              <w:jc w:val="left"/>
            </w:pPr>
            <w:r>
              <w:rPr>
                <w:rFonts w:ascii="Calibri" w:hAnsi="Calibri"/>
                <w:color w:val="222222"/>
                <w:sz w:val="18"/>
              </w:rPr>
              <w:t>Consolidated Entity</w:t>
            </w:r>
          </w:p>
        </w:tc>
        <w:tc>
          <w:tcPr>
            <w:tcW w:type="dxa" w:w="2340"/>
            <w:shd w:fill="F9FAFB"/>
            <w:tcMar>
              <w:top w:w="80" w:type="dxa"/>
              <w:bottom w:w="80" w:type="dxa"/>
              <w:left w:w="100" w:type="dxa"/>
              <w:right w:w="100" w:type="dxa"/>
            </w:tcMar>
          </w:tcPr>
          <w:p>
            <w:pPr>
              <w:jc w:val="left"/>
            </w:pPr>
            <w:r>
              <w:rPr>
                <w:rFonts w:ascii="Calibri" w:hAnsi="Calibri"/>
                <w:color w:val="222222"/>
                <w:sz w:val="18"/>
              </w:rPr>
              <w:t>Consolidated as Subsidiary</w:t>
            </w:r>
          </w:p>
        </w:tc>
      </w:tr>
    </w:tbl>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