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B365D"/>
          <w:sz w:val="44"/>
        </w:rPr>
        <w:t>DOCUMENT ENGINEERING: Commercial Market, Positioning, Service Architecture &amp; Valuation Study</w:t>
      </w:r>
    </w:p>
    <w:p>
      <w:pPr>
        <w:spacing w:before="0" w:after="480"/>
        <w:jc w:val="center"/>
      </w:pPr>
      <w:r>
        <w:rPr>
          <w:rFonts w:ascii="Calibri" w:hAnsi="Calibri"/>
          <w:i/>
          <w:color w:val="005A5A"/>
          <w:sz w:val="28"/>
        </w:rPr>
        <w:t>Comprehensive Cognitive Learning Transformation Guide &amp; Enterprise Information Architecture</w:t>
      </w:r>
    </w:p>
    <w:tbl>
      <w:tblPr>
        <w:tblW w:type="auto" w:w="0"/>
        <w:jc w:val="center"/>
        <w:tblLayout w:type="fixed"/>
        <w:tblLook w:firstColumn="1" w:firstRow="1" w:lastColumn="0" w:lastRow="0" w:noHBand="0" w:noVBand="1" w:val="04A0"/>
      </w:tblPr>
      <w:tblGrid>
        <w:gridCol w:w="9360"/>
      </w:tblGrid>
      <w:tr>
        <w:tc>
          <w:tcPr>
            <w:tcW w:type="dxa" w:w="9360"/>
            <w:shd w:fill="F7F7F7"/>
            <w:tcBorders>
              <w:left w:val="single" w:sz="24" w:space="0" w:color="374151"/>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F2937"/>
                <w:sz w:val="21"/>
              </w:rPr>
              <w:t>Source-Level Technical Detail: Document Transformation Specification</w:t>
              <w:br/>
            </w:r>
          </w:p>
          <w:p>
            <w:pPr>
              <w:spacing w:before="0" w:after="40" w:line="276" w:lineRule="auto"/>
            </w:pPr>
            <w:r>
              <w:rPr>
                <w:rFonts w:ascii="Calibri" w:hAnsi="Calibri"/>
                <w:color w:val="333333"/>
                <w:sz w:val="20"/>
              </w:rPr>
              <w:t>• Transformed in strict compliance with the 22 Universal Document Transformation Rules.</w:t>
            </w:r>
          </w:p>
          <w:p>
            <w:pPr>
              <w:spacing w:before="0" w:after="40" w:line="276" w:lineRule="auto"/>
            </w:pPr>
            <w:r>
              <w:rPr>
                <w:rFonts w:ascii="Calibri" w:hAnsi="Calibri"/>
                <w:color w:val="333333"/>
                <w:sz w:val="20"/>
              </w:rPr>
              <w:t>• Integrated with the 7 Cognitive Profile Rules (Familiar -&gt; Example -&gt; Mechanism -&gt; Purpose -&gt; Term -&gt; Structure -&gt; Relationship -&gt; Meaning -&gt; Detail).</w:t>
            </w:r>
          </w:p>
          <w:p>
            <w:pPr>
              <w:spacing w:before="0" w:after="40" w:line="276" w:lineRule="auto"/>
            </w:pPr>
            <w:r>
              <w:rPr>
                <w:rFonts w:ascii="Calibri" w:hAnsi="Calibri"/>
                <w:color w:val="333333"/>
                <w:sz w:val="20"/>
              </w:rPr>
              <w:t>• 100% preservation of all quantitative figures, regulatory references (RBI IT Governance 2024, DPDP Act 2023), price points (₹1.5L - ₹10L+), legal exclusions, and direct conclusions.</w:t>
            </w:r>
          </w:p>
        </w:tc>
      </w:tr>
    </w:tbl>
    <w:p>
      <w:pPr>
        <w:spacing w:after="80"/>
      </w:pPr>
    </w:p>
    <w:p>
      <w:pPr>
        <w:keepNext/>
        <w:spacing w:before="360" w:after="160"/>
      </w:pPr>
      <w:r>
        <w:rPr>
          <w:rFonts w:ascii="Calibri" w:hAnsi="Calibri"/>
          <w:b/>
          <w:color w:val="1B365D"/>
          <w:sz w:val="32"/>
        </w:rPr>
        <w:t>Document Navigation Map &amp; Structural Hierarchy</w:t>
      </w:r>
    </w:p>
    <w:p>
      <w:pPr>
        <w:spacing w:before="0" w:after="120" w:line="276" w:lineRule="auto"/>
      </w:pPr>
      <w:r>
        <w:rPr>
          <w:rFonts w:ascii="Calibri" w:hAnsi="Calibri"/>
          <w:color w:val="374151"/>
          <w:sz w:val="21"/>
        </w:rPr>
        <w:t>This transformed guide is structured into six comprehensive learning parts designed to systematically introduce foundational concepts before exploring commercial execution, competitive dynamics, pricing architectures, and executive strategic decisions:</w:t>
      </w:r>
    </w:p>
    <w:tbl>
      <w:tblPr>
        <w:tblW w:type="auto" w:w="0"/>
        <w:jc w:val="center"/>
        <w:tblLayout w:type="fixed"/>
        <w:tblLook w:firstColumn="1" w:firstRow="1" w:lastColumn="0" w:lastRow="0" w:noHBand="0" w:noVBand="1" w:val="04A0"/>
      </w:tblPr>
      <w:tblGrid>
        <w:gridCol w:w="9360"/>
      </w:tblGrid>
      <w:tr>
        <w:tc>
          <w:tcPr>
            <w:tcW w:type="dxa" w:w="9360"/>
            <w:shd w:fill="F3E8FF"/>
            <w:tcBorders>
              <w:left w:val="single" w:sz="24" w:space="0" w:color="7C3AE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5B21B6"/>
                <w:sz w:val="21"/>
              </w:rPr>
              <w:t>Relationship to Larger System: System Learning Progression</w:t>
              <w:br/>
            </w:r>
          </w:p>
          <w:p>
            <w:pPr>
              <w:spacing w:before="0" w:after="40" w:line="276" w:lineRule="auto"/>
            </w:pPr>
            <w:r>
              <w:rPr>
                <w:rFonts w:ascii="Calibri" w:hAnsi="Calibri"/>
                <w:color w:val="333333"/>
                <w:sz w:val="20"/>
              </w:rPr>
              <w:t>• Part I: Foundational Capability &amp; Methodological Architecture (Sections 1–9)</w:t>
            </w:r>
          </w:p>
          <w:p>
            <w:pPr>
              <w:spacing w:before="0" w:after="40" w:line="276" w:lineRule="auto"/>
            </w:pPr>
            <w:r>
              <w:rPr>
                <w:rFonts w:ascii="Calibri" w:hAnsi="Calibri"/>
                <w:color w:val="333333"/>
                <w:sz w:val="20"/>
              </w:rPr>
              <w:t>• Part II: Commercial Market Positioning &amp; Competitive Landscape (Sections 10–15)</w:t>
            </w:r>
          </w:p>
          <w:p>
            <w:pPr>
              <w:spacing w:before="0" w:after="40" w:line="276" w:lineRule="auto"/>
            </w:pPr>
            <w:r>
              <w:rPr>
                <w:rFonts w:ascii="Calibri" w:hAnsi="Calibri"/>
                <w:color w:val="333333"/>
                <w:sz w:val="20"/>
              </w:rPr>
              <w:t>• Part III: Target Market, Industry Profiling &amp; Economic Buyers (Sections 16–23)</w:t>
            </w:r>
          </w:p>
          <w:p>
            <w:pPr>
              <w:spacing w:before="0" w:after="40" w:line="276" w:lineRule="auto"/>
            </w:pPr>
            <w:r>
              <w:rPr>
                <w:rFonts w:ascii="Calibri" w:hAnsi="Calibri"/>
                <w:color w:val="333333"/>
                <w:sz w:val="20"/>
              </w:rPr>
              <w:t>• Part IV: Service Architecture, Pricing Models, Deliverables &amp; IP Protection (Sections 24–32)</w:t>
            </w:r>
          </w:p>
          <w:p>
            <w:pPr>
              <w:spacing w:before="0" w:after="40" w:line="276" w:lineRule="auto"/>
            </w:pPr>
            <w:r>
              <w:rPr>
                <w:rFonts w:ascii="Calibri" w:hAnsi="Calibri"/>
                <w:color w:val="333333"/>
                <w:sz w:val="20"/>
              </w:rPr>
              <w:t>• Part V: Strategic Evaluation, Go-To-Market &amp; Commercial Scaling (Sections 33–40)</w:t>
            </w:r>
          </w:p>
          <w:p>
            <w:pPr>
              <w:spacing w:before="0" w:after="40" w:line="276" w:lineRule="auto"/>
            </w:pPr>
            <w:r>
              <w:rPr>
                <w:rFonts w:ascii="Calibri" w:hAnsi="Calibri"/>
                <w:color w:val="333333"/>
                <w:sz w:val="20"/>
              </w:rPr>
              <w:t>• Part VI: Executive Direct Answers &amp; Commercial Execution Roadmap (Section 41)</w:t>
            </w:r>
          </w:p>
        </w:tc>
      </w:tr>
    </w:tbl>
    <w:p>
      <w:pPr>
        <w:spacing w:after="80"/>
      </w:pPr>
    </w:p>
    <w:p>
      <w:pPr>
        <w:keepNext/>
        <w:spacing w:before="360" w:after="160"/>
      </w:pPr>
      <w:r>
        <w:rPr>
          <w:rFonts w:ascii="Calibri" w:hAnsi="Calibri"/>
          <w:b/>
          <w:color w:val="1B365D"/>
          <w:sz w:val="32"/>
        </w:rPr>
        <w:t>Part I: Foundational Capability &amp; Methodological Architecture</w:t>
      </w:r>
    </w:p>
    <w:p>
      <w:pPr>
        <w:keepNext/>
        <w:spacing w:before="280" w:after="120"/>
      </w:pPr>
      <w:r>
        <w:rPr>
          <w:rFonts w:ascii="Calibri" w:hAnsi="Calibri"/>
          <w:b/>
          <w:color w:val="005A5A"/>
          <w:sz w:val="26"/>
        </w:rPr>
        <w:t>1. Executive Summary</w:t>
      </w:r>
    </w:p>
    <w:tbl>
      <w:tblPr>
        <w:tblW w:type="auto" w:w="0"/>
        <w:jc w:val="center"/>
        <w:tblLayout w:type="fixed"/>
        <w:tblLook w:firstColumn="1" w:firstRow="1" w:lastColumn="0" w:lastRow="0" w:noHBand="0" w:noVBand="1" w:val="04A0"/>
      </w:tblPr>
      <w:tblGrid>
        <w:gridCol w:w="9360"/>
      </w:tblGrid>
      <w:tr>
        <w:tc>
          <w:tcPr>
            <w:tcW w:type="dxa" w:w="9360"/>
            <w:shd w:fill="FFF9E6"/>
            <w:tcBorders>
              <w:left w:val="single" w:sz="24" w:space="0" w:color="D97706"/>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92400E"/>
                <w:sz w:val="21"/>
              </w:rPr>
              <w:t>Real-Life Example &amp; Mental Model: The Executive Information Bottleneck</w:t>
              <w:br/>
            </w:r>
            <w:r>
              <w:rPr>
                <w:rFonts w:ascii="Calibri" w:hAnsi="Calibri"/>
                <w:color w:val="333333"/>
                <w:sz w:val="20"/>
              </w:rPr>
              <w:t>Imagine a Chief Operating Officer (COO) at a Mumbai-based Financial Institution receiving a 60-page Credit Appraisal Memo. The raw facts and numbers are accurate, but they are buried under dense, unstructured prose. The COO spends 45 minutes hunting for critical debt-covenant risks instead of making a strategic decision. Document Engineering restructures the information landscape so the COO grasps the exact risk profile in 3 minutes without altering a single underlying figure.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Executive Summary Core Source Text</w:t>
              <w:br/>
            </w:r>
            <w:r>
              <w:rPr>
                <w:rFonts w:ascii="Calibri" w:hAnsi="Calibri"/>
                <w:color w:val="333333"/>
                <w:sz w:val="20"/>
              </w:rPr>
              <w:t>This comprehensive commercial and market research study establishes the professional capability, positioning, and commercial architecture of Document Engineering, specifically tailored for the Mumbai, Maharashtra, India market. The analysis rebuilds the commercial framework from the ground up, utilizing the primary conceptual definition of Document Engineering as the foundational capability, independent of previous preliminary classifications.</w:t>
            </w:r>
          </w:p>
          <w:p>
            <w:pPr>
              <w:spacing w:before="0" w:after="60" w:line="276" w:lineRule="auto"/>
            </w:pPr>
            <w:r>
              <w:rPr>
                <w:rFonts w:ascii="Calibri" w:hAnsi="Calibri"/>
                <w:color w:val="333333"/>
                <w:sz w:val="20"/>
              </w:rPr>
              <w:t>The central finding of this investigation is that Document Engineering represents a highly sophisticated, multi-layered professional service that currently suffers from a terminological disconnect with the existing procurement market. While the capability itself—engineering the structure, hierarchy, and semantic representation of professional information to reduce cognitive friction—is scientifically sound and operationally critical, the exact term 'Document Engineering' in the existing global commercial market is overwhelmingly associated with software-driven data extraction, optical character recognition (OCR), and XML processing.</w:t>
            </w:r>
          </w:p>
          <w:p>
            <w:pPr>
              <w:spacing w:before="0" w:after="60" w:line="276" w:lineRule="auto"/>
            </w:pPr>
            <w:r>
              <w:rPr>
                <w:rFonts w:ascii="Calibri" w:hAnsi="Calibri"/>
                <w:color w:val="333333"/>
                <w:sz w:val="20"/>
              </w:rPr>
              <w:t>To navigate this discrepancy, this report outlines a dual-scale commercial architecture. It segregates Document-Level Engineering as a targeted professional service from Organizational Information-System Engineering, positioning the overarching capability within the high-value strata of enterprise Information Architecture and Management Consulting. By targeting mid-market Non-Banking Financial Companies (NBFCs) and investment research firms in Mumbai, the commercial strategy leverages acute regulatory pressures—specifically the Reserve Bank of India (RBI) IT Governance Master Direction 2024 and the Digital Personal Data Protection (DPDP) Act 2023—to position structured information representation as a quantifiable mitigation of operational risk and cognitive latency.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Executive Summary in Simple Terms</w:t>
              <w:br/>
            </w:r>
            <w:r>
              <w:rPr>
                <w:rFonts w:ascii="Calibri" w:hAnsi="Calibri"/>
                <w:color w:val="333333"/>
                <w:sz w:val="20"/>
              </w:rPr>
              <w:t>Document Engineering is a specialized consulting capability that redesigns how critical corporate documents present information so leaders can read and understand them much faster. However, corporate procurement teams currently mistake the term 'Document Engineering' for software that scans PDFs (OCR). To solve this, the service is sold under high-value consulting titles like Enterprise Information Architecture while leveraging regulatory mandates (RBI IT Governance 2024 &amp; DPDP Act 2023) to drive immediate executive buy-in in Mumbai.</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BF3FA"/>
            <w:tcBorders>
              <w:left w:val="single" w:sz="24" w:space="0" w:color="2563EB"/>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E40AF"/>
                <w:sz w:val="21"/>
              </w:rPr>
              <w:t>How It Works (Mechanism &amp; Cognitive Science): Operational Mechanism &amp; Regulatory Drivers</w:t>
              <w:br/>
            </w:r>
          </w:p>
          <w:p>
            <w:pPr>
              <w:spacing w:before="0" w:after="40" w:line="276" w:lineRule="auto"/>
            </w:pPr>
            <w:r>
              <w:rPr>
                <w:rFonts w:ascii="Calibri" w:hAnsi="Calibri"/>
                <w:color w:val="333333"/>
                <w:sz w:val="20"/>
              </w:rPr>
              <w:t>• Mechanism: Decouples substantive factual content from visual representation.</w:t>
            </w:r>
          </w:p>
          <w:p>
            <w:pPr>
              <w:spacing w:before="0" w:after="40" w:line="276" w:lineRule="auto"/>
            </w:pPr>
            <w:r>
              <w:rPr>
                <w:rFonts w:ascii="Calibri" w:hAnsi="Calibri"/>
                <w:color w:val="333333"/>
                <w:sz w:val="20"/>
              </w:rPr>
              <w:t>• Market Friction: Corporate procurement associates 'Document Engineering' with cheap OCR/PDF software.</w:t>
            </w:r>
          </w:p>
          <w:p>
            <w:pPr>
              <w:spacing w:before="0" w:after="40" w:line="276" w:lineRule="auto"/>
            </w:pPr>
            <w:r>
              <w:rPr>
                <w:rFonts w:ascii="Calibri" w:hAnsi="Calibri"/>
                <w:color w:val="333333"/>
                <w:sz w:val="20"/>
              </w:rPr>
              <w:t>• Commercial Strategy: Position service as high-tier Information Architecture &amp; Risk Mitigation.</w:t>
            </w:r>
          </w:p>
          <w:p>
            <w:pPr>
              <w:spacing w:before="0" w:after="40" w:line="276" w:lineRule="auto"/>
            </w:pPr>
            <w:r>
              <w:rPr>
                <w:rFonts w:ascii="Calibri" w:hAnsi="Calibri"/>
                <w:color w:val="333333"/>
                <w:sz w:val="20"/>
              </w:rPr>
              <w:t>• Regulatory Catalysts: Reserve Bank of India (RBI) IT Governance Master Direction 2024 &amp; Digital Personal Data Protection (DPDP) Act 2023.</w:t>
            </w:r>
          </w:p>
        </w:tc>
      </w:tr>
    </w:tbl>
    <w:p>
      <w:pPr>
        <w:spacing w:after="80"/>
      </w:pPr>
    </w:p>
    <w:p>
      <w:pPr>
        <w:keepNext/>
        <w:spacing w:before="280" w:after="120"/>
      </w:pPr>
      <w:r>
        <w:rPr>
          <w:rFonts w:ascii="Calibri" w:hAnsi="Calibri"/>
          <w:b/>
          <w:color w:val="005A5A"/>
          <w:sz w:val="26"/>
        </w:rPr>
        <w:t>2. What Document Engineering Actually Is</w:t>
      </w:r>
    </w:p>
    <w:tbl>
      <w:tblPr>
        <w:tblW w:type="auto" w:w="0"/>
        <w:jc w:val="center"/>
        <w:tblLayout w:type="fixed"/>
        <w:tblLook w:firstColumn="1" w:firstRow="1" w:lastColumn="0" w:lastRow="0" w:noHBand="0" w:noVBand="1" w:val="04A0"/>
      </w:tblPr>
      <w:tblGrid>
        <w:gridCol w:w="9360"/>
      </w:tblGrid>
      <w:tr>
        <w:tc>
          <w:tcPr>
            <w:tcW w:type="dxa" w:w="9360"/>
            <w:shd w:fill="FFF9E6"/>
            <w:tcBorders>
              <w:left w:val="single" w:sz="24" w:space="0" w:color="D97706"/>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92400E"/>
                <w:sz w:val="21"/>
              </w:rPr>
              <w:t>Real-Life Example &amp; Mental Model: Analogy: Architectural Blueprint vs. Raw Bricks</w:t>
              <w:br/>
            </w:r>
            <w:r>
              <w:rPr>
                <w:rFonts w:ascii="Calibri" w:hAnsi="Calibri"/>
                <w:color w:val="333333"/>
                <w:sz w:val="20"/>
              </w:rPr>
              <w:t>Raw information is like a pile of bricks, steel beams, and glass delivered to a job site. An un-engineered document dumps these materials in a heap. Document Engineering acts as the master architectural blueprint that arranges the bricks into a structured, highly functional executive suite where every hallway leads directly to the decision room.</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What Document Engineering Actually Is Source Text</w:t>
              <w:br/>
            </w:r>
            <w:r>
              <w:rPr>
                <w:rFonts w:ascii="Calibri" w:hAnsi="Calibri"/>
                <w:color w:val="333333"/>
                <w:sz w:val="20"/>
              </w:rPr>
              <w:t>Document Engineering is the systematic, rule-based engineering of how information is represented within professional documents. It operates on the fundamental principle that information and representation are distinct entities; the underlying substantive information is preserved entirely, while the representational infrastructure is optimized for human cognitive processing.</w:t>
            </w:r>
          </w:p>
          <w:p>
            <w:pPr>
              <w:spacing w:before="0" w:after="60" w:line="276" w:lineRule="auto"/>
            </w:pPr>
            <w:r>
              <w:rPr>
                <w:rFonts w:ascii="Calibri" w:hAnsi="Calibri"/>
                <w:color w:val="333333"/>
                <w:sz w:val="20"/>
              </w:rPr>
              <w:t>The capability fundamentally alters the reader's pathway by engineering the semantic organization, visual hierarchy, contextual bridging, and symbolic encoding of information. The objective is to align the document's presentation mathematically and structurally with the biological limitations of human working memory and the specific goal-directed requirements of the professional reader. The process operates entirely on the sequential formula: Existing Information + Purpose + Intended Reader + Information Context = Representation Requirements.</w:t>
            </w:r>
          </w:p>
          <w:p>
            <w:pPr>
              <w:spacing w:before="0" w:after="60" w:line="276" w:lineRule="auto"/>
            </w:pPr>
            <w:r>
              <w:rPr>
                <w:rFonts w:ascii="Calibri" w:hAnsi="Calibri"/>
                <w:color w:val="333333"/>
                <w:sz w:val="20"/>
              </w:rPr>
              <w:t>Document Engineering operates across multiple analytical layers. It addresses the semantic structure to determine what different data points mean and how concepts relate. It establishes an information hierarchy to prioritize critical, conditional, and supporting data. It engineers representation through typography, spatial relationships, event markers, and symbols. Ultimately, it designs the reader pathway, managing navigational orientation and conceptual sequencing to ensure the visual stimulus aligns seamlessly with the reader's cognitive schema.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3C7"/>
            <w:tcBorders>
              <w:left w:val="single" w:sz="24" w:space="0" w:color="B4530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78350F"/>
                <w:sz w:val="21"/>
              </w:rPr>
              <w:t>Technical Term Breakdown: Core Sequential Formula</w:t>
              <w:br/>
            </w:r>
            <w:r>
              <w:rPr>
                <w:rFonts w:ascii="Calibri" w:hAnsi="Calibri"/>
                <w:color w:val="333333"/>
                <w:sz w:val="20"/>
              </w:rPr>
              <w:t>Sequential Governing Formula:</w:t>
            </w:r>
          </w:p>
          <w:p>
            <w:pPr>
              <w:spacing w:before="0" w:after="60" w:line="276" w:lineRule="auto"/>
            </w:pPr>
            <w:r>
              <w:rPr>
                <w:rFonts w:ascii="Calibri" w:hAnsi="Calibri"/>
                <w:color w:val="333333"/>
                <w:sz w:val="20"/>
              </w:rPr>
              <w:t>Existing Information + Purpose + Intended Reader + Information Context = Representation Requirements</w:t>
            </w:r>
          </w:p>
          <w:p>
            <w:pPr>
              <w:spacing w:before="0" w:after="60" w:line="276" w:lineRule="auto"/>
            </w:pPr>
            <w:r>
              <w:rPr>
                <w:rFonts w:ascii="Calibri" w:hAnsi="Calibri"/>
                <w:color w:val="333333"/>
                <w:sz w:val="20"/>
              </w:rPr>
              <w:t>Explanation: Representation is never decorative; it is a calculated output derived strictly from the reader's cognitive limits and operational intent.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BF3FA"/>
            <w:tcBorders>
              <w:left w:val="single" w:sz="24" w:space="0" w:color="2563EB"/>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E40AF"/>
                <w:sz w:val="21"/>
              </w:rPr>
              <w:t>How It Works (Mechanism &amp; Cognitive Science): Analytical Layers of Document Engineering</w:t>
              <w:br/>
            </w:r>
          </w:p>
          <w:p>
            <w:pPr>
              <w:spacing w:before="0" w:after="40" w:line="276" w:lineRule="auto"/>
            </w:pPr>
            <w:r>
              <w:rPr>
                <w:rFonts w:ascii="Calibri" w:hAnsi="Calibri"/>
                <w:color w:val="333333"/>
                <w:sz w:val="20"/>
              </w:rPr>
              <w:t>• 1. Semantic Structure Layer: Mapping concept definitions and data point relationships.</w:t>
            </w:r>
          </w:p>
          <w:p>
            <w:pPr>
              <w:spacing w:before="0" w:after="40" w:line="276" w:lineRule="auto"/>
            </w:pPr>
            <w:r>
              <w:rPr>
                <w:rFonts w:ascii="Calibri" w:hAnsi="Calibri"/>
                <w:color w:val="333333"/>
                <w:sz w:val="20"/>
              </w:rPr>
              <w:t>• 2. Information Hierarchy Layer: Triaging data into Critical, Conditional, and Supporting tiers.</w:t>
            </w:r>
          </w:p>
          <w:p>
            <w:pPr>
              <w:spacing w:before="0" w:after="40" w:line="276" w:lineRule="auto"/>
            </w:pPr>
            <w:r>
              <w:rPr>
                <w:rFonts w:ascii="Calibri" w:hAnsi="Calibri"/>
                <w:color w:val="333333"/>
                <w:sz w:val="20"/>
              </w:rPr>
              <w:t>• 3. Representation Layer: Engineering spatial typography, event markers, and symbolic encoding.</w:t>
            </w:r>
          </w:p>
          <w:p>
            <w:pPr>
              <w:spacing w:before="0" w:after="40" w:line="276" w:lineRule="auto"/>
            </w:pPr>
            <w:r>
              <w:rPr>
                <w:rFonts w:ascii="Calibri" w:hAnsi="Calibri"/>
                <w:color w:val="333333"/>
                <w:sz w:val="20"/>
              </w:rPr>
              <w:t>• 4. Reader Pathway Layer: Directing navigational orientation to align visual stimuli with biological working memory limitations.</w:t>
            </w:r>
          </w:p>
        </w:tc>
      </w:tr>
    </w:tbl>
    <w:p>
      <w:pPr>
        <w:spacing w:after="80"/>
      </w:pPr>
    </w:p>
    <w:p>
      <w:pPr>
        <w:keepNext/>
        <w:spacing w:before="280" w:after="120"/>
      </w:pPr>
      <w:r>
        <w:rPr>
          <w:rFonts w:ascii="Calibri" w:hAnsi="Calibri"/>
          <w:b/>
          <w:color w:val="005A5A"/>
          <w:sz w:val="26"/>
        </w:rPr>
        <w:t>3. Definition of the Capability</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Formal Definition of Capability</w:t>
              <w:br/>
            </w:r>
            <w:r>
              <w:rPr>
                <w:rFonts w:ascii="Calibri" w:hAnsi="Calibri"/>
                <w:color w:val="333333"/>
                <w:sz w:val="20"/>
              </w:rPr>
              <w:t>Formally, Document Engineering is defined as the capability to analyze an existing professional information artifact and transform its structure, hierarchy, explanatory sequence, navigation, and visual or symbolic representation so that the information can be recognized, interpreted, and utilized more effectively by its intended reader, without unnecessarily altering the underlying factual data.</w:t>
            </w:r>
          </w:p>
          <w:p>
            <w:pPr>
              <w:spacing w:before="0" w:after="60" w:line="276" w:lineRule="auto"/>
            </w:pPr>
            <w:r>
              <w:rPr>
                <w:rFonts w:ascii="Calibri" w:hAnsi="Calibri"/>
                <w:color w:val="333333"/>
                <w:sz w:val="20"/>
              </w:rPr>
              <w:t>The core operational thesis is: 'Preserve Information. Engineer Representation.' The underlying substantive information remains completely unchanged where preservation is required by the engagement. What changes is exclusively how that information is organized, mapped, and encountered by the human visual and cognitive system.</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The Core Operational Thesis</w:t>
              <w:br/>
            </w:r>
            <w:r>
              <w:rPr>
                <w:rFonts w:ascii="Calibri" w:hAnsi="Calibri"/>
                <w:color w:val="333333"/>
                <w:sz w:val="20"/>
              </w:rPr>
              <w:t>Core Thesis: 'Preserve Information. Engineer Representation.'</w:t>
            </w:r>
          </w:p>
          <w:p>
            <w:pPr>
              <w:spacing w:before="0" w:after="60" w:line="276" w:lineRule="auto"/>
            </w:pPr>
            <w:r>
              <w:rPr>
                <w:rFonts w:ascii="Calibri" w:hAnsi="Calibri"/>
                <w:color w:val="333333"/>
                <w:sz w:val="20"/>
              </w:rPr>
              <w:t>Meaning: The facts, figures, tables, and truths inside the document are frozen and immutable. The visual pathways, conceptual sequence, typography, and structural hierarchy are dynamically transformed.</w:t>
            </w:r>
          </w:p>
        </w:tc>
      </w:tr>
    </w:tbl>
    <w:p>
      <w:pPr>
        <w:spacing w:after="80"/>
      </w:pPr>
    </w:p>
    <w:p>
      <w:pPr>
        <w:keepNext/>
        <w:spacing w:before="280" w:after="120"/>
      </w:pPr>
      <w:r>
        <w:rPr>
          <w:rFonts w:ascii="Calibri" w:hAnsi="Calibri"/>
          <w:b/>
          <w:color w:val="005A5A"/>
          <w:sz w:val="26"/>
        </w:rPr>
        <w:t>4. What Document Engineering Is Not</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What Document Engineering Is Not Source Text</w:t>
              <w:br/>
            </w:r>
            <w:r>
              <w:rPr>
                <w:rFonts w:ascii="Calibri" w:hAnsi="Calibri"/>
                <w:color w:val="333333"/>
                <w:sz w:val="20"/>
              </w:rPr>
              <w:t>To establish defensible commercial boundaries and pricing power, Document Engineering must be explicitly separated from adjacent, highly commoditized services.</w:t>
            </w:r>
          </w:p>
          <w:p>
            <w:pPr>
              <w:spacing w:before="0" w:after="60" w:line="276" w:lineRule="auto"/>
            </w:pPr>
            <w:r>
              <w:rPr>
                <w:rFonts w:ascii="Calibri" w:hAnsi="Calibri"/>
                <w:color w:val="333333"/>
                <w:sz w:val="20"/>
              </w:rPr>
              <w:t>The capability is not graphic design. Graphic design optimizes for aesthetic appeal, emotional resonance, and brand alignment. Document Engineering optimizes strictly for semantic recognition and cognitive efficiency. It is not User Interface or User Experience (UI/UX) design, which traditionally focuses on interactive screen interfaces, software navigation, and digital product journeys. Document Engineering focuses on static or semi-static information artifacts requiring deep reading comprehension.</w:t>
            </w:r>
          </w:p>
          <w:p>
            <w:pPr>
              <w:spacing w:before="0" w:after="60" w:line="276" w:lineRule="auto"/>
            </w:pPr>
            <w:r>
              <w:rPr>
                <w:rFonts w:ascii="Calibri" w:hAnsi="Calibri"/>
                <w:color w:val="333333"/>
                <w:sz w:val="20"/>
              </w:rPr>
              <w:t>It is not technical communication or copywriting. Technical writing involves creating or editing substantive prose. Document Engineering accepts existing, authored content as an input constraint and focuses entirely on structural and visual representation. Finally, it is not Document AI, Optical Character Recognition (OCR), or automated document parsing. These software technologies extract data from unstructured documents for machine processing; Document Engineering restructures information for human cognitive ingestion.</w:t>
            </w:r>
          </w:p>
        </w:tc>
      </w:tr>
    </w:tbl>
    <w:p>
      <w:pPr>
        <w:spacing w:after="80"/>
      </w:pPr>
    </w:p>
    <w:p>
      <w:pPr>
        <w:keepNext/>
        <w:spacing w:before="200" w:after="80"/>
      </w:pPr>
      <w:r>
        <w:rPr>
          <w:rFonts w:ascii="Calibri" w:hAnsi="Calibri"/>
          <w:b/>
          <w:color w:val="2E5B70"/>
          <w:sz w:val="22"/>
        </w:rPr>
        <w:t>Boundary Clarification Matrix</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40" w:type="dxa"/>
              <w:right w:w="140" w:type="dxa"/>
            </w:tcMar>
          </w:tcPr>
          <w:p>
            <w:pPr>
              <w:spacing w:after="0"/>
              <w:jc w:val="left"/>
            </w:pPr>
            <w:r>
              <w:rPr>
                <w:rFonts w:ascii="Calibri" w:hAnsi="Calibri"/>
                <w:b/>
                <w:color w:val="FFFFFF"/>
                <w:sz w:val="20"/>
              </w:rPr>
              <w:t>Adjacent Field</w:t>
            </w:r>
          </w:p>
        </w:tc>
        <w:tc>
          <w:tcPr>
            <w:tcW w:type="dxa" w:w="3312"/>
            <w:shd w:fill="1B365D"/>
            <w:tcMar>
              <w:top w:w="120" w:type="dxa"/>
              <w:bottom w:w="120" w:type="dxa"/>
              <w:left w:w="140" w:type="dxa"/>
              <w:right w:w="140" w:type="dxa"/>
            </w:tcMar>
          </w:tcPr>
          <w:p>
            <w:pPr>
              <w:spacing w:after="0"/>
              <w:jc w:val="left"/>
            </w:pPr>
            <w:r>
              <w:rPr>
                <w:rFonts w:ascii="Calibri" w:hAnsi="Calibri"/>
                <w:b/>
                <w:color w:val="FFFFFF"/>
                <w:sz w:val="20"/>
              </w:rPr>
              <w:t>Primary Focus</w:t>
            </w:r>
          </w:p>
        </w:tc>
        <w:tc>
          <w:tcPr>
            <w:tcW w:type="dxa" w:w="3888"/>
            <w:shd w:fill="1B365D"/>
            <w:tcMar>
              <w:top w:w="120" w:type="dxa"/>
              <w:bottom w:w="120" w:type="dxa"/>
              <w:left w:w="140" w:type="dxa"/>
              <w:right w:w="140" w:type="dxa"/>
            </w:tcMar>
          </w:tcPr>
          <w:p>
            <w:pPr>
              <w:spacing w:after="0"/>
              <w:jc w:val="left"/>
            </w:pPr>
            <w:r>
              <w:rPr>
                <w:rFonts w:ascii="Calibri" w:hAnsi="Calibri"/>
                <w:b/>
                <w:color w:val="FFFFFF"/>
                <w:sz w:val="20"/>
              </w:rPr>
              <w:t>Key Difference from Document Engineering</w:t>
            </w:r>
          </w:p>
        </w:tc>
      </w:tr>
      <w:tr>
        <w:tc>
          <w:tcPr>
            <w:tcW w:type="dxa" w:w="2160"/>
            <w:shd w:fill="FFFFFF"/>
            <w:tcMar>
              <w:top w:w="100" w:type="dxa"/>
              <w:bottom w:w="100" w:type="dxa"/>
              <w:left w:w="140" w:type="dxa"/>
              <w:right w:w="140" w:type="dxa"/>
            </w:tcMar>
          </w:tcPr>
          <w:p>
            <w:pPr>
              <w:spacing w:after="0"/>
              <w:jc w:val="left"/>
            </w:pPr>
            <w:r>
              <w:rPr>
                <w:rFonts w:ascii="Calibri" w:hAnsi="Calibri"/>
                <w:color w:val="374151"/>
                <w:sz w:val="19"/>
              </w:rPr>
              <w:t>Graphic Design</w:t>
            </w:r>
          </w:p>
        </w:tc>
        <w:tc>
          <w:tcPr>
            <w:tcW w:type="dxa" w:w="3312"/>
            <w:shd w:fill="FFFFFF"/>
            <w:tcMar>
              <w:top w:w="100" w:type="dxa"/>
              <w:bottom w:w="100" w:type="dxa"/>
              <w:left w:w="140" w:type="dxa"/>
              <w:right w:w="140" w:type="dxa"/>
            </w:tcMar>
          </w:tcPr>
          <w:p>
            <w:pPr>
              <w:spacing w:after="0"/>
              <w:jc w:val="left"/>
            </w:pPr>
            <w:r>
              <w:rPr>
                <w:rFonts w:ascii="Calibri" w:hAnsi="Calibri"/>
                <w:color w:val="374151"/>
                <w:sz w:val="19"/>
              </w:rPr>
              <w:t>Aesthetics, brand appeal, emotional resonance</w:t>
            </w:r>
          </w:p>
        </w:tc>
        <w:tc>
          <w:tcPr>
            <w:tcW w:type="dxa" w:w="3888"/>
            <w:shd w:fill="FFFFFF"/>
            <w:tcMar>
              <w:top w:w="100" w:type="dxa"/>
              <w:bottom w:w="100" w:type="dxa"/>
              <w:left w:w="140" w:type="dxa"/>
              <w:right w:w="140" w:type="dxa"/>
            </w:tcMar>
          </w:tcPr>
          <w:p>
            <w:pPr>
              <w:spacing w:after="0"/>
              <w:jc w:val="left"/>
            </w:pPr>
            <w:r>
              <w:rPr>
                <w:rFonts w:ascii="Calibri" w:hAnsi="Calibri"/>
                <w:color w:val="374151"/>
                <w:sz w:val="19"/>
              </w:rPr>
              <w:t>Doc Eng optimizes strictly for semantic recognition and cognitive processing efficiency.</w:t>
            </w:r>
          </w:p>
        </w:tc>
      </w:tr>
      <w:tr>
        <w:tc>
          <w:tcPr>
            <w:tcW w:type="dxa" w:w="2160"/>
            <w:shd w:fill="F9FAFB"/>
            <w:tcMar>
              <w:top w:w="100" w:type="dxa"/>
              <w:bottom w:w="100" w:type="dxa"/>
              <w:left w:w="140" w:type="dxa"/>
              <w:right w:w="140" w:type="dxa"/>
            </w:tcMar>
          </w:tcPr>
          <w:p>
            <w:pPr>
              <w:spacing w:after="0"/>
              <w:jc w:val="left"/>
            </w:pPr>
            <w:r>
              <w:rPr>
                <w:rFonts w:ascii="Calibri" w:hAnsi="Calibri"/>
                <w:color w:val="374151"/>
                <w:sz w:val="19"/>
              </w:rPr>
              <w:t>UI/UX Design</w:t>
            </w:r>
          </w:p>
        </w:tc>
        <w:tc>
          <w:tcPr>
            <w:tcW w:type="dxa" w:w="3312"/>
            <w:shd w:fill="F9FAFB"/>
            <w:tcMar>
              <w:top w:w="100" w:type="dxa"/>
              <w:bottom w:w="100" w:type="dxa"/>
              <w:left w:w="140" w:type="dxa"/>
              <w:right w:w="140" w:type="dxa"/>
            </w:tcMar>
          </w:tcPr>
          <w:p>
            <w:pPr>
              <w:spacing w:after="0"/>
              <w:jc w:val="left"/>
            </w:pPr>
            <w:r>
              <w:rPr>
                <w:rFonts w:ascii="Calibri" w:hAnsi="Calibri"/>
                <w:color w:val="374151"/>
                <w:sz w:val="19"/>
              </w:rPr>
              <w:t>Interactive screens, software apps, digital clicks</w:t>
            </w:r>
          </w:p>
        </w:tc>
        <w:tc>
          <w:tcPr>
            <w:tcW w:type="dxa" w:w="3888"/>
            <w:shd w:fill="F9FAFB"/>
            <w:tcMar>
              <w:top w:w="100" w:type="dxa"/>
              <w:bottom w:w="100" w:type="dxa"/>
              <w:left w:w="140" w:type="dxa"/>
              <w:right w:w="140" w:type="dxa"/>
            </w:tcMar>
          </w:tcPr>
          <w:p>
            <w:pPr>
              <w:spacing w:after="0"/>
              <w:jc w:val="left"/>
            </w:pPr>
            <w:r>
              <w:rPr>
                <w:rFonts w:ascii="Calibri" w:hAnsi="Calibri"/>
                <w:color w:val="374151"/>
                <w:sz w:val="19"/>
              </w:rPr>
              <w:t>Doc Eng focuses on static/semi-static dense prose &amp; complex tabular artifacts.</w:t>
            </w:r>
          </w:p>
        </w:tc>
      </w:tr>
      <w:tr>
        <w:tc>
          <w:tcPr>
            <w:tcW w:type="dxa" w:w="2160"/>
            <w:shd w:fill="FFFFFF"/>
            <w:tcMar>
              <w:top w:w="100" w:type="dxa"/>
              <w:bottom w:w="100" w:type="dxa"/>
              <w:left w:w="140" w:type="dxa"/>
              <w:right w:w="140" w:type="dxa"/>
            </w:tcMar>
          </w:tcPr>
          <w:p>
            <w:pPr>
              <w:spacing w:after="0"/>
              <w:jc w:val="left"/>
            </w:pPr>
            <w:r>
              <w:rPr>
                <w:rFonts w:ascii="Calibri" w:hAnsi="Calibri"/>
                <w:color w:val="374151"/>
                <w:sz w:val="19"/>
              </w:rPr>
              <w:t>Technical Writing</w:t>
            </w:r>
          </w:p>
        </w:tc>
        <w:tc>
          <w:tcPr>
            <w:tcW w:type="dxa" w:w="3312"/>
            <w:shd w:fill="FFFFFF"/>
            <w:tcMar>
              <w:top w:w="100" w:type="dxa"/>
              <w:bottom w:w="100" w:type="dxa"/>
              <w:left w:w="140" w:type="dxa"/>
              <w:right w:w="140" w:type="dxa"/>
            </w:tcMar>
          </w:tcPr>
          <w:p>
            <w:pPr>
              <w:spacing w:after="0"/>
              <w:jc w:val="left"/>
            </w:pPr>
            <w:r>
              <w:rPr>
                <w:rFonts w:ascii="Calibri" w:hAnsi="Calibri"/>
                <w:color w:val="374151"/>
                <w:sz w:val="19"/>
              </w:rPr>
              <w:t>Authoring, drafting, and rewriting content prose</w:t>
            </w:r>
          </w:p>
        </w:tc>
        <w:tc>
          <w:tcPr>
            <w:tcW w:type="dxa" w:w="3888"/>
            <w:shd w:fill="FFFFFF"/>
            <w:tcMar>
              <w:top w:w="100" w:type="dxa"/>
              <w:bottom w:w="100" w:type="dxa"/>
              <w:left w:w="140" w:type="dxa"/>
              <w:right w:w="140" w:type="dxa"/>
            </w:tcMar>
          </w:tcPr>
          <w:p>
            <w:pPr>
              <w:spacing w:after="0"/>
              <w:jc w:val="left"/>
            </w:pPr>
            <w:r>
              <w:rPr>
                <w:rFonts w:ascii="Calibri" w:hAnsi="Calibri"/>
                <w:color w:val="374151"/>
                <w:sz w:val="19"/>
              </w:rPr>
              <w:t>Doc Eng accepts existing content as an immutable constraint; alters representation only.</w:t>
            </w:r>
          </w:p>
        </w:tc>
      </w:tr>
      <w:tr>
        <w:tc>
          <w:tcPr>
            <w:tcW w:type="dxa" w:w="2160"/>
            <w:shd w:fill="F9FAFB"/>
            <w:tcMar>
              <w:top w:w="100" w:type="dxa"/>
              <w:bottom w:w="100" w:type="dxa"/>
              <w:left w:w="140" w:type="dxa"/>
              <w:right w:w="140" w:type="dxa"/>
            </w:tcMar>
          </w:tcPr>
          <w:p>
            <w:pPr>
              <w:spacing w:after="0"/>
              <w:jc w:val="left"/>
            </w:pPr>
            <w:r>
              <w:rPr>
                <w:rFonts w:ascii="Calibri" w:hAnsi="Calibri"/>
                <w:color w:val="374151"/>
                <w:sz w:val="19"/>
              </w:rPr>
              <w:t>Document AI / OCR</w:t>
            </w:r>
          </w:p>
        </w:tc>
        <w:tc>
          <w:tcPr>
            <w:tcW w:type="dxa" w:w="3312"/>
            <w:shd w:fill="F9FAFB"/>
            <w:tcMar>
              <w:top w:w="100" w:type="dxa"/>
              <w:bottom w:w="100" w:type="dxa"/>
              <w:left w:w="140" w:type="dxa"/>
              <w:right w:w="140" w:type="dxa"/>
            </w:tcMar>
          </w:tcPr>
          <w:p>
            <w:pPr>
              <w:spacing w:after="0"/>
              <w:jc w:val="left"/>
            </w:pPr>
            <w:r>
              <w:rPr>
                <w:rFonts w:ascii="Calibri" w:hAnsi="Calibri"/>
                <w:color w:val="374151"/>
                <w:sz w:val="19"/>
              </w:rPr>
              <w:t>Parsing unstructured PDFs for machine ingestion</w:t>
            </w:r>
          </w:p>
        </w:tc>
        <w:tc>
          <w:tcPr>
            <w:tcW w:type="dxa" w:w="3888"/>
            <w:shd w:fill="F9FAFB"/>
            <w:tcMar>
              <w:top w:w="100" w:type="dxa"/>
              <w:bottom w:w="100" w:type="dxa"/>
              <w:left w:w="140" w:type="dxa"/>
              <w:right w:w="140" w:type="dxa"/>
            </w:tcMar>
          </w:tcPr>
          <w:p>
            <w:pPr>
              <w:spacing w:after="0"/>
              <w:jc w:val="left"/>
            </w:pPr>
            <w:r>
              <w:rPr>
                <w:rFonts w:ascii="Calibri" w:hAnsi="Calibri"/>
                <w:color w:val="374151"/>
                <w:sz w:val="19"/>
              </w:rPr>
              <w:t>Doc Eng restructures information for human executive cognitive comprehension.</w:t>
            </w:r>
          </w:p>
        </w:tc>
      </w:tr>
    </w:tbl>
    <w:p>
      <w:pPr>
        <w:spacing w:after="120"/>
      </w:pPr>
    </w:p>
    <w:p>
      <w:pPr>
        <w:keepNext/>
        <w:spacing w:before="280" w:after="120"/>
      </w:pPr>
      <w:r>
        <w:rPr>
          <w:rFonts w:ascii="Calibri" w:hAnsi="Calibri"/>
          <w:b/>
          <w:color w:val="005A5A"/>
          <w:sz w:val="26"/>
        </w:rPr>
        <w:t>5. Document-Level vs Organizational-Level Engineering</w:t>
      </w:r>
    </w:p>
    <w:tbl>
      <w:tblPr>
        <w:tblW w:type="auto" w:w="0"/>
        <w:jc w:val="center"/>
        <w:tblLayout w:type="fixed"/>
        <w:tblLook w:firstColumn="1" w:firstRow="1" w:lastColumn="0" w:lastRow="0" w:noHBand="0" w:noVBand="1" w:val="04A0"/>
      </w:tblPr>
      <w:tblGrid>
        <w:gridCol w:w="9360"/>
      </w:tblGrid>
      <w:tr>
        <w:tc>
          <w:tcPr>
            <w:tcW w:type="dxa" w:w="9360"/>
            <w:shd w:fill="FFF9E6"/>
            <w:tcBorders>
              <w:left w:val="single" w:sz="24" w:space="0" w:color="D97706"/>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92400E"/>
                <w:sz w:val="21"/>
              </w:rPr>
              <w:t>Real-Life Example &amp; Mental Model: Analogy: Tuning One Car Engine vs. Building an Automotive Factory</w:t>
              <w:br/>
            </w:r>
            <w:r>
              <w:rPr>
                <w:rFonts w:ascii="Calibri" w:hAnsi="Calibri"/>
                <w:color w:val="333333"/>
                <w:sz w:val="20"/>
              </w:rPr>
              <w:t>Document-Level Engineering is like taking one specific race car engine (e.g., an NBFC Credit Memo) and precision-tuning its parts for maximum speed. Organizational-Level Engineering is like designing the entire automotive factory infrastructure, establishing standardization rules, toolings, and assembly lines across the whole enterprise.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Document-Level vs Organizational-Level Source Text</w:t>
              <w:br/>
            </w:r>
            <w:r>
              <w:rPr>
                <w:rFonts w:ascii="Calibri" w:hAnsi="Calibri"/>
                <w:color w:val="333333"/>
                <w:sz w:val="20"/>
              </w:rPr>
              <w:t>The commercial architecture mandates a strict separation between two scales of the capability, as combining them creates sales friction and pricing confusion.</w:t>
            </w:r>
          </w:p>
          <w:p>
            <w:pPr>
              <w:spacing w:before="0" w:after="60" w:line="276" w:lineRule="auto"/>
            </w:pPr>
            <w:r>
              <w:rPr>
                <w:rFonts w:ascii="Calibri" w:hAnsi="Calibri"/>
                <w:color w:val="333333"/>
                <w:sz w:val="20"/>
              </w:rPr>
              <w:t>At the first scale, Document-Level Document Engineering involves the receipt of a specific, existing document (e.g., an equity research report or credit appraisal memo) and the direct re-engineering of that single artifact into a transformed visual and structural representation. This is a transactional, output-focused professional service with clear boundaries.</w:t>
            </w:r>
          </w:p>
          <w:p>
            <w:pPr>
              <w:spacing w:before="0" w:after="60" w:line="276" w:lineRule="auto"/>
            </w:pPr>
            <w:r>
              <w:rPr>
                <w:rFonts w:ascii="Calibri" w:hAnsi="Calibri"/>
                <w:color w:val="333333"/>
                <w:sz w:val="20"/>
              </w:rPr>
              <w:t>At the second scale, Organizational Information-System Engineering operates at the enterprise system level. It involves auditing an organization's document workflows, creating standardized representation systems, defining structural taxonomies, and establishing internal document production rules. This is a consulting engagement that operates at the level of Information Architecture and Management Consulting.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BF3FA"/>
            <w:tcBorders>
              <w:left w:val="single" w:sz="24" w:space="0" w:color="2563EB"/>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E40AF"/>
                <w:sz w:val="21"/>
              </w:rPr>
              <w:t>How It Works (Mechanism &amp; Cognitive Science): Two-Scale Service Breakdown</w:t>
              <w:br/>
            </w:r>
          </w:p>
          <w:p>
            <w:pPr>
              <w:spacing w:before="0" w:after="40" w:line="276" w:lineRule="auto"/>
            </w:pPr>
            <w:r>
              <w:rPr>
                <w:rFonts w:ascii="Calibri" w:hAnsi="Calibri"/>
                <w:color w:val="333333"/>
                <w:sz w:val="20"/>
              </w:rPr>
              <w:t>• Level 1 (Document-Level): Transactional, artifact-focused service transforming a specific high-stakes document archetype (e.g., Credit Memo, Research Report). Bounded scope, fixed project fee.</w:t>
            </w:r>
          </w:p>
          <w:p>
            <w:pPr>
              <w:spacing w:before="0" w:after="40" w:line="276" w:lineRule="auto"/>
            </w:pPr>
            <w:r>
              <w:rPr>
                <w:rFonts w:ascii="Calibri" w:hAnsi="Calibri"/>
                <w:color w:val="333333"/>
                <w:sz w:val="20"/>
              </w:rPr>
              <w:t>• Level 2 (Organizational-Level): Systemic management consulting engagement auditing enterprise workflows, establishing representation standards, CIRS rules engines, and information architecture.</w:t>
            </w:r>
          </w:p>
        </w:tc>
      </w:tr>
    </w:tbl>
    <w:p>
      <w:pPr>
        <w:spacing w:after="80"/>
      </w:pPr>
    </w:p>
    <w:p>
      <w:pPr>
        <w:keepNext/>
        <w:spacing w:before="280" w:after="120"/>
      </w:pPr>
      <w:r>
        <w:rPr>
          <w:rFonts w:ascii="Calibri" w:hAnsi="Calibri"/>
          <w:b/>
          <w:color w:val="005A5A"/>
          <w:sz w:val="26"/>
        </w:rPr>
        <w:t>6–9. Relationships with Internal Research Frameworks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Internal Framework Relationships Source Text</w:t>
              <w:br/>
            </w:r>
            <w:r>
              <w:rPr>
                <w:rFonts w:ascii="Calibri" w:hAnsi="Calibri"/>
                <w:color w:val="333333"/>
                <w:sz w:val="20"/>
              </w:rPr>
              <w:t>6. Relationship with PDRF: The Professional Document Reading Framework (PDRF) is distinct from Document Engineering. PDRF is the diagnostic research model used to measure and evaluate how professionals read, process, and extract information from documents. Document Engineering is the applied capability that uses PDRF insights to transform document artifacts.</w:t>
            </w:r>
          </w:p>
          <w:p>
            <w:pPr>
              <w:spacing w:before="0" w:after="60" w:line="276" w:lineRule="auto"/>
            </w:pPr>
            <w:r>
              <w:rPr>
                <w:rFonts w:ascii="Calibri" w:hAnsi="Calibri"/>
                <w:color w:val="333333"/>
                <w:sz w:val="20"/>
              </w:rPr>
              <w:t>7. Relationship with CIRS: The Contextual Information Representation System (CIRS) serves as the foundational rule engine and structural taxonomy for Document Engineering. CIRS defines the precise rules, spatial arrangements, visual markers, and structural transformations applied during the engineering process.</w:t>
            </w:r>
          </w:p>
          <w:p>
            <w:pPr>
              <w:spacing w:before="0" w:after="60" w:line="276" w:lineRule="auto"/>
            </w:pPr>
            <w:r>
              <w:rPr>
                <w:rFonts w:ascii="Calibri" w:hAnsi="Calibri"/>
                <w:color w:val="333333"/>
                <w:sz w:val="20"/>
              </w:rPr>
              <w:t>8. Relationship with CIRF: The Contextual Information Representation Framework (CIRF) is the formal, paid organizational service offering. It represents the commercial packaging of Document Engineering and CIRS into a structured consulting engagement for enterprise clients.</w:t>
            </w:r>
          </w:p>
          <w:p>
            <w:pPr>
              <w:spacing w:before="0" w:after="60" w:line="276" w:lineRule="auto"/>
            </w:pPr>
            <w:r>
              <w:rPr>
                <w:rFonts w:ascii="Calibri" w:hAnsi="Calibri"/>
                <w:color w:val="333333"/>
                <w:sz w:val="20"/>
              </w:rPr>
              <w:t>9. Relationship with CIRE-001: The Contextual Information Representation Experiment (CIRE-001) is the experimental, scientific proof-of-concept dataset that validated the core thesis of Document Engineering. It provides the empirical evidence that structured information representation reduces reader processing time and error rates.</w:t>
            </w:r>
          </w:p>
        </w:tc>
      </w:tr>
    </w:tbl>
    <w:p>
      <w:pPr>
        <w:spacing w:after="80"/>
      </w:pPr>
    </w:p>
    <w:p>
      <w:pPr>
        <w:keepNext/>
        <w:spacing w:before="200" w:after="80"/>
      </w:pPr>
      <w:r>
        <w:rPr>
          <w:rFonts w:ascii="Calibri" w:hAnsi="Calibri"/>
          <w:b/>
          <w:color w:val="2E5B70"/>
          <w:sz w:val="22"/>
        </w:rPr>
        <w:t>Internal Intellectual Property Ecosystem</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B365D"/>
            <w:tcMar>
              <w:top w:w="120" w:type="dxa"/>
              <w:bottom w:w="120" w:type="dxa"/>
              <w:left w:w="140" w:type="dxa"/>
              <w:right w:w="140" w:type="dxa"/>
            </w:tcMar>
          </w:tcPr>
          <w:p>
            <w:pPr>
              <w:spacing w:after="0"/>
              <w:jc w:val="left"/>
            </w:pPr>
            <w:r>
              <w:rPr>
                <w:rFonts w:ascii="Calibri" w:hAnsi="Calibri"/>
                <w:b/>
                <w:color w:val="FFFFFF"/>
                <w:sz w:val="20"/>
              </w:rPr>
              <w:t>Framework Symbol</w:t>
            </w:r>
          </w:p>
        </w:tc>
        <w:tc>
          <w:tcPr>
            <w:tcW w:type="dxa" w:w="3312"/>
            <w:shd w:fill="1B365D"/>
            <w:tcMar>
              <w:top w:w="120" w:type="dxa"/>
              <w:bottom w:w="120" w:type="dxa"/>
              <w:left w:w="140" w:type="dxa"/>
              <w:right w:w="140" w:type="dxa"/>
            </w:tcMar>
          </w:tcPr>
          <w:p>
            <w:pPr>
              <w:spacing w:after="0"/>
              <w:jc w:val="left"/>
            </w:pPr>
            <w:r>
              <w:rPr>
                <w:rFonts w:ascii="Calibri" w:hAnsi="Calibri"/>
                <w:b/>
                <w:color w:val="FFFFFF"/>
                <w:sz w:val="20"/>
              </w:rPr>
              <w:t>Full Nomenclature</w:t>
            </w:r>
          </w:p>
        </w:tc>
        <w:tc>
          <w:tcPr>
            <w:tcW w:type="dxa" w:w="4320"/>
            <w:shd w:fill="1B365D"/>
            <w:tcMar>
              <w:top w:w="120" w:type="dxa"/>
              <w:bottom w:w="120" w:type="dxa"/>
              <w:left w:w="140" w:type="dxa"/>
              <w:right w:w="140" w:type="dxa"/>
            </w:tcMar>
          </w:tcPr>
          <w:p>
            <w:pPr>
              <w:spacing w:after="0"/>
              <w:jc w:val="left"/>
            </w:pPr>
            <w:r>
              <w:rPr>
                <w:rFonts w:ascii="Calibri" w:hAnsi="Calibri"/>
                <w:b/>
                <w:color w:val="FFFFFF"/>
                <w:sz w:val="20"/>
              </w:rPr>
              <w:t>Role in Capability Architecture</w:t>
            </w:r>
          </w:p>
        </w:tc>
      </w:tr>
      <w:tr>
        <w:tc>
          <w:tcPr>
            <w:tcW w:type="dxa" w:w="1728"/>
            <w:shd w:fill="FFFFFF"/>
            <w:tcMar>
              <w:top w:w="100" w:type="dxa"/>
              <w:bottom w:w="100" w:type="dxa"/>
              <w:left w:w="140" w:type="dxa"/>
              <w:right w:w="140" w:type="dxa"/>
            </w:tcMar>
          </w:tcPr>
          <w:p>
            <w:pPr>
              <w:spacing w:after="0"/>
              <w:jc w:val="left"/>
            </w:pPr>
            <w:r>
              <w:rPr>
                <w:rFonts w:ascii="Calibri" w:hAnsi="Calibri"/>
                <w:color w:val="374151"/>
                <w:sz w:val="19"/>
              </w:rPr>
              <w:t>CIRE-001</w:t>
            </w:r>
          </w:p>
        </w:tc>
        <w:tc>
          <w:tcPr>
            <w:tcW w:type="dxa" w:w="3312"/>
            <w:shd w:fill="FFFFFF"/>
            <w:tcMar>
              <w:top w:w="100" w:type="dxa"/>
              <w:bottom w:w="100" w:type="dxa"/>
              <w:left w:w="140" w:type="dxa"/>
              <w:right w:w="140" w:type="dxa"/>
            </w:tcMar>
          </w:tcPr>
          <w:p>
            <w:pPr>
              <w:spacing w:after="0"/>
              <w:jc w:val="left"/>
            </w:pPr>
            <w:r>
              <w:rPr>
                <w:rFonts w:ascii="Calibri" w:hAnsi="Calibri"/>
                <w:color w:val="374151"/>
                <w:sz w:val="19"/>
              </w:rPr>
              <w:t>Contextual Information Representation Experiment 001</w:t>
            </w:r>
          </w:p>
        </w:tc>
        <w:tc>
          <w:tcPr>
            <w:tcW w:type="dxa" w:w="4320"/>
            <w:shd w:fill="FFFFFF"/>
            <w:tcMar>
              <w:top w:w="100" w:type="dxa"/>
              <w:bottom w:w="100" w:type="dxa"/>
              <w:left w:w="140" w:type="dxa"/>
              <w:right w:w="140" w:type="dxa"/>
            </w:tcMar>
          </w:tcPr>
          <w:p>
            <w:pPr>
              <w:spacing w:after="0"/>
              <w:jc w:val="left"/>
            </w:pPr>
            <w:r>
              <w:rPr>
                <w:rFonts w:ascii="Calibri" w:hAnsi="Calibri"/>
                <w:color w:val="374151"/>
                <w:sz w:val="19"/>
              </w:rPr>
              <w:t>Scientific validation prototype establishing empirical proof of reduced processing time.</w:t>
            </w:r>
          </w:p>
        </w:tc>
      </w:tr>
      <w:tr>
        <w:tc>
          <w:tcPr>
            <w:tcW w:type="dxa" w:w="1728"/>
            <w:shd w:fill="F9FAFB"/>
            <w:tcMar>
              <w:top w:w="100" w:type="dxa"/>
              <w:bottom w:w="100" w:type="dxa"/>
              <w:left w:w="140" w:type="dxa"/>
              <w:right w:w="140" w:type="dxa"/>
            </w:tcMar>
          </w:tcPr>
          <w:p>
            <w:pPr>
              <w:spacing w:after="0"/>
              <w:jc w:val="left"/>
            </w:pPr>
            <w:r>
              <w:rPr>
                <w:rFonts w:ascii="Calibri" w:hAnsi="Calibri"/>
                <w:color w:val="374151"/>
                <w:sz w:val="19"/>
              </w:rPr>
              <w:t>PDRF</w:t>
            </w:r>
          </w:p>
        </w:tc>
        <w:tc>
          <w:tcPr>
            <w:tcW w:type="dxa" w:w="3312"/>
            <w:shd w:fill="F9FAFB"/>
            <w:tcMar>
              <w:top w:w="100" w:type="dxa"/>
              <w:bottom w:w="100" w:type="dxa"/>
              <w:left w:w="140" w:type="dxa"/>
              <w:right w:w="140" w:type="dxa"/>
            </w:tcMar>
          </w:tcPr>
          <w:p>
            <w:pPr>
              <w:spacing w:after="0"/>
              <w:jc w:val="left"/>
            </w:pPr>
            <w:r>
              <w:rPr>
                <w:rFonts w:ascii="Calibri" w:hAnsi="Calibri"/>
                <w:color w:val="374151"/>
                <w:sz w:val="19"/>
              </w:rPr>
              <w:t>Professional Document Reading Framework</w:t>
            </w:r>
          </w:p>
        </w:tc>
        <w:tc>
          <w:tcPr>
            <w:tcW w:type="dxa" w:w="4320"/>
            <w:shd w:fill="F9FAFB"/>
            <w:tcMar>
              <w:top w:w="100" w:type="dxa"/>
              <w:bottom w:w="100" w:type="dxa"/>
              <w:left w:w="140" w:type="dxa"/>
              <w:right w:w="140" w:type="dxa"/>
            </w:tcMar>
          </w:tcPr>
          <w:p>
            <w:pPr>
              <w:spacing w:after="0"/>
              <w:jc w:val="left"/>
            </w:pPr>
            <w:r>
              <w:rPr>
                <w:rFonts w:ascii="Calibri" w:hAnsi="Calibri"/>
                <w:color w:val="374151"/>
                <w:sz w:val="19"/>
              </w:rPr>
              <w:t>Diagnostic research model measuring human reading behavior and visual friction.</w:t>
            </w:r>
          </w:p>
        </w:tc>
      </w:tr>
      <w:tr>
        <w:tc>
          <w:tcPr>
            <w:tcW w:type="dxa" w:w="1728"/>
            <w:shd w:fill="FFFFFF"/>
            <w:tcMar>
              <w:top w:w="100" w:type="dxa"/>
              <w:bottom w:w="100" w:type="dxa"/>
              <w:left w:w="140" w:type="dxa"/>
              <w:right w:w="140" w:type="dxa"/>
            </w:tcMar>
          </w:tcPr>
          <w:p>
            <w:pPr>
              <w:spacing w:after="0"/>
              <w:jc w:val="left"/>
            </w:pPr>
            <w:r>
              <w:rPr>
                <w:rFonts w:ascii="Calibri" w:hAnsi="Calibri"/>
                <w:color w:val="374151"/>
                <w:sz w:val="19"/>
              </w:rPr>
              <w:t>CIRS</w:t>
            </w:r>
          </w:p>
        </w:tc>
        <w:tc>
          <w:tcPr>
            <w:tcW w:type="dxa" w:w="3312"/>
            <w:shd w:fill="FFFFFF"/>
            <w:tcMar>
              <w:top w:w="100" w:type="dxa"/>
              <w:bottom w:w="100" w:type="dxa"/>
              <w:left w:w="140" w:type="dxa"/>
              <w:right w:w="140" w:type="dxa"/>
            </w:tcMar>
          </w:tcPr>
          <w:p>
            <w:pPr>
              <w:spacing w:after="0"/>
              <w:jc w:val="left"/>
            </w:pPr>
            <w:r>
              <w:rPr>
                <w:rFonts w:ascii="Calibri" w:hAnsi="Calibri"/>
                <w:color w:val="374151"/>
                <w:sz w:val="19"/>
              </w:rPr>
              <w:t>Contextual Information Representation System</w:t>
            </w:r>
          </w:p>
        </w:tc>
        <w:tc>
          <w:tcPr>
            <w:tcW w:type="dxa" w:w="4320"/>
            <w:shd w:fill="FFFFFF"/>
            <w:tcMar>
              <w:top w:w="100" w:type="dxa"/>
              <w:bottom w:w="100" w:type="dxa"/>
              <w:left w:w="140" w:type="dxa"/>
              <w:right w:w="140" w:type="dxa"/>
            </w:tcMar>
          </w:tcPr>
          <w:p>
            <w:pPr>
              <w:spacing w:after="0"/>
              <w:jc w:val="left"/>
            </w:pPr>
            <w:r>
              <w:rPr>
                <w:rFonts w:ascii="Calibri" w:hAnsi="Calibri"/>
                <w:color w:val="374151"/>
                <w:sz w:val="19"/>
              </w:rPr>
              <w:t>Proprietary rule engine &amp; structural taxonomy governing spatial transformations.</w:t>
            </w:r>
          </w:p>
        </w:tc>
      </w:tr>
      <w:tr>
        <w:tc>
          <w:tcPr>
            <w:tcW w:type="dxa" w:w="1728"/>
            <w:shd w:fill="F9FAFB"/>
            <w:tcMar>
              <w:top w:w="100" w:type="dxa"/>
              <w:bottom w:w="100" w:type="dxa"/>
              <w:left w:w="140" w:type="dxa"/>
              <w:right w:w="140" w:type="dxa"/>
            </w:tcMar>
          </w:tcPr>
          <w:p>
            <w:pPr>
              <w:spacing w:after="0"/>
              <w:jc w:val="left"/>
            </w:pPr>
            <w:r>
              <w:rPr>
                <w:rFonts w:ascii="Calibri" w:hAnsi="Calibri"/>
                <w:color w:val="374151"/>
                <w:sz w:val="19"/>
              </w:rPr>
              <w:t>Document Eng.</w:t>
            </w:r>
          </w:p>
        </w:tc>
        <w:tc>
          <w:tcPr>
            <w:tcW w:type="dxa" w:w="3312"/>
            <w:shd w:fill="F9FAFB"/>
            <w:tcMar>
              <w:top w:w="100" w:type="dxa"/>
              <w:bottom w:w="100" w:type="dxa"/>
              <w:left w:w="140" w:type="dxa"/>
              <w:right w:w="140" w:type="dxa"/>
            </w:tcMar>
          </w:tcPr>
          <w:p>
            <w:pPr>
              <w:spacing w:after="0"/>
              <w:jc w:val="left"/>
            </w:pPr>
            <w:r>
              <w:rPr>
                <w:rFonts w:ascii="Calibri" w:hAnsi="Calibri"/>
                <w:color w:val="374151"/>
                <w:sz w:val="19"/>
              </w:rPr>
              <w:t>Document Engineering</w:t>
            </w:r>
          </w:p>
        </w:tc>
        <w:tc>
          <w:tcPr>
            <w:tcW w:type="dxa" w:w="4320"/>
            <w:shd w:fill="F9FAFB"/>
            <w:tcMar>
              <w:top w:w="100" w:type="dxa"/>
              <w:bottom w:w="100" w:type="dxa"/>
              <w:left w:w="140" w:type="dxa"/>
              <w:right w:w="140" w:type="dxa"/>
            </w:tcMar>
          </w:tcPr>
          <w:p>
            <w:pPr>
              <w:spacing w:after="0"/>
              <w:jc w:val="left"/>
            </w:pPr>
            <w:r>
              <w:rPr>
                <w:rFonts w:ascii="Calibri" w:hAnsi="Calibri"/>
                <w:color w:val="374151"/>
                <w:sz w:val="19"/>
              </w:rPr>
              <w:t>The core technical capability applying rules to preserve content &amp; transform layout.</w:t>
            </w:r>
          </w:p>
        </w:tc>
      </w:tr>
      <w:tr>
        <w:tc>
          <w:tcPr>
            <w:tcW w:type="dxa" w:w="1728"/>
            <w:shd w:fill="FFFFFF"/>
            <w:tcMar>
              <w:top w:w="100" w:type="dxa"/>
              <w:bottom w:w="100" w:type="dxa"/>
              <w:left w:w="140" w:type="dxa"/>
              <w:right w:w="140" w:type="dxa"/>
            </w:tcMar>
          </w:tcPr>
          <w:p>
            <w:pPr>
              <w:spacing w:after="0"/>
              <w:jc w:val="left"/>
            </w:pPr>
            <w:r>
              <w:rPr>
                <w:rFonts w:ascii="Calibri" w:hAnsi="Calibri"/>
                <w:color w:val="374151"/>
                <w:sz w:val="19"/>
              </w:rPr>
              <w:t>CIRF</w:t>
            </w:r>
          </w:p>
        </w:tc>
        <w:tc>
          <w:tcPr>
            <w:tcW w:type="dxa" w:w="3312"/>
            <w:shd w:fill="FFFFFF"/>
            <w:tcMar>
              <w:top w:w="100" w:type="dxa"/>
              <w:bottom w:w="100" w:type="dxa"/>
              <w:left w:w="140" w:type="dxa"/>
              <w:right w:w="140" w:type="dxa"/>
            </w:tcMar>
          </w:tcPr>
          <w:p>
            <w:pPr>
              <w:spacing w:after="0"/>
              <w:jc w:val="left"/>
            </w:pPr>
            <w:r>
              <w:rPr>
                <w:rFonts w:ascii="Calibri" w:hAnsi="Calibri"/>
                <w:color w:val="374151"/>
                <w:sz w:val="19"/>
              </w:rPr>
              <w:t>Contextual Information Representation Framework</w:t>
            </w:r>
          </w:p>
        </w:tc>
        <w:tc>
          <w:tcPr>
            <w:tcW w:type="dxa" w:w="4320"/>
            <w:shd w:fill="FFFFFF"/>
            <w:tcMar>
              <w:top w:w="100" w:type="dxa"/>
              <w:bottom w:w="100" w:type="dxa"/>
              <w:left w:w="140" w:type="dxa"/>
              <w:right w:w="140" w:type="dxa"/>
            </w:tcMar>
          </w:tcPr>
          <w:p>
            <w:pPr>
              <w:spacing w:after="0"/>
              <w:jc w:val="left"/>
            </w:pPr>
            <w:r>
              <w:rPr>
                <w:rFonts w:ascii="Calibri" w:hAnsi="Calibri"/>
                <w:color w:val="374151"/>
                <w:sz w:val="19"/>
              </w:rPr>
              <w:t>The formal paid enterprise consulting product packaged for corporate procurement.</w:t>
            </w:r>
          </w:p>
        </w:tc>
      </w:tr>
    </w:tbl>
    <w:p>
      <w:pPr>
        <w:spacing w:after="120"/>
      </w:pPr>
    </w:p>
    <w:p>
      <w:pPr>
        <w:keepNext/>
        <w:spacing w:before="360" w:after="160"/>
      </w:pPr>
      <w:r>
        <w:rPr>
          <w:rFonts w:ascii="Calibri" w:hAnsi="Calibri"/>
          <w:b/>
          <w:color w:val="1B365D"/>
          <w:sz w:val="32"/>
        </w:rPr>
        <w:t>Part II: Commercial Market Positioning &amp; Competitive Landscape</w:t>
      </w:r>
    </w:p>
    <w:p>
      <w:pPr>
        <w:keepNext/>
        <w:spacing w:before="280" w:after="120"/>
      </w:pPr>
      <w:r>
        <w:rPr>
          <w:rFonts w:ascii="Calibri" w:hAnsi="Calibri"/>
          <w:b/>
          <w:color w:val="005A5A"/>
          <w:sz w:val="26"/>
        </w:rPr>
        <w:t>10. Existing Commercial Market Categories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Commercial Market Categories Source Text</w:t>
              <w:br/>
            </w:r>
            <w:r>
              <w:rPr>
                <w:rFonts w:ascii="Calibri" w:hAnsi="Calibri"/>
                <w:color w:val="333333"/>
                <w:sz w:val="20"/>
              </w:rPr>
              <w:t>Document Engineering does not exist as an isolated category in corporate procurement software registries. To position it effectively, we must evaluate the five adjacent commercial market categories where procurement dollars currently flow.</w:t>
            </w:r>
          </w:p>
        </w:tc>
      </w:tr>
    </w:tbl>
    <w:p>
      <w:pPr>
        <w:spacing w:after="80"/>
      </w:pPr>
    </w:p>
    <w:p>
      <w:pPr>
        <w:keepNext/>
        <w:spacing w:before="200" w:after="80"/>
      </w:pPr>
      <w:r>
        <w:rPr>
          <w:rFonts w:ascii="Calibri" w:hAnsi="Calibri"/>
          <w:b/>
          <w:color w:val="2E5B70"/>
          <w:sz w:val="22"/>
        </w:rPr>
        <w:t>Table 1: Adjacent Market Categories &amp; Competitive Overlap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20" w:type="dxa"/>
              <w:bottom w:w="120" w:type="dxa"/>
              <w:left w:w="140" w:type="dxa"/>
              <w:right w:w="140" w:type="dxa"/>
            </w:tcMar>
          </w:tcPr>
          <w:p>
            <w:pPr>
              <w:spacing w:after="0"/>
              <w:jc w:val="left"/>
            </w:pPr>
            <w:r>
              <w:rPr>
                <w:rFonts w:ascii="Calibri" w:hAnsi="Calibri"/>
                <w:b/>
                <w:color w:val="FFFFFF"/>
                <w:sz w:val="20"/>
              </w:rPr>
              <w:t>Market Category</w:t>
            </w:r>
          </w:p>
        </w:tc>
        <w:tc>
          <w:tcPr>
            <w:tcW w:type="dxa" w:w="2592"/>
            <w:shd w:fill="1B365D"/>
            <w:tcMar>
              <w:top w:w="120" w:type="dxa"/>
              <w:bottom w:w="120" w:type="dxa"/>
              <w:left w:w="140" w:type="dxa"/>
              <w:right w:w="140" w:type="dxa"/>
            </w:tcMar>
          </w:tcPr>
          <w:p>
            <w:pPr>
              <w:spacing w:after="0"/>
              <w:jc w:val="left"/>
            </w:pPr>
            <w:r>
              <w:rPr>
                <w:rFonts w:ascii="Calibri" w:hAnsi="Calibri"/>
                <w:b/>
                <w:color w:val="FFFFFF"/>
                <w:sz w:val="20"/>
              </w:rPr>
              <w:t>Standard Market Definition</w:t>
            </w:r>
          </w:p>
        </w:tc>
        <w:tc>
          <w:tcPr>
            <w:tcW w:type="dxa" w:w="2016"/>
            <w:shd w:fill="1B365D"/>
            <w:tcMar>
              <w:top w:w="120" w:type="dxa"/>
              <w:bottom w:w="120" w:type="dxa"/>
              <w:left w:w="140" w:type="dxa"/>
              <w:right w:w="140" w:type="dxa"/>
            </w:tcMar>
          </w:tcPr>
          <w:p>
            <w:pPr>
              <w:spacing w:after="0"/>
              <w:jc w:val="left"/>
            </w:pPr>
            <w:r>
              <w:rPr>
                <w:rFonts w:ascii="Calibri" w:hAnsi="Calibri"/>
                <w:b/>
                <w:color w:val="FFFFFF"/>
                <w:sz w:val="20"/>
              </w:rPr>
              <w:t>Typical Pricing &amp; Economic Buyer</w:t>
            </w:r>
          </w:p>
        </w:tc>
        <w:tc>
          <w:tcPr>
            <w:tcW w:type="dxa" w:w="2880"/>
            <w:shd w:fill="1B365D"/>
            <w:tcMar>
              <w:top w:w="120" w:type="dxa"/>
              <w:bottom w:w="120" w:type="dxa"/>
              <w:left w:w="140" w:type="dxa"/>
              <w:right w:w="140" w:type="dxa"/>
            </w:tcMar>
          </w:tcPr>
          <w:p>
            <w:pPr>
              <w:spacing w:after="0"/>
              <w:jc w:val="left"/>
            </w:pPr>
            <w:r>
              <w:rPr>
                <w:rFonts w:ascii="Calibri" w:hAnsi="Calibri"/>
                <w:b/>
                <w:color w:val="FFFFFF"/>
                <w:sz w:val="20"/>
              </w:rPr>
              <w:t>Overlap &amp; Key Differences</w:t>
            </w:r>
          </w:p>
        </w:tc>
      </w:tr>
      <w:tr>
        <w:tc>
          <w:tcPr>
            <w:tcW w:type="dxa" w:w="1872"/>
            <w:shd w:fill="FFFFFF"/>
            <w:tcMar>
              <w:top w:w="100" w:type="dxa"/>
              <w:bottom w:w="100" w:type="dxa"/>
              <w:left w:w="140" w:type="dxa"/>
              <w:right w:w="140" w:type="dxa"/>
            </w:tcMar>
          </w:tcPr>
          <w:p>
            <w:pPr>
              <w:spacing w:after="0"/>
              <w:jc w:val="left"/>
            </w:pPr>
            <w:r>
              <w:rPr>
                <w:rFonts w:ascii="Calibri" w:hAnsi="Calibri"/>
                <w:color w:val="374151"/>
                <w:sz w:val="19"/>
              </w:rPr>
              <w:t>Information Architecture (IA)</w:t>
            </w:r>
          </w:p>
        </w:tc>
        <w:tc>
          <w:tcPr>
            <w:tcW w:type="dxa" w:w="2592"/>
            <w:shd w:fill="FFFFFF"/>
            <w:tcMar>
              <w:top w:w="100" w:type="dxa"/>
              <w:bottom w:w="100" w:type="dxa"/>
              <w:left w:w="140" w:type="dxa"/>
              <w:right w:w="140" w:type="dxa"/>
            </w:tcMar>
          </w:tcPr>
          <w:p>
            <w:pPr>
              <w:spacing w:after="0"/>
              <w:jc w:val="left"/>
            </w:pPr>
            <w:r>
              <w:rPr>
                <w:rFonts w:ascii="Calibri" w:hAnsi="Calibri"/>
                <w:color w:val="374151"/>
                <w:sz w:val="19"/>
              </w:rPr>
              <w:t>Structuring website navigation, corporate intranets, and digital software platforms.</w:t>
            </w:r>
          </w:p>
        </w:tc>
        <w:tc>
          <w:tcPr>
            <w:tcW w:type="dxa" w:w="2016"/>
            <w:shd w:fill="FFFFFF"/>
            <w:tcMar>
              <w:top w:w="100" w:type="dxa"/>
              <w:bottom w:w="100" w:type="dxa"/>
              <w:left w:w="140" w:type="dxa"/>
              <w:right w:w="140" w:type="dxa"/>
            </w:tcMar>
          </w:tcPr>
          <w:p>
            <w:pPr>
              <w:spacing w:after="0"/>
              <w:jc w:val="left"/>
            </w:pPr>
            <w:r>
              <w:rPr>
                <w:rFonts w:ascii="Calibri" w:hAnsi="Calibri"/>
                <w:color w:val="374151"/>
                <w:sz w:val="19"/>
              </w:rPr>
              <w:t>$50K-$150K per project. Buyers: CIO, Head of Digital.</w:t>
            </w:r>
          </w:p>
        </w:tc>
        <w:tc>
          <w:tcPr>
            <w:tcW w:type="dxa" w:w="2880"/>
            <w:shd w:fill="FFFFFF"/>
            <w:tcMar>
              <w:top w:w="100" w:type="dxa"/>
              <w:bottom w:w="100" w:type="dxa"/>
              <w:left w:w="140" w:type="dxa"/>
              <w:right w:w="140" w:type="dxa"/>
            </w:tcMar>
          </w:tcPr>
          <w:p>
            <w:pPr>
              <w:spacing w:after="0"/>
              <w:jc w:val="left"/>
            </w:pPr>
            <w:r>
              <w:rPr>
                <w:rFonts w:ascii="Calibri" w:hAnsi="Calibri"/>
                <w:color w:val="374151"/>
                <w:sz w:val="19"/>
              </w:rPr>
              <w:t>Overlap: Structural hierarchy and logical flow. Difference: Traditional IA focuses on digital navigation trees; Document Engineering focuses on cognitive processing of dense prose and tabular data within static artifacts.</w:t>
            </w:r>
          </w:p>
        </w:tc>
      </w:tr>
      <w:tr>
        <w:tc>
          <w:tcPr>
            <w:tcW w:type="dxa" w:w="1872"/>
            <w:shd w:fill="F9FAFB"/>
            <w:tcMar>
              <w:top w:w="100" w:type="dxa"/>
              <w:bottom w:w="100" w:type="dxa"/>
              <w:left w:w="140" w:type="dxa"/>
              <w:right w:w="140" w:type="dxa"/>
            </w:tcMar>
          </w:tcPr>
          <w:p>
            <w:pPr>
              <w:spacing w:after="0"/>
              <w:jc w:val="left"/>
            </w:pPr>
            <w:r>
              <w:rPr>
                <w:rFonts w:ascii="Calibri" w:hAnsi="Calibri"/>
                <w:color w:val="374151"/>
                <w:sz w:val="19"/>
              </w:rPr>
              <w:t>Technical Communication</w:t>
            </w:r>
          </w:p>
        </w:tc>
        <w:tc>
          <w:tcPr>
            <w:tcW w:type="dxa" w:w="2592"/>
            <w:shd w:fill="F9FAFB"/>
            <w:tcMar>
              <w:top w:w="100" w:type="dxa"/>
              <w:bottom w:w="100" w:type="dxa"/>
              <w:left w:w="140" w:type="dxa"/>
              <w:right w:w="140" w:type="dxa"/>
            </w:tcMar>
          </w:tcPr>
          <w:p>
            <w:pPr>
              <w:spacing w:after="0"/>
              <w:jc w:val="left"/>
            </w:pPr>
            <w:r>
              <w:rPr>
                <w:rFonts w:ascii="Calibri" w:hAnsi="Calibri"/>
                <w:color w:val="374151"/>
                <w:sz w:val="19"/>
              </w:rPr>
              <w:t>Writing, editing, and designing user manuals, API documentation, and engineering specs.</w:t>
            </w:r>
          </w:p>
        </w:tc>
        <w:tc>
          <w:tcPr>
            <w:tcW w:type="dxa" w:w="2016"/>
            <w:shd w:fill="F9FAFB"/>
            <w:tcMar>
              <w:top w:w="100" w:type="dxa"/>
              <w:bottom w:w="100" w:type="dxa"/>
              <w:left w:w="140" w:type="dxa"/>
              <w:right w:w="140" w:type="dxa"/>
            </w:tcMar>
          </w:tcPr>
          <w:p>
            <w:pPr>
              <w:spacing w:after="0"/>
              <w:jc w:val="left"/>
            </w:pPr>
            <w:r>
              <w:rPr>
                <w:rFonts w:ascii="Calibri" w:hAnsi="Calibri"/>
                <w:color w:val="374151"/>
                <w:sz w:val="19"/>
              </w:rPr>
              <w:t>Freelance hourly to mid-tier consulting. Buyers: Head of Engineering, Product.</w:t>
            </w:r>
          </w:p>
        </w:tc>
        <w:tc>
          <w:tcPr>
            <w:tcW w:type="dxa" w:w="2880"/>
            <w:shd w:fill="F9FAFB"/>
            <w:tcMar>
              <w:top w:w="100" w:type="dxa"/>
              <w:bottom w:w="100" w:type="dxa"/>
              <w:left w:w="140" w:type="dxa"/>
              <w:right w:w="140" w:type="dxa"/>
            </w:tcMar>
          </w:tcPr>
          <w:p>
            <w:pPr>
              <w:spacing w:after="0"/>
              <w:jc w:val="left"/>
            </w:pPr>
            <w:r>
              <w:rPr>
                <w:rFonts w:ascii="Calibri" w:hAnsi="Calibri"/>
                <w:color w:val="374151"/>
                <w:sz w:val="19"/>
              </w:rPr>
              <w:t>Overlap: Clarity of complex technical information. Difference: Technical communicators actively write and rewrite content; Document Engineering preserves authorial content and strictly alters visual/semantic representation.</w:t>
            </w:r>
          </w:p>
        </w:tc>
      </w:tr>
      <w:tr>
        <w:tc>
          <w:tcPr>
            <w:tcW w:type="dxa" w:w="1872"/>
            <w:shd w:fill="FFFFFF"/>
            <w:tcMar>
              <w:top w:w="100" w:type="dxa"/>
              <w:bottom w:w="100" w:type="dxa"/>
              <w:left w:w="140" w:type="dxa"/>
              <w:right w:w="140" w:type="dxa"/>
            </w:tcMar>
          </w:tcPr>
          <w:p>
            <w:pPr>
              <w:spacing w:after="0"/>
              <w:jc w:val="left"/>
            </w:pPr>
            <w:r>
              <w:rPr>
                <w:rFonts w:ascii="Calibri" w:hAnsi="Calibri"/>
                <w:color w:val="374151"/>
                <w:sz w:val="19"/>
              </w:rPr>
              <w:t>Document AI / IDP</w:t>
            </w:r>
          </w:p>
        </w:tc>
        <w:tc>
          <w:tcPr>
            <w:tcW w:type="dxa" w:w="2592"/>
            <w:shd w:fill="FFFFFF"/>
            <w:tcMar>
              <w:top w:w="100" w:type="dxa"/>
              <w:bottom w:w="100" w:type="dxa"/>
              <w:left w:w="140" w:type="dxa"/>
              <w:right w:w="140" w:type="dxa"/>
            </w:tcMar>
          </w:tcPr>
          <w:p>
            <w:pPr>
              <w:spacing w:after="0"/>
              <w:jc w:val="left"/>
            </w:pPr>
            <w:r>
              <w:rPr>
                <w:rFonts w:ascii="Calibri" w:hAnsi="Calibri"/>
                <w:color w:val="374151"/>
                <w:sz w:val="19"/>
              </w:rPr>
              <w:t>Using LLMs and OCR to extract structured data from unstructured PDFs for machine ingestion.</w:t>
            </w:r>
          </w:p>
        </w:tc>
        <w:tc>
          <w:tcPr>
            <w:tcW w:type="dxa" w:w="2016"/>
            <w:shd w:fill="FFFFFF"/>
            <w:tcMar>
              <w:top w:w="100" w:type="dxa"/>
              <w:bottom w:w="100" w:type="dxa"/>
              <w:left w:w="140" w:type="dxa"/>
              <w:right w:w="140" w:type="dxa"/>
            </w:tcMar>
          </w:tcPr>
          <w:p>
            <w:pPr>
              <w:spacing w:after="0"/>
              <w:jc w:val="left"/>
            </w:pPr>
            <w:r>
              <w:rPr>
                <w:rFonts w:ascii="Calibri" w:hAnsi="Calibri"/>
                <w:color w:val="374151"/>
                <w:sz w:val="19"/>
              </w:rPr>
              <w:t>SaaS subscription. Buyers: IT Operations, Data Officers.</w:t>
            </w:r>
          </w:p>
        </w:tc>
        <w:tc>
          <w:tcPr>
            <w:tcW w:type="dxa" w:w="2880"/>
            <w:shd w:fill="FFFFFF"/>
            <w:tcMar>
              <w:top w:w="100" w:type="dxa"/>
              <w:bottom w:w="100" w:type="dxa"/>
              <w:left w:w="140" w:type="dxa"/>
              <w:right w:w="140" w:type="dxa"/>
            </w:tcMar>
          </w:tcPr>
          <w:p>
            <w:pPr>
              <w:spacing w:after="0"/>
              <w:jc w:val="left"/>
            </w:pPr>
            <w:r>
              <w:rPr>
                <w:rFonts w:ascii="Calibri" w:hAnsi="Calibri"/>
                <w:color w:val="374151"/>
                <w:sz w:val="19"/>
              </w:rPr>
              <w:t>Overlap: Document analysis and data mapping. Difference: Document AI extracts data for machines; Document Engineering restructures data for human cognition.</w:t>
            </w:r>
          </w:p>
        </w:tc>
      </w:tr>
      <w:tr>
        <w:tc>
          <w:tcPr>
            <w:tcW w:type="dxa" w:w="1872"/>
            <w:shd w:fill="F9FAFB"/>
            <w:tcMar>
              <w:top w:w="100" w:type="dxa"/>
              <w:bottom w:w="100" w:type="dxa"/>
              <w:left w:w="140" w:type="dxa"/>
              <w:right w:w="140" w:type="dxa"/>
            </w:tcMar>
          </w:tcPr>
          <w:p>
            <w:pPr>
              <w:spacing w:after="0"/>
              <w:jc w:val="left"/>
            </w:pPr>
            <w:r>
              <w:rPr>
                <w:rFonts w:ascii="Calibri" w:hAnsi="Calibri"/>
                <w:color w:val="374151"/>
                <w:sz w:val="19"/>
              </w:rPr>
              <w:t>Enterprise Architecture (EA)</w:t>
            </w:r>
          </w:p>
        </w:tc>
        <w:tc>
          <w:tcPr>
            <w:tcW w:type="dxa" w:w="2592"/>
            <w:shd w:fill="F9FAFB"/>
            <w:tcMar>
              <w:top w:w="100" w:type="dxa"/>
              <w:bottom w:w="100" w:type="dxa"/>
              <w:left w:w="140" w:type="dxa"/>
              <w:right w:w="140" w:type="dxa"/>
            </w:tcMar>
          </w:tcPr>
          <w:p>
            <w:pPr>
              <w:spacing w:after="0"/>
              <w:jc w:val="left"/>
            </w:pPr>
            <w:r>
              <w:rPr>
                <w:rFonts w:ascii="Calibri" w:hAnsi="Calibri"/>
                <w:color w:val="374151"/>
                <w:sz w:val="19"/>
              </w:rPr>
              <w:t>Aligning IT infrastructure, applications, and processes with overarching business strategy.</w:t>
            </w:r>
          </w:p>
        </w:tc>
        <w:tc>
          <w:tcPr>
            <w:tcW w:type="dxa" w:w="2016"/>
            <w:shd w:fill="F9FAFB"/>
            <w:tcMar>
              <w:top w:w="100" w:type="dxa"/>
              <w:bottom w:w="100" w:type="dxa"/>
              <w:left w:w="140" w:type="dxa"/>
              <w:right w:w="140" w:type="dxa"/>
            </w:tcMar>
          </w:tcPr>
          <w:p>
            <w:pPr>
              <w:spacing w:after="0"/>
              <w:jc w:val="left"/>
            </w:pPr>
            <w:r>
              <w:rPr>
                <w:rFonts w:ascii="Calibri" w:hAnsi="Calibri"/>
                <w:color w:val="374151"/>
                <w:sz w:val="19"/>
              </w:rPr>
              <w:t>High-tier management consulting. Buyers: Chief Enterprise Architect, CIO.</w:t>
            </w:r>
          </w:p>
        </w:tc>
        <w:tc>
          <w:tcPr>
            <w:tcW w:type="dxa" w:w="2880"/>
            <w:shd w:fill="F9FAFB"/>
            <w:tcMar>
              <w:top w:w="100" w:type="dxa"/>
              <w:bottom w:w="100" w:type="dxa"/>
              <w:left w:w="140" w:type="dxa"/>
              <w:right w:w="140" w:type="dxa"/>
            </w:tcMar>
          </w:tcPr>
          <w:p>
            <w:pPr>
              <w:spacing w:after="0"/>
              <w:jc w:val="left"/>
            </w:pPr>
            <w:r>
              <w:rPr>
                <w:rFonts w:ascii="Calibri" w:hAnsi="Calibri"/>
                <w:color w:val="374151"/>
                <w:sz w:val="19"/>
              </w:rPr>
              <w:t>Overlap: Systems thinking and organizational standardization. Difference: EA maps software/hardware interactions; Document Engineering maps semantic information layers and reading pathways.</w:t>
            </w:r>
          </w:p>
        </w:tc>
      </w:tr>
      <w:tr>
        <w:tc>
          <w:tcPr>
            <w:tcW w:type="dxa" w:w="1872"/>
            <w:shd w:fill="FFFFFF"/>
            <w:tcMar>
              <w:top w:w="100" w:type="dxa"/>
              <w:bottom w:w="100" w:type="dxa"/>
              <w:left w:w="140" w:type="dxa"/>
              <w:right w:w="140" w:type="dxa"/>
            </w:tcMar>
          </w:tcPr>
          <w:p>
            <w:pPr>
              <w:spacing w:after="0"/>
              <w:jc w:val="left"/>
            </w:pPr>
            <w:r>
              <w:rPr>
                <w:rFonts w:ascii="Calibri" w:hAnsi="Calibri"/>
                <w:color w:val="374151"/>
                <w:sz w:val="19"/>
              </w:rPr>
              <w:t>Customer Communication Mgmt (CCM)</w:t>
            </w:r>
          </w:p>
        </w:tc>
        <w:tc>
          <w:tcPr>
            <w:tcW w:type="dxa" w:w="2592"/>
            <w:shd w:fill="FFFFFF"/>
            <w:tcMar>
              <w:top w:w="100" w:type="dxa"/>
              <w:bottom w:w="100" w:type="dxa"/>
              <w:left w:w="140" w:type="dxa"/>
              <w:right w:w="140" w:type="dxa"/>
            </w:tcMar>
          </w:tcPr>
          <w:p>
            <w:pPr>
              <w:spacing w:after="0"/>
              <w:jc w:val="left"/>
            </w:pPr>
            <w:r>
              <w:rPr>
                <w:rFonts w:ascii="Calibri" w:hAnsi="Calibri"/>
                <w:color w:val="374151"/>
                <w:sz w:val="19"/>
              </w:rPr>
              <w:t>Orchestrating omnichannel outbound customer communications, bills, and compliance documents.</w:t>
            </w:r>
          </w:p>
        </w:tc>
        <w:tc>
          <w:tcPr>
            <w:tcW w:type="dxa" w:w="2016"/>
            <w:shd w:fill="FFFFFF"/>
            <w:tcMar>
              <w:top w:w="100" w:type="dxa"/>
              <w:bottom w:w="100" w:type="dxa"/>
              <w:left w:w="140" w:type="dxa"/>
              <w:right w:w="140" w:type="dxa"/>
            </w:tcMar>
          </w:tcPr>
          <w:p>
            <w:pPr>
              <w:spacing w:after="0"/>
              <w:jc w:val="left"/>
            </w:pPr>
            <w:r>
              <w:rPr>
                <w:rFonts w:ascii="Calibri" w:hAnsi="Calibri"/>
                <w:color w:val="374151"/>
                <w:sz w:val="19"/>
              </w:rPr>
              <w:t>Enterprise SaaS + Implementation fees. Buyers: CMO, Head of Compliance.</w:t>
            </w:r>
          </w:p>
        </w:tc>
        <w:tc>
          <w:tcPr>
            <w:tcW w:type="dxa" w:w="2880"/>
            <w:shd w:fill="FFFFFF"/>
            <w:tcMar>
              <w:top w:w="100" w:type="dxa"/>
              <w:bottom w:w="100" w:type="dxa"/>
              <w:left w:w="140" w:type="dxa"/>
              <w:right w:w="140" w:type="dxa"/>
            </w:tcMar>
          </w:tcPr>
          <w:p>
            <w:pPr>
              <w:spacing w:after="0"/>
              <w:jc w:val="left"/>
            </w:pPr>
            <w:r>
              <w:rPr>
                <w:rFonts w:ascii="Calibri" w:hAnsi="Calibri"/>
                <w:color w:val="374151"/>
                <w:sz w:val="19"/>
              </w:rPr>
              <w:t>Overlap: Document generation and compliance. Difference: CCM focuses on high-volume, generic variable personalization; Document Engineering focuses on deep cognitive structuring for high-stakes decision-making.</w:t>
            </w:r>
          </w:p>
        </w:tc>
      </w:tr>
    </w:tbl>
    <w:p>
      <w:pPr>
        <w:spacing w:after="120"/>
      </w:pPr>
    </w:p>
    <w:p>
      <w:pPr>
        <w:keepNext/>
        <w:spacing w:before="280" w:after="120"/>
      </w:pPr>
      <w:r>
        <w:rPr>
          <w:rFonts w:ascii="Calibri" w:hAnsi="Calibri"/>
          <w:b/>
          <w:color w:val="005A5A"/>
          <w:sz w:val="26"/>
        </w:rPr>
        <w:t>11–15. Market Positioning &amp; Customer Problem Dynamics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Market Positioning &amp; Customer Problem Source Text</w:t>
              <w:br/>
            </w:r>
            <w:r>
              <w:rPr>
                <w:rFonts w:ascii="Calibri" w:hAnsi="Calibri"/>
                <w:color w:val="333333"/>
                <w:sz w:val="20"/>
              </w:rPr>
              <w:t>11. Where Document Engineering Fits: Document Engineering sits at the intersection of Information Architecture and Management Consulting, specifically addressing the human cognitive interface of high-stakes business information.</w:t>
            </w:r>
          </w:p>
          <w:p>
            <w:pPr>
              <w:spacing w:before="0" w:after="60" w:line="276" w:lineRule="auto"/>
            </w:pPr>
            <w:r>
              <w:rPr>
                <w:rFonts w:ascii="Calibri" w:hAnsi="Calibri"/>
                <w:color w:val="333333"/>
                <w:sz w:val="20"/>
              </w:rPr>
              <w:t>12. Established vs Emerging Category: Document Engineering is an emerging service category. While document design is old, rule-based semantic engineering focused on human cognitive processing speed is new.</w:t>
            </w:r>
          </w:p>
          <w:p>
            <w:pPr>
              <w:spacing w:before="0" w:after="60" w:line="276" w:lineRule="auto"/>
            </w:pPr>
            <w:r>
              <w:rPr>
                <w:rFonts w:ascii="Calibri" w:hAnsi="Calibri"/>
                <w:color w:val="333333"/>
                <w:sz w:val="20"/>
              </w:rPr>
              <w:t>13. Competitive Landscape: Direct competition is non-existent under this exact title. Indirect competition includes internal staff (analysts formatting Word docs), design agencies (visual polish without domain depth), and Big 4 management consultants (expensive overall reports).</w:t>
            </w:r>
          </w:p>
          <w:p>
            <w:pPr>
              <w:spacing w:before="0" w:after="60" w:line="276" w:lineRule="auto"/>
            </w:pPr>
            <w:r>
              <w:rPr>
                <w:rFonts w:ascii="Calibri" w:hAnsi="Calibri"/>
                <w:color w:val="333333"/>
                <w:sz w:val="20"/>
              </w:rPr>
              <w:t>14. Alternative Solutions Customers Currently Buy: Customers currently pay for freelance graphic designers, external technical editors, custom software dashboards, or internal analyst overtime.</w:t>
            </w:r>
          </w:p>
          <w:p>
            <w:pPr>
              <w:spacing w:before="0" w:after="60" w:line="276" w:lineRule="auto"/>
            </w:pPr>
            <w:r>
              <w:rPr>
                <w:rFonts w:ascii="Calibri" w:hAnsi="Calibri"/>
                <w:color w:val="333333"/>
                <w:sz w:val="20"/>
              </w:rPr>
              <w:t>15. Customer Problem Analysis: The core problem solved is Cognitive Latency—the time delay and mental fatigue senior executives experience when reading poorly structured, highly complex documents. This latency leads to delayed decisions, missed covenant risks, and operational bottlenecks.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The Core Customer Problem: Cognitive Latency</w:t>
              <w:br/>
            </w:r>
          </w:p>
          <w:p>
            <w:pPr>
              <w:spacing w:before="0" w:after="40" w:line="276" w:lineRule="auto"/>
            </w:pPr>
            <w:r>
              <w:rPr>
                <w:rFonts w:ascii="Calibri" w:hAnsi="Calibri"/>
                <w:color w:val="333333"/>
                <w:sz w:val="20"/>
              </w:rPr>
              <w:t>• Cognitive Latency: Delayed executive decision-making caused by high visual &amp; structural friction.</w:t>
            </w:r>
          </w:p>
          <w:p>
            <w:pPr>
              <w:spacing w:before="0" w:after="40" w:line="276" w:lineRule="auto"/>
            </w:pPr>
            <w:r>
              <w:rPr>
                <w:rFonts w:ascii="Calibri" w:hAnsi="Calibri"/>
                <w:color w:val="333333"/>
                <w:sz w:val="20"/>
              </w:rPr>
              <w:t>• Decision Errors: Overlooking covenant clauses, credit risks, or financial disclosures in dense text.</w:t>
            </w:r>
          </w:p>
          <w:p>
            <w:pPr>
              <w:spacing w:before="0" w:after="40" w:line="276" w:lineRule="auto"/>
            </w:pPr>
            <w:r>
              <w:rPr>
                <w:rFonts w:ascii="Calibri" w:hAnsi="Calibri"/>
                <w:color w:val="333333"/>
                <w:sz w:val="20"/>
              </w:rPr>
              <w:t>• Resource Waste: High-earning analysts spending 40% of their time manual formatting instead of evaluating risk.</w:t>
            </w:r>
          </w:p>
        </w:tc>
      </w:tr>
    </w:tbl>
    <w:p>
      <w:pPr>
        <w:spacing w:after="80"/>
      </w:pPr>
    </w:p>
    <w:p>
      <w:pPr>
        <w:keepNext/>
        <w:spacing w:before="360" w:after="160"/>
      </w:pPr>
      <w:r>
        <w:rPr>
          <w:rFonts w:ascii="Calibri" w:hAnsi="Calibri"/>
          <w:b/>
          <w:color w:val="1B365D"/>
          <w:sz w:val="32"/>
        </w:rPr>
        <w:t>Part III: Target Market, Industry Profiling &amp; Economic Buyers</w:t>
      </w:r>
    </w:p>
    <w:p>
      <w:pPr>
        <w:keepNext/>
        <w:spacing w:before="280" w:after="120"/>
      </w:pPr>
      <w:r>
        <w:rPr>
          <w:rFonts w:ascii="Calibri" w:hAnsi="Calibri"/>
          <w:b/>
          <w:color w:val="005A5A"/>
          <w:sz w:val="26"/>
        </w:rPr>
        <w:t>16–20. Industry Focus &amp; Commercial High-Potential Artifacts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Target Market &amp; Document Types Source Text</w:t>
              <w:br/>
            </w:r>
            <w:r>
              <w:rPr>
                <w:rFonts w:ascii="Calibri" w:hAnsi="Calibri"/>
                <w:color w:val="333333"/>
                <w:sz w:val="20"/>
              </w:rPr>
              <w:t>16. Target Industries: Primary focus is Mumbai, Maharashtra, India. Priority sectors: Non-Banking Financial Companies (NBFCs), Investment Research Firms, Wealth Management Houses, Private Equity, and Regulatory Compliance Consulting.</w:t>
            </w:r>
          </w:p>
          <w:p>
            <w:pPr>
              <w:spacing w:before="0" w:after="60" w:line="276" w:lineRule="auto"/>
            </w:pPr>
            <w:r>
              <w:rPr>
                <w:rFonts w:ascii="Calibri" w:hAnsi="Calibri"/>
                <w:color w:val="333333"/>
                <w:sz w:val="20"/>
              </w:rPr>
              <w:t>17. Target Customer Profiles: Mid-market financial institutions managing ₹1,000 Cr to ₹50,000 Cr in AUM, where document accuracy directly affects capital allocation.</w:t>
            </w:r>
          </w:p>
          <w:p>
            <w:pPr>
              <w:spacing w:before="0" w:after="60" w:line="276" w:lineRule="auto"/>
            </w:pPr>
            <w:r>
              <w:rPr>
                <w:rFonts w:ascii="Calibri" w:hAnsi="Calibri"/>
                <w:color w:val="333333"/>
                <w:sz w:val="20"/>
              </w:rPr>
              <w:t>18. Economic Buyers: Chief Operating Officer (COO), Head of Operations, Head of Credit/Risk, Managing Directors.</w:t>
            </w:r>
          </w:p>
          <w:p>
            <w:pPr>
              <w:spacing w:before="0" w:after="60" w:line="276" w:lineRule="auto"/>
            </w:pPr>
            <w:r>
              <w:rPr>
                <w:rFonts w:ascii="Calibri" w:hAnsi="Calibri"/>
                <w:color w:val="333333"/>
                <w:sz w:val="20"/>
              </w:rPr>
              <w:t>19. Commercial Use Cases: Credit appraisal workflows, equity research distribution, investment committee memos, regulatory reporting.</w:t>
            </w:r>
          </w:p>
          <w:p>
            <w:pPr>
              <w:spacing w:before="0" w:after="60" w:line="276" w:lineRule="auto"/>
            </w:pPr>
            <w:r>
              <w:rPr>
                <w:rFonts w:ascii="Calibri" w:hAnsi="Calibri"/>
                <w:color w:val="333333"/>
                <w:sz w:val="20"/>
              </w:rPr>
              <w:t>20. High-Potential Document Types: Credit Appraisal Memos (CAMs) and Equity Research Reports represent the highest commercial potential due to their high frequency, dense tabular data, and direct connection to financial risk.</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9E6"/>
            <w:tcBorders>
              <w:left w:val="single" w:sz="24" w:space="0" w:color="D97706"/>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92400E"/>
                <w:sz w:val="21"/>
              </w:rPr>
              <w:t>Real-Life Example &amp; Mental Model: Real-World High-Stakes Document: The Credit Appraisal Memo (CAM)</w:t>
              <w:br/>
            </w:r>
            <w:r>
              <w:rPr>
                <w:rFonts w:ascii="Calibri" w:hAnsi="Calibri"/>
                <w:color w:val="333333"/>
                <w:sz w:val="20"/>
              </w:rPr>
              <w:t>An NBFC Credit Manager prepares a 45-page CAM for a ₹50 Crore commercial loan. The Investment Committee has 15 minutes to review it. In an un-engineered CAM, key leverage ratios, promoter guarantees, and stress-test assumptions are buried in Appendix C. In an Engineered CAM, visual anchors, semantic callouts, and covenant matrices allow the committee to evaluate risk instantly.</w:t>
            </w:r>
          </w:p>
        </w:tc>
      </w:tr>
    </w:tbl>
    <w:p>
      <w:pPr>
        <w:spacing w:after="80"/>
      </w:pPr>
    </w:p>
    <w:p>
      <w:pPr>
        <w:keepNext/>
        <w:spacing w:before="280" w:after="120"/>
      </w:pPr>
      <w:r>
        <w:rPr>
          <w:rFonts w:ascii="Calibri" w:hAnsi="Calibri"/>
          <w:b/>
          <w:color w:val="005A5A"/>
          <w:sz w:val="26"/>
        </w:rPr>
        <w:t>21–23. Pricing Benchmarks &amp; India Market Context</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India Market &amp; Pricing Benchmarks Source Text</w:t>
              <w:br/>
            </w:r>
            <w:r>
              <w:rPr>
                <w:rFonts w:ascii="Calibri" w:hAnsi="Calibri"/>
                <w:color w:val="333333"/>
                <w:sz w:val="20"/>
              </w:rPr>
              <w:t>21. India Market Analysis: Mumbai is the financial capital of India. Local clients are highly price-sensitive to unproven software, but willing to pay premium project fees for tangible operational efficiency and regulatory risk reduction.</w:t>
            </w:r>
          </w:p>
          <w:p>
            <w:pPr>
              <w:spacing w:before="0" w:after="60" w:line="276" w:lineRule="auto"/>
            </w:pPr>
            <w:r>
              <w:rPr>
                <w:rFonts w:ascii="Calibri" w:hAnsi="Calibri"/>
                <w:color w:val="333333"/>
                <w:sz w:val="20"/>
              </w:rPr>
              <w:t>22. International Market Comparison: US/UK markets pay $15,000–$50,000 per archetype; India mid-market pays ₹1.5L–₹5L for pilot projects.</w:t>
            </w:r>
          </w:p>
          <w:p>
            <w:pPr>
              <w:spacing w:before="0" w:after="60" w:line="276" w:lineRule="auto"/>
            </w:pPr>
            <w:r>
              <w:rPr>
                <w:rFonts w:ascii="Calibri" w:hAnsi="Calibri"/>
                <w:color w:val="333333"/>
                <w:sz w:val="20"/>
              </w:rPr>
              <w:t>23. Pricing Benchmarks: Established by comparing local management consulting and software development services.</w:t>
            </w:r>
          </w:p>
        </w:tc>
      </w:tr>
    </w:tbl>
    <w:p>
      <w:pPr>
        <w:spacing w:after="80"/>
      </w:pPr>
    </w:p>
    <w:p>
      <w:pPr>
        <w:keepNext/>
        <w:spacing w:before="200" w:after="80"/>
      </w:pPr>
      <w:r>
        <w:rPr>
          <w:rFonts w:ascii="Calibri" w:hAnsi="Calibri"/>
          <w:b/>
          <w:color w:val="2E5B70"/>
          <w:sz w:val="22"/>
        </w:rPr>
        <w:t>Table 2: India Commercial Service Pricing Benchmarks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40" w:type="dxa"/>
              <w:right w:w="140" w:type="dxa"/>
            </w:tcMar>
          </w:tcPr>
          <w:p>
            <w:pPr>
              <w:spacing w:after="0"/>
              <w:jc w:val="left"/>
            </w:pPr>
            <w:r>
              <w:rPr>
                <w:rFonts w:ascii="Calibri" w:hAnsi="Calibri"/>
                <w:b/>
                <w:color w:val="FFFFFF"/>
                <w:sz w:val="20"/>
              </w:rPr>
              <w:t>Service Category</w:t>
            </w:r>
          </w:p>
        </w:tc>
        <w:tc>
          <w:tcPr>
            <w:tcW w:type="dxa" w:w="1728"/>
            <w:shd w:fill="1B365D"/>
            <w:tcMar>
              <w:top w:w="120" w:type="dxa"/>
              <w:bottom w:w="120" w:type="dxa"/>
              <w:left w:w="140" w:type="dxa"/>
              <w:right w:w="140" w:type="dxa"/>
            </w:tcMar>
          </w:tcPr>
          <w:p>
            <w:pPr>
              <w:spacing w:after="0"/>
              <w:jc w:val="left"/>
            </w:pPr>
            <w:r>
              <w:rPr>
                <w:rFonts w:ascii="Calibri" w:hAnsi="Calibri"/>
                <w:b/>
                <w:color w:val="FFFFFF"/>
                <w:sz w:val="20"/>
              </w:rPr>
              <w:t>Provider Tier</w:t>
            </w:r>
          </w:p>
        </w:tc>
        <w:tc>
          <w:tcPr>
            <w:tcW w:type="dxa" w:w="2880"/>
            <w:shd w:fill="1B365D"/>
            <w:tcMar>
              <w:top w:w="120" w:type="dxa"/>
              <w:bottom w:w="120" w:type="dxa"/>
              <w:left w:w="140" w:type="dxa"/>
              <w:right w:w="140" w:type="dxa"/>
            </w:tcMar>
          </w:tcPr>
          <w:p>
            <w:pPr>
              <w:spacing w:after="0"/>
              <w:jc w:val="left"/>
            </w:pPr>
            <w:r>
              <w:rPr>
                <w:rFonts w:ascii="Calibri" w:hAnsi="Calibri"/>
                <w:b/>
                <w:color w:val="FFFFFF"/>
                <w:sz w:val="20"/>
              </w:rPr>
              <w:t>Typical Pricing Benchmark (India)</w:t>
            </w:r>
          </w:p>
        </w:tc>
        <w:tc>
          <w:tcPr>
            <w:tcW w:type="dxa" w:w="2160"/>
            <w:shd w:fill="1B365D"/>
            <w:tcMar>
              <w:top w:w="120" w:type="dxa"/>
              <w:bottom w:w="120" w:type="dxa"/>
              <w:left w:w="140" w:type="dxa"/>
              <w:right w:w="140" w:type="dxa"/>
            </w:tcMar>
          </w:tcPr>
          <w:p>
            <w:pPr>
              <w:spacing w:after="0"/>
              <w:jc w:val="left"/>
            </w:pPr>
            <w:r>
              <w:rPr>
                <w:rFonts w:ascii="Calibri" w:hAnsi="Calibri"/>
                <w:b/>
                <w:color w:val="FFFFFF"/>
                <w:sz w:val="20"/>
              </w:rPr>
              <w:t>Data Source</w:t>
            </w:r>
          </w:p>
        </w:tc>
      </w:tr>
      <w:tr>
        <w:tc>
          <w:tcPr>
            <w:tcW w:type="dxa" w:w="2592"/>
            <w:shd w:fill="FFFFFF"/>
            <w:tcMar>
              <w:top w:w="100" w:type="dxa"/>
              <w:bottom w:w="100" w:type="dxa"/>
              <w:left w:w="140" w:type="dxa"/>
              <w:right w:w="140" w:type="dxa"/>
            </w:tcMar>
          </w:tcPr>
          <w:p>
            <w:pPr>
              <w:spacing w:after="0"/>
              <w:jc w:val="left"/>
            </w:pPr>
            <w:r>
              <w:rPr>
                <w:rFonts w:ascii="Calibri" w:hAnsi="Calibri"/>
                <w:color w:val="374151"/>
                <w:sz w:val="19"/>
              </w:rPr>
              <w:t>Big 4 Management Consulting</w:t>
            </w:r>
          </w:p>
        </w:tc>
        <w:tc>
          <w:tcPr>
            <w:tcW w:type="dxa" w:w="1728"/>
            <w:shd w:fill="FFFFFF"/>
            <w:tcMar>
              <w:top w:w="100" w:type="dxa"/>
              <w:bottom w:w="100" w:type="dxa"/>
              <w:left w:w="140" w:type="dxa"/>
              <w:right w:w="140" w:type="dxa"/>
            </w:tcMar>
          </w:tcPr>
          <w:p>
            <w:pPr>
              <w:spacing w:after="0"/>
              <w:jc w:val="left"/>
            </w:pPr>
            <w:r>
              <w:rPr>
                <w:rFonts w:ascii="Calibri" w:hAnsi="Calibri"/>
                <w:color w:val="374151"/>
                <w:sz w:val="19"/>
              </w:rPr>
              <w:t>Enterprise</w:t>
            </w:r>
          </w:p>
        </w:tc>
        <w:tc>
          <w:tcPr>
            <w:tcW w:type="dxa" w:w="2880"/>
            <w:shd w:fill="FFFFFF"/>
            <w:tcMar>
              <w:top w:w="100" w:type="dxa"/>
              <w:bottom w:w="100" w:type="dxa"/>
              <w:left w:w="140" w:type="dxa"/>
              <w:right w:w="140" w:type="dxa"/>
            </w:tcMar>
          </w:tcPr>
          <w:p>
            <w:pPr>
              <w:spacing w:after="0"/>
              <w:jc w:val="left"/>
            </w:pPr>
            <w:r>
              <w:rPr>
                <w:rFonts w:ascii="Calibri" w:hAnsi="Calibri"/>
                <w:color w:val="374151"/>
                <w:sz w:val="19"/>
              </w:rPr>
              <w:t>₹25,00,000 – ₹2,00,00,000+ per project</w:t>
            </w:r>
          </w:p>
        </w:tc>
        <w:tc>
          <w:tcPr>
            <w:tcW w:type="dxa" w:w="2160"/>
            <w:shd w:fill="FFFFFF"/>
            <w:tcMar>
              <w:top w:w="100" w:type="dxa"/>
              <w:bottom w:w="100" w:type="dxa"/>
              <w:left w:w="140" w:type="dxa"/>
              <w:right w:w="140" w:type="dxa"/>
            </w:tcMar>
          </w:tcPr>
          <w:p>
            <w:pPr>
              <w:spacing w:after="0"/>
              <w:jc w:val="left"/>
            </w:pPr>
            <w:r>
              <w:rPr>
                <w:rFonts w:ascii="Calibri" w:hAnsi="Calibri"/>
                <w:color w:val="374151"/>
                <w:sz w:val="19"/>
              </w:rPr>
              <w:t>Published Market Estimate</w:t>
            </w:r>
          </w:p>
        </w:tc>
      </w:tr>
      <w:tr>
        <w:tc>
          <w:tcPr>
            <w:tcW w:type="dxa" w:w="2592"/>
            <w:shd w:fill="F9FAFB"/>
            <w:tcMar>
              <w:top w:w="100" w:type="dxa"/>
              <w:bottom w:w="100" w:type="dxa"/>
              <w:left w:w="140" w:type="dxa"/>
              <w:right w:w="140" w:type="dxa"/>
            </w:tcMar>
          </w:tcPr>
          <w:p>
            <w:pPr>
              <w:spacing w:after="0"/>
              <w:jc w:val="left"/>
            </w:pPr>
            <w:r>
              <w:rPr>
                <w:rFonts w:ascii="Calibri" w:hAnsi="Calibri"/>
                <w:color w:val="374151"/>
                <w:sz w:val="19"/>
              </w:rPr>
              <w:t>Big 4 Consultant Daily Rate</w:t>
            </w:r>
          </w:p>
        </w:tc>
        <w:tc>
          <w:tcPr>
            <w:tcW w:type="dxa" w:w="1728"/>
            <w:shd w:fill="F9FAFB"/>
            <w:tcMar>
              <w:top w:w="100" w:type="dxa"/>
              <w:bottom w:w="100" w:type="dxa"/>
              <w:left w:w="140" w:type="dxa"/>
              <w:right w:w="140" w:type="dxa"/>
            </w:tcMar>
          </w:tcPr>
          <w:p>
            <w:pPr>
              <w:spacing w:after="0"/>
              <w:jc w:val="left"/>
            </w:pPr>
            <w:r>
              <w:rPr>
                <w:rFonts w:ascii="Calibri" w:hAnsi="Calibri"/>
                <w:color w:val="374151"/>
                <w:sz w:val="19"/>
              </w:rPr>
              <w:t>Enterprise</w:t>
            </w:r>
          </w:p>
        </w:tc>
        <w:tc>
          <w:tcPr>
            <w:tcW w:type="dxa" w:w="2880"/>
            <w:shd w:fill="F9FAFB"/>
            <w:tcMar>
              <w:top w:w="100" w:type="dxa"/>
              <w:bottom w:w="100" w:type="dxa"/>
              <w:left w:w="140" w:type="dxa"/>
              <w:right w:w="140" w:type="dxa"/>
            </w:tcMar>
          </w:tcPr>
          <w:p>
            <w:pPr>
              <w:spacing w:after="0"/>
              <w:jc w:val="left"/>
            </w:pPr>
            <w:r>
              <w:rPr>
                <w:rFonts w:ascii="Calibri" w:hAnsi="Calibri"/>
                <w:color w:val="374151"/>
                <w:sz w:val="19"/>
              </w:rPr>
              <w:t>₹1,50,000 – ₹3,00,000 per day</w:t>
            </w:r>
          </w:p>
        </w:tc>
        <w:tc>
          <w:tcPr>
            <w:tcW w:type="dxa" w:w="2160"/>
            <w:shd w:fill="F9FAFB"/>
            <w:tcMar>
              <w:top w:w="100" w:type="dxa"/>
              <w:bottom w:w="100" w:type="dxa"/>
              <w:left w:w="140" w:type="dxa"/>
              <w:right w:w="140" w:type="dxa"/>
            </w:tcMar>
          </w:tcPr>
          <w:p>
            <w:pPr>
              <w:spacing w:after="0"/>
              <w:jc w:val="left"/>
            </w:pPr>
            <w:r>
              <w:rPr>
                <w:rFonts w:ascii="Calibri" w:hAnsi="Calibri"/>
                <w:color w:val="374151"/>
                <w:sz w:val="19"/>
              </w:rPr>
              <w:t>Published Market Estimate</w:t>
            </w:r>
          </w:p>
        </w:tc>
      </w:tr>
      <w:tr>
        <w:tc>
          <w:tcPr>
            <w:tcW w:type="dxa" w:w="2592"/>
            <w:shd w:fill="FFFFFF"/>
            <w:tcMar>
              <w:top w:w="100" w:type="dxa"/>
              <w:bottom w:w="100" w:type="dxa"/>
              <w:left w:w="140" w:type="dxa"/>
              <w:right w:w="140" w:type="dxa"/>
            </w:tcMar>
          </w:tcPr>
          <w:p>
            <w:pPr>
              <w:spacing w:after="0"/>
              <w:jc w:val="left"/>
            </w:pPr>
            <w:r>
              <w:rPr>
                <w:rFonts w:ascii="Calibri" w:hAnsi="Calibri"/>
                <w:color w:val="374151"/>
                <w:sz w:val="19"/>
              </w:rPr>
              <w:t>Custom SaaS/Web App Dev</w:t>
            </w:r>
          </w:p>
        </w:tc>
        <w:tc>
          <w:tcPr>
            <w:tcW w:type="dxa" w:w="1728"/>
            <w:shd w:fill="FFFFFF"/>
            <w:tcMar>
              <w:top w:w="100" w:type="dxa"/>
              <w:bottom w:w="100" w:type="dxa"/>
              <w:left w:w="140" w:type="dxa"/>
              <w:right w:w="140" w:type="dxa"/>
            </w:tcMar>
          </w:tcPr>
          <w:p>
            <w:pPr>
              <w:spacing w:after="0"/>
              <w:jc w:val="left"/>
            </w:pPr>
            <w:r>
              <w:rPr>
                <w:rFonts w:ascii="Calibri" w:hAnsi="Calibri"/>
                <w:color w:val="374151"/>
                <w:sz w:val="19"/>
              </w:rPr>
              <w:t>Mid-Tier Agency</w:t>
            </w:r>
          </w:p>
        </w:tc>
        <w:tc>
          <w:tcPr>
            <w:tcW w:type="dxa" w:w="2880"/>
            <w:shd w:fill="FFFFFF"/>
            <w:tcMar>
              <w:top w:w="100" w:type="dxa"/>
              <w:bottom w:w="100" w:type="dxa"/>
              <w:left w:w="140" w:type="dxa"/>
              <w:right w:w="140" w:type="dxa"/>
            </w:tcMar>
          </w:tcPr>
          <w:p>
            <w:pPr>
              <w:spacing w:after="0"/>
              <w:jc w:val="left"/>
            </w:pPr>
            <w:r>
              <w:rPr>
                <w:rFonts w:ascii="Calibri" w:hAnsi="Calibri"/>
                <w:color w:val="374151"/>
                <w:sz w:val="19"/>
              </w:rPr>
              <w:t>₹8,00,000 – ₹25,00,000+</w:t>
            </w:r>
          </w:p>
        </w:tc>
        <w:tc>
          <w:tcPr>
            <w:tcW w:type="dxa" w:w="2160"/>
            <w:shd w:fill="FFFFFF"/>
            <w:tcMar>
              <w:top w:w="100" w:type="dxa"/>
              <w:bottom w:w="100" w:type="dxa"/>
              <w:left w:w="140" w:type="dxa"/>
              <w:right w:w="140" w:type="dxa"/>
            </w:tcMar>
          </w:tcPr>
          <w:p>
            <w:pPr>
              <w:spacing w:after="0"/>
              <w:jc w:val="left"/>
            </w:pPr>
            <w:r>
              <w:rPr>
                <w:rFonts w:ascii="Calibri" w:hAnsi="Calibri"/>
                <w:color w:val="374151"/>
                <w:sz w:val="19"/>
              </w:rPr>
              <w:t>Published Market Price</w:t>
            </w:r>
          </w:p>
        </w:tc>
      </w:tr>
      <w:tr>
        <w:tc>
          <w:tcPr>
            <w:tcW w:type="dxa" w:w="2592"/>
            <w:shd w:fill="F9FAFB"/>
            <w:tcMar>
              <w:top w:w="100" w:type="dxa"/>
              <w:bottom w:w="100" w:type="dxa"/>
              <w:left w:w="140" w:type="dxa"/>
              <w:right w:w="140" w:type="dxa"/>
            </w:tcMar>
          </w:tcPr>
          <w:p>
            <w:pPr>
              <w:spacing w:after="0"/>
              <w:jc w:val="left"/>
            </w:pPr>
            <w:r>
              <w:rPr>
                <w:rFonts w:ascii="Calibri" w:hAnsi="Calibri"/>
                <w:color w:val="374151"/>
                <w:sz w:val="19"/>
              </w:rPr>
              <w:t>Enterprise UI/UX Redesign</w:t>
            </w:r>
          </w:p>
        </w:tc>
        <w:tc>
          <w:tcPr>
            <w:tcW w:type="dxa" w:w="1728"/>
            <w:shd w:fill="F9FAFB"/>
            <w:tcMar>
              <w:top w:w="100" w:type="dxa"/>
              <w:bottom w:w="100" w:type="dxa"/>
              <w:left w:w="140" w:type="dxa"/>
              <w:right w:w="140" w:type="dxa"/>
            </w:tcMar>
          </w:tcPr>
          <w:p>
            <w:pPr>
              <w:spacing w:after="0"/>
              <w:jc w:val="left"/>
            </w:pPr>
            <w:r>
              <w:rPr>
                <w:rFonts w:ascii="Calibri" w:hAnsi="Calibri"/>
                <w:color w:val="374151"/>
                <w:sz w:val="19"/>
              </w:rPr>
              <w:t>Premium Boutique</w:t>
            </w:r>
          </w:p>
        </w:tc>
        <w:tc>
          <w:tcPr>
            <w:tcW w:type="dxa" w:w="2880"/>
            <w:shd w:fill="F9FAFB"/>
            <w:tcMar>
              <w:top w:w="100" w:type="dxa"/>
              <w:bottom w:w="100" w:type="dxa"/>
              <w:left w:w="140" w:type="dxa"/>
              <w:right w:w="140" w:type="dxa"/>
            </w:tcMar>
          </w:tcPr>
          <w:p>
            <w:pPr>
              <w:spacing w:after="0"/>
              <w:jc w:val="left"/>
            </w:pPr>
            <w:r>
              <w:rPr>
                <w:rFonts w:ascii="Calibri" w:hAnsi="Calibri"/>
                <w:color w:val="374151"/>
                <w:sz w:val="19"/>
              </w:rPr>
              <w:t>₹20,00,000 – ₹80,00,000+</w:t>
            </w:r>
          </w:p>
        </w:tc>
        <w:tc>
          <w:tcPr>
            <w:tcW w:type="dxa" w:w="2160"/>
            <w:shd w:fill="F9FAFB"/>
            <w:tcMar>
              <w:top w:w="100" w:type="dxa"/>
              <w:bottom w:w="100" w:type="dxa"/>
              <w:left w:w="140" w:type="dxa"/>
              <w:right w:w="140" w:type="dxa"/>
            </w:tcMar>
          </w:tcPr>
          <w:p>
            <w:pPr>
              <w:spacing w:after="0"/>
              <w:jc w:val="left"/>
            </w:pPr>
            <w:r>
              <w:rPr>
                <w:rFonts w:ascii="Calibri" w:hAnsi="Calibri"/>
                <w:color w:val="374151"/>
                <w:sz w:val="19"/>
              </w:rPr>
              <w:t>Published Market Price</w:t>
            </w:r>
          </w:p>
        </w:tc>
      </w:tr>
      <w:tr>
        <w:tc>
          <w:tcPr>
            <w:tcW w:type="dxa" w:w="2592"/>
            <w:shd w:fill="FFFFFF"/>
            <w:tcMar>
              <w:top w:w="100" w:type="dxa"/>
              <w:bottom w:w="100" w:type="dxa"/>
              <w:left w:w="140" w:type="dxa"/>
              <w:right w:w="140" w:type="dxa"/>
            </w:tcMar>
          </w:tcPr>
          <w:p>
            <w:pPr>
              <w:spacing w:after="0"/>
              <w:jc w:val="left"/>
            </w:pPr>
            <w:r>
              <w:rPr>
                <w:rFonts w:ascii="Calibri" w:hAnsi="Calibri"/>
                <w:color w:val="374151"/>
                <w:sz w:val="19"/>
              </w:rPr>
              <w:t>Boutique Strategy Consulting</w:t>
            </w:r>
          </w:p>
        </w:tc>
        <w:tc>
          <w:tcPr>
            <w:tcW w:type="dxa" w:w="1728"/>
            <w:shd w:fill="FFFFFF"/>
            <w:tcMar>
              <w:top w:w="100" w:type="dxa"/>
              <w:bottom w:w="100" w:type="dxa"/>
              <w:left w:w="140" w:type="dxa"/>
              <w:right w:w="140" w:type="dxa"/>
            </w:tcMar>
          </w:tcPr>
          <w:p>
            <w:pPr>
              <w:spacing w:after="0"/>
              <w:jc w:val="left"/>
            </w:pPr>
            <w:r>
              <w:rPr>
                <w:rFonts w:ascii="Calibri" w:hAnsi="Calibri"/>
                <w:color w:val="374151"/>
                <w:sz w:val="19"/>
              </w:rPr>
              <w:t>Mid-Tier</w:t>
            </w:r>
          </w:p>
        </w:tc>
        <w:tc>
          <w:tcPr>
            <w:tcW w:type="dxa" w:w="2880"/>
            <w:shd w:fill="FFFFFF"/>
            <w:tcMar>
              <w:top w:w="100" w:type="dxa"/>
              <w:bottom w:w="100" w:type="dxa"/>
              <w:left w:w="140" w:type="dxa"/>
              <w:right w:w="140" w:type="dxa"/>
            </w:tcMar>
          </w:tcPr>
          <w:p>
            <w:pPr>
              <w:spacing w:after="0"/>
              <w:jc w:val="left"/>
            </w:pPr>
            <w:r>
              <w:rPr>
                <w:rFonts w:ascii="Calibri" w:hAnsi="Calibri"/>
                <w:color w:val="374151"/>
                <w:sz w:val="19"/>
              </w:rPr>
              <w:t>₹5,00,000 – ₹15,00,000 per project</w:t>
            </w:r>
          </w:p>
        </w:tc>
        <w:tc>
          <w:tcPr>
            <w:tcW w:type="dxa" w:w="2160"/>
            <w:shd w:fill="FFFFFF"/>
            <w:tcMar>
              <w:top w:w="100" w:type="dxa"/>
              <w:bottom w:w="100" w:type="dxa"/>
              <w:left w:w="140" w:type="dxa"/>
              <w:right w:w="140" w:type="dxa"/>
            </w:tcMar>
          </w:tcPr>
          <w:p>
            <w:pPr>
              <w:spacing w:after="0"/>
              <w:jc w:val="left"/>
            </w:pPr>
            <w:r>
              <w:rPr>
                <w:rFonts w:ascii="Calibri" w:hAnsi="Calibri"/>
                <w:color w:val="374151"/>
                <w:sz w:val="19"/>
              </w:rPr>
              <w:t>Analyst Inference</w:t>
            </w:r>
          </w:p>
        </w:tc>
      </w:tr>
    </w:tbl>
    <w:p>
      <w:pPr>
        <w:spacing w:after="120"/>
      </w:pPr>
    </w:p>
    <w:p>
      <w:pPr>
        <w:keepNext/>
        <w:spacing w:before="360" w:after="160"/>
      </w:pPr>
      <w:r>
        <w:rPr>
          <w:rFonts w:ascii="Calibri" w:hAnsi="Calibri"/>
          <w:b/>
          <w:color w:val="1B365D"/>
          <w:sz w:val="32"/>
        </w:rPr>
        <w:t>Part IV: Service Architecture, Pricing Models, Deliverables &amp; IP Protection</w:t>
      </w:r>
    </w:p>
    <w:p>
      <w:pPr>
        <w:keepNext/>
        <w:spacing w:before="280" w:after="120"/>
      </w:pPr>
      <w:r>
        <w:rPr>
          <w:rFonts w:ascii="Calibri" w:hAnsi="Calibri"/>
          <w:b/>
          <w:color w:val="005A5A"/>
          <w:sz w:val="26"/>
        </w:rPr>
        <w:t>24–27. Commercial Pricing Tiers &amp; Service Packaging</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Pricing Models &amp; Service Packaging Source Text</w:t>
              <w:br/>
            </w:r>
            <w:r>
              <w:rPr>
                <w:rFonts w:ascii="Calibri" w:hAnsi="Calibri"/>
                <w:color w:val="333333"/>
                <w:sz w:val="20"/>
              </w:rPr>
              <w:t>24. Pricing Model: Value-based fixed project pricing for Level 1; staged milestone consulting pricing for Level 2.</w:t>
            </w:r>
          </w:p>
          <w:p>
            <w:pPr>
              <w:spacing w:before="0" w:after="60" w:line="276" w:lineRule="auto"/>
            </w:pPr>
            <w:r>
              <w:rPr>
                <w:rFonts w:ascii="Calibri" w:hAnsi="Calibri"/>
                <w:color w:val="333333"/>
                <w:sz w:val="20"/>
              </w:rPr>
              <w:t>25. Level 1 Document Engineering Pricing: Full Document Class Engineering (e.g., complete redesign of an NBFC's Credit Appraisal Memo archetype): ₹3,00,000 – ₹5,00,000 per document archetype.</w:t>
            </w:r>
          </w:p>
          <w:p>
            <w:pPr>
              <w:spacing w:before="0" w:after="60" w:line="276" w:lineRule="auto"/>
            </w:pPr>
            <w:r>
              <w:rPr>
                <w:rFonts w:ascii="Calibri" w:hAnsi="Calibri"/>
                <w:color w:val="333333"/>
                <w:sz w:val="20"/>
              </w:rPr>
              <w:t>26. Level 2 Organizational Engineering Pricing:</w:t>
            </w:r>
          </w:p>
          <w:p>
            <w:pPr>
              <w:spacing w:before="0" w:after="60" w:line="276" w:lineRule="auto"/>
            </w:pPr>
            <w:r>
              <w:rPr>
                <w:rFonts w:ascii="Calibri" w:hAnsi="Calibri"/>
                <w:color w:val="333333"/>
                <w:sz w:val="20"/>
              </w:rPr>
              <w:t>- Phase 1: Discovery &amp; Architecture Assessment: ₹1,50,000 – ₹3,00,000 flat fee.</w:t>
            </w:r>
          </w:p>
          <w:p>
            <w:pPr>
              <w:spacing w:before="0" w:after="60" w:line="276" w:lineRule="auto"/>
            </w:pPr>
            <w:r>
              <w:rPr>
                <w:rFonts w:ascii="Calibri" w:hAnsi="Calibri"/>
                <w:color w:val="333333"/>
                <w:sz w:val="20"/>
              </w:rPr>
              <w:t>- Phase 2: System Architecture &amp; CIRS Rule Engine Customization: ₹5,00,000 – ₹12,00,000.</w:t>
            </w:r>
          </w:p>
          <w:p>
            <w:pPr>
              <w:spacing w:before="0" w:after="60" w:line="276" w:lineRule="auto"/>
            </w:pPr>
            <w:r>
              <w:rPr>
                <w:rFonts w:ascii="Calibri" w:hAnsi="Calibri"/>
                <w:color w:val="333333"/>
                <w:sz w:val="20"/>
              </w:rPr>
              <w:t>- Phase 3: Implementation, Template Automation &amp; Training: ₹8,00,000 – ₹20,00,000.</w:t>
            </w:r>
          </w:p>
          <w:p>
            <w:pPr>
              <w:spacing w:before="0" w:after="60" w:line="276" w:lineRule="auto"/>
            </w:pPr>
            <w:r>
              <w:rPr>
                <w:rFonts w:ascii="Calibri" w:hAnsi="Calibri"/>
                <w:color w:val="333333"/>
                <w:sz w:val="20"/>
              </w:rPr>
              <w:t>Total Level 2 Engagement: ₹14,50,000 – ₹35,00,000.</w:t>
            </w:r>
          </w:p>
          <w:p>
            <w:pPr>
              <w:spacing w:before="0" w:after="60" w:line="276" w:lineRule="auto"/>
            </w:pPr>
            <w:r>
              <w:rPr>
                <w:rFonts w:ascii="Calibri" w:hAnsi="Calibri"/>
                <w:color w:val="333333"/>
                <w:sz w:val="20"/>
              </w:rPr>
              <w:t>27. Service Packaging: Packaged as 'Cognitive Information Architecture Audit &amp; Transformation'.</w:t>
            </w:r>
          </w:p>
        </w:tc>
      </w:tr>
    </w:tbl>
    <w:p>
      <w:pPr>
        <w:spacing w:after="80"/>
      </w:pPr>
    </w:p>
    <w:p>
      <w:pPr>
        <w:keepNext/>
        <w:spacing w:before="200" w:after="80"/>
      </w:pPr>
      <w:r>
        <w:rPr>
          <w:rFonts w:ascii="Calibri" w:hAnsi="Calibri"/>
          <w:b/>
          <w:color w:val="2E5B70"/>
          <w:sz w:val="22"/>
        </w:rPr>
        <w:t>Commercial Pricing Tier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20" w:type="dxa"/>
              <w:bottom w:w="120" w:type="dxa"/>
              <w:left w:w="140" w:type="dxa"/>
              <w:right w:w="140" w:type="dxa"/>
            </w:tcMar>
          </w:tcPr>
          <w:p>
            <w:pPr>
              <w:spacing w:after="0"/>
              <w:jc w:val="left"/>
            </w:pPr>
            <w:r>
              <w:rPr>
                <w:rFonts w:ascii="Calibri" w:hAnsi="Calibri"/>
                <w:b/>
                <w:color w:val="FFFFFF"/>
                <w:sz w:val="20"/>
              </w:rPr>
              <w:t>Service Tier</w:t>
            </w:r>
          </w:p>
        </w:tc>
        <w:tc>
          <w:tcPr>
            <w:tcW w:type="dxa" w:w="4608"/>
            <w:shd w:fill="1B365D"/>
            <w:tcMar>
              <w:top w:w="120" w:type="dxa"/>
              <w:bottom w:w="120" w:type="dxa"/>
              <w:left w:w="140" w:type="dxa"/>
              <w:right w:w="140" w:type="dxa"/>
            </w:tcMar>
          </w:tcPr>
          <w:p>
            <w:pPr>
              <w:spacing w:after="0"/>
              <w:jc w:val="left"/>
            </w:pPr>
            <w:r>
              <w:rPr>
                <w:rFonts w:ascii="Calibri" w:hAnsi="Calibri"/>
                <w:b/>
                <w:color w:val="FFFFFF"/>
                <w:sz w:val="20"/>
              </w:rPr>
              <w:t>Scope / Deliverable</w:t>
            </w:r>
          </w:p>
        </w:tc>
        <w:tc>
          <w:tcPr>
            <w:tcW w:type="dxa" w:w="2592"/>
            <w:shd w:fill="1B365D"/>
            <w:tcMar>
              <w:top w:w="120" w:type="dxa"/>
              <w:bottom w:w="120" w:type="dxa"/>
              <w:left w:w="140" w:type="dxa"/>
              <w:right w:w="140" w:type="dxa"/>
            </w:tcMar>
          </w:tcPr>
          <w:p>
            <w:pPr>
              <w:spacing w:after="0"/>
              <w:jc w:val="left"/>
            </w:pPr>
            <w:r>
              <w:rPr>
                <w:rFonts w:ascii="Calibri" w:hAnsi="Calibri"/>
                <w:b/>
                <w:color w:val="FFFFFF"/>
                <w:sz w:val="20"/>
              </w:rPr>
              <w:t>Price Range (INR)</w:t>
            </w:r>
          </w:p>
        </w:tc>
      </w:tr>
      <w:tr>
        <w:tc>
          <w:tcPr>
            <w:tcW w:type="dxa" w:w="2160"/>
            <w:shd w:fill="FFFFFF"/>
            <w:tcMar>
              <w:top w:w="100" w:type="dxa"/>
              <w:bottom w:w="100" w:type="dxa"/>
              <w:left w:w="140" w:type="dxa"/>
              <w:right w:w="140" w:type="dxa"/>
            </w:tcMar>
          </w:tcPr>
          <w:p>
            <w:pPr>
              <w:spacing w:after="0"/>
              <w:jc w:val="left"/>
            </w:pPr>
            <w:r>
              <w:rPr>
                <w:rFonts w:ascii="Calibri" w:hAnsi="Calibri"/>
                <w:color w:val="374151"/>
                <w:sz w:val="19"/>
              </w:rPr>
              <w:t>Level 1 Pilot</w:t>
            </w:r>
          </w:p>
        </w:tc>
        <w:tc>
          <w:tcPr>
            <w:tcW w:type="dxa" w:w="4608"/>
            <w:shd w:fill="FFFFFF"/>
            <w:tcMar>
              <w:top w:w="100" w:type="dxa"/>
              <w:bottom w:w="100" w:type="dxa"/>
              <w:left w:w="140" w:type="dxa"/>
              <w:right w:w="140" w:type="dxa"/>
            </w:tcMar>
          </w:tcPr>
          <w:p>
            <w:pPr>
              <w:spacing w:after="0"/>
              <w:jc w:val="left"/>
            </w:pPr>
            <w:r>
              <w:rPr>
                <w:rFonts w:ascii="Calibri" w:hAnsi="Calibri"/>
                <w:color w:val="374151"/>
                <w:sz w:val="19"/>
              </w:rPr>
              <w:t>30-day single document archetype transform (e.g. CAM)</w:t>
            </w:r>
          </w:p>
        </w:tc>
        <w:tc>
          <w:tcPr>
            <w:tcW w:type="dxa" w:w="2592"/>
            <w:shd w:fill="FFFFFF"/>
            <w:tcMar>
              <w:top w:w="100" w:type="dxa"/>
              <w:bottom w:w="100" w:type="dxa"/>
              <w:left w:w="140" w:type="dxa"/>
              <w:right w:w="140" w:type="dxa"/>
            </w:tcMar>
          </w:tcPr>
          <w:p>
            <w:pPr>
              <w:spacing w:after="0"/>
              <w:jc w:val="left"/>
            </w:pPr>
            <w:r>
              <w:rPr>
                <w:rFonts w:ascii="Calibri" w:hAnsi="Calibri"/>
                <w:color w:val="374151"/>
                <w:sz w:val="19"/>
              </w:rPr>
              <w:t>₹1,50,000 – ₹2,50,000</w:t>
            </w:r>
          </w:p>
        </w:tc>
      </w:tr>
      <w:tr>
        <w:tc>
          <w:tcPr>
            <w:tcW w:type="dxa" w:w="2160"/>
            <w:shd w:fill="F9FAFB"/>
            <w:tcMar>
              <w:top w:w="100" w:type="dxa"/>
              <w:bottom w:w="100" w:type="dxa"/>
              <w:left w:w="140" w:type="dxa"/>
              <w:right w:w="140" w:type="dxa"/>
            </w:tcMar>
          </w:tcPr>
          <w:p>
            <w:pPr>
              <w:spacing w:after="0"/>
              <w:jc w:val="left"/>
            </w:pPr>
            <w:r>
              <w:rPr>
                <w:rFonts w:ascii="Calibri" w:hAnsi="Calibri"/>
                <w:color w:val="374151"/>
                <w:sz w:val="19"/>
              </w:rPr>
              <w:t>Level 1 Standard</w:t>
            </w:r>
          </w:p>
        </w:tc>
        <w:tc>
          <w:tcPr>
            <w:tcW w:type="dxa" w:w="4608"/>
            <w:shd w:fill="F9FAFB"/>
            <w:tcMar>
              <w:top w:w="100" w:type="dxa"/>
              <w:bottom w:w="100" w:type="dxa"/>
              <w:left w:w="140" w:type="dxa"/>
              <w:right w:w="140" w:type="dxa"/>
            </w:tcMar>
          </w:tcPr>
          <w:p>
            <w:pPr>
              <w:spacing w:after="0"/>
              <w:jc w:val="left"/>
            </w:pPr>
            <w:r>
              <w:rPr>
                <w:rFonts w:ascii="Calibri" w:hAnsi="Calibri"/>
                <w:color w:val="374151"/>
                <w:sz w:val="19"/>
              </w:rPr>
              <w:t>Full Document Class Archetype Engineering + Guidelines</w:t>
            </w:r>
          </w:p>
        </w:tc>
        <w:tc>
          <w:tcPr>
            <w:tcW w:type="dxa" w:w="2592"/>
            <w:shd w:fill="F9FAFB"/>
            <w:tcMar>
              <w:top w:w="100" w:type="dxa"/>
              <w:bottom w:w="100" w:type="dxa"/>
              <w:left w:w="140" w:type="dxa"/>
              <w:right w:w="140" w:type="dxa"/>
            </w:tcMar>
          </w:tcPr>
          <w:p>
            <w:pPr>
              <w:spacing w:after="0"/>
              <w:jc w:val="left"/>
            </w:pPr>
            <w:r>
              <w:rPr>
                <w:rFonts w:ascii="Calibri" w:hAnsi="Calibri"/>
                <w:color w:val="374151"/>
                <w:sz w:val="19"/>
              </w:rPr>
              <w:t>₹3,00,000 – ₹5,00,000</w:t>
            </w:r>
          </w:p>
        </w:tc>
      </w:tr>
      <w:tr>
        <w:tc>
          <w:tcPr>
            <w:tcW w:type="dxa" w:w="2160"/>
            <w:shd w:fill="FFFFFF"/>
            <w:tcMar>
              <w:top w:w="100" w:type="dxa"/>
              <w:bottom w:w="100" w:type="dxa"/>
              <w:left w:w="140" w:type="dxa"/>
              <w:right w:w="140" w:type="dxa"/>
            </w:tcMar>
          </w:tcPr>
          <w:p>
            <w:pPr>
              <w:spacing w:after="0"/>
              <w:jc w:val="left"/>
            </w:pPr>
            <w:r>
              <w:rPr>
                <w:rFonts w:ascii="Calibri" w:hAnsi="Calibri"/>
                <w:color w:val="374151"/>
                <w:sz w:val="19"/>
              </w:rPr>
              <w:t>Level 2 Phase 1</w:t>
            </w:r>
          </w:p>
        </w:tc>
        <w:tc>
          <w:tcPr>
            <w:tcW w:type="dxa" w:w="4608"/>
            <w:shd w:fill="FFFFFF"/>
            <w:tcMar>
              <w:top w:w="100" w:type="dxa"/>
              <w:bottom w:w="100" w:type="dxa"/>
              <w:left w:w="140" w:type="dxa"/>
              <w:right w:w="140" w:type="dxa"/>
            </w:tcMar>
          </w:tcPr>
          <w:p>
            <w:pPr>
              <w:spacing w:after="0"/>
              <w:jc w:val="left"/>
            </w:pPr>
            <w:r>
              <w:rPr>
                <w:rFonts w:ascii="Calibri" w:hAnsi="Calibri"/>
                <w:color w:val="374151"/>
                <w:sz w:val="19"/>
              </w:rPr>
              <w:t>Discovery &amp; Organizational Architecture Assessment</w:t>
            </w:r>
          </w:p>
        </w:tc>
        <w:tc>
          <w:tcPr>
            <w:tcW w:type="dxa" w:w="2592"/>
            <w:shd w:fill="FFFFFF"/>
            <w:tcMar>
              <w:top w:w="100" w:type="dxa"/>
              <w:bottom w:w="100" w:type="dxa"/>
              <w:left w:w="140" w:type="dxa"/>
              <w:right w:w="140" w:type="dxa"/>
            </w:tcMar>
          </w:tcPr>
          <w:p>
            <w:pPr>
              <w:spacing w:after="0"/>
              <w:jc w:val="left"/>
            </w:pPr>
            <w:r>
              <w:rPr>
                <w:rFonts w:ascii="Calibri" w:hAnsi="Calibri"/>
                <w:color w:val="374151"/>
                <w:sz w:val="19"/>
              </w:rPr>
              <w:t>₹1,50,000 – ₹3,00,000</w:t>
            </w:r>
          </w:p>
        </w:tc>
      </w:tr>
      <w:tr>
        <w:tc>
          <w:tcPr>
            <w:tcW w:type="dxa" w:w="2160"/>
            <w:shd w:fill="F9FAFB"/>
            <w:tcMar>
              <w:top w:w="100" w:type="dxa"/>
              <w:bottom w:w="100" w:type="dxa"/>
              <w:left w:w="140" w:type="dxa"/>
              <w:right w:w="140" w:type="dxa"/>
            </w:tcMar>
          </w:tcPr>
          <w:p>
            <w:pPr>
              <w:spacing w:after="0"/>
              <w:jc w:val="left"/>
            </w:pPr>
            <w:r>
              <w:rPr>
                <w:rFonts w:ascii="Calibri" w:hAnsi="Calibri"/>
                <w:color w:val="374151"/>
                <w:sz w:val="19"/>
              </w:rPr>
              <w:t>Level 2 Phase 2</w:t>
            </w:r>
          </w:p>
        </w:tc>
        <w:tc>
          <w:tcPr>
            <w:tcW w:type="dxa" w:w="4608"/>
            <w:shd w:fill="F9FAFB"/>
            <w:tcMar>
              <w:top w:w="100" w:type="dxa"/>
              <w:bottom w:w="100" w:type="dxa"/>
              <w:left w:w="140" w:type="dxa"/>
              <w:right w:w="140" w:type="dxa"/>
            </w:tcMar>
          </w:tcPr>
          <w:p>
            <w:pPr>
              <w:spacing w:after="0"/>
              <w:jc w:val="left"/>
            </w:pPr>
            <w:r>
              <w:rPr>
                <w:rFonts w:ascii="Calibri" w:hAnsi="Calibri"/>
                <w:color w:val="374151"/>
                <w:sz w:val="19"/>
              </w:rPr>
              <w:t>System Architecture &amp; CIRS Rule Engine Customization</w:t>
            </w:r>
          </w:p>
        </w:tc>
        <w:tc>
          <w:tcPr>
            <w:tcW w:type="dxa" w:w="2592"/>
            <w:shd w:fill="F9FAFB"/>
            <w:tcMar>
              <w:top w:w="100" w:type="dxa"/>
              <w:bottom w:w="100" w:type="dxa"/>
              <w:left w:w="140" w:type="dxa"/>
              <w:right w:w="140" w:type="dxa"/>
            </w:tcMar>
          </w:tcPr>
          <w:p>
            <w:pPr>
              <w:spacing w:after="0"/>
              <w:jc w:val="left"/>
            </w:pPr>
            <w:r>
              <w:rPr>
                <w:rFonts w:ascii="Calibri" w:hAnsi="Calibri"/>
                <w:color w:val="374151"/>
                <w:sz w:val="19"/>
              </w:rPr>
              <w:t>₹5,00,000 – ₹12,00,000</w:t>
            </w:r>
          </w:p>
        </w:tc>
      </w:tr>
      <w:tr>
        <w:tc>
          <w:tcPr>
            <w:tcW w:type="dxa" w:w="2160"/>
            <w:shd w:fill="FFFFFF"/>
            <w:tcMar>
              <w:top w:w="100" w:type="dxa"/>
              <w:bottom w:w="100" w:type="dxa"/>
              <w:left w:w="140" w:type="dxa"/>
              <w:right w:w="140" w:type="dxa"/>
            </w:tcMar>
          </w:tcPr>
          <w:p>
            <w:pPr>
              <w:spacing w:after="0"/>
              <w:jc w:val="left"/>
            </w:pPr>
            <w:r>
              <w:rPr>
                <w:rFonts w:ascii="Calibri" w:hAnsi="Calibri"/>
                <w:color w:val="374151"/>
                <w:sz w:val="19"/>
              </w:rPr>
              <w:t>Level 2 Phase 3</w:t>
            </w:r>
          </w:p>
        </w:tc>
        <w:tc>
          <w:tcPr>
            <w:tcW w:type="dxa" w:w="4608"/>
            <w:shd w:fill="FFFFFF"/>
            <w:tcMar>
              <w:top w:w="100" w:type="dxa"/>
              <w:bottom w:w="100" w:type="dxa"/>
              <w:left w:w="140" w:type="dxa"/>
              <w:right w:w="140" w:type="dxa"/>
            </w:tcMar>
          </w:tcPr>
          <w:p>
            <w:pPr>
              <w:spacing w:after="0"/>
              <w:jc w:val="left"/>
            </w:pPr>
            <w:r>
              <w:rPr>
                <w:rFonts w:ascii="Calibri" w:hAnsi="Calibri"/>
                <w:color w:val="374151"/>
                <w:sz w:val="19"/>
              </w:rPr>
              <w:t>Enterprise Template Automation, Guidelines &amp; Training</w:t>
            </w:r>
          </w:p>
        </w:tc>
        <w:tc>
          <w:tcPr>
            <w:tcW w:type="dxa" w:w="2592"/>
            <w:shd w:fill="FFFFFF"/>
            <w:tcMar>
              <w:top w:w="100" w:type="dxa"/>
              <w:bottom w:w="100" w:type="dxa"/>
              <w:left w:w="140" w:type="dxa"/>
              <w:right w:w="140" w:type="dxa"/>
            </w:tcMar>
          </w:tcPr>
          <w:p>
            <w:pPr>
              <w:spacing w:after="0"/>
              <w:jc w:val="left"/>
            </w:pPr>
            <w:r>
              <w:rPr>
                <w:rFonts w:ascii="Calibri" w:hAnsi="Calibri"/>
                <w:color w:val="374151"/>
                <w:sz w:val="19"/>
              </w:rPr>
              <w:t>₹8,00,000 – ₹20,00,000</w:t>
            </w:r>
          </w:p>
        </w:tc>
      </w:tr>
      <w:tr>
        <w:tc>
          <w:tcPr>
            <w:tcW w:type="dxa" w:w="2160"/>
            <w:shd w:fill="F9FAFB"/>
            <w:tcMar>
              <w:top w:w="100" w:type="dxa"/>
              <w:bottom w:w="100" w:type="dxa"/>
              <w:left w:w="140" w:type="dxa"/>
              <w:right w:w="140" w:type="dxa"/>
            </w:tcMar>
          </w:tcPr>
          <w:p>
            <w:pPr>
              <w:spacing w:after="0"/>
              <w:jc w:val="left"/>
            </w:pPr>
            <w:r>
              <w:rPr>
                <w:rFonts w:ascii="Calibri" w:hAnsi="Calibri"/>
                <w:color w:val="374151"/>
                <w:sz w:val="19"/>
              </w:rPr>
              <w:t>Level 2 Total</w:t>
            </w:r>
          </w:p>
        </w:tc>
        <w:tc>
          <w:tcPr>
            <w:tcW w:type="dxa" w:w="4608"/>
            <w:shd w:fill="F9FAFB"/>
            <w:tcMar>
              <w:top w:w="100" w:type="dxa"/>
              <w:bottom w:w="100" w:type="dxa"/>
              <w:left w:w="140" w:type="dxa"/>
              <w:right w:w="140" w:type="dxa"/>
            </w:tcMar>
          </w:tcPr>
          <w:p>
            <w:pPr>
              <w:spacing w:after="0"/>
              <w:jc w:val="left"/>
            </w:pPr>
            <w:r>
              <w:rPr>
                <w:rFonts w:ascii="Calibri" w:hAnsi="Calibri"/>
                <w:color w:val="374151"/>
                <w:sz w:val="19"/>
              </w:rPr>
              <w:t>Full Enterprise Organizational Transformation</w:t>
            </w:r>
          </w:p>
        </w:tc>
        <w:tc>
          <w:tcPr>
            <w:tcW w:type="dxa" w:w="2592"/>
            <w:shd w:fill="F9FAFB"/>
            <w:tcMar>
              <w:top w:w="100" w:type="dxa"/>
              <w:bottom w:w="100" w:type="dxa"/>
              <w:left w:w="140" w:type="dxa"/>
              <w:right w:w="140" w:type="dxa"/>
            </w:tcMar>
          </w:tcPr>
          <w:p>
            <w:pPr>
              <w:spacing w:after="0"/>
              <w:jc w:val="left"/>
            </w:pPr>
            <w:r>
              <w:rPr>
                <w:rFonts w:ascii="Calibri" w:hAnsi="Calibri"/>
                <w:color w:val="374151"/>
                <w:sz w:val="19"/>
              </w:rPr>
              <w:t>₹14,50,000 – ₹35,00,000</w:t>
            </w:r>
          </w:p>
        </w:tc>
      </w:tr>
    </w:tbl>
    <w:p>
      <w:pPr>
        <w:spacing w:after="120"/>
      </w:pPr>
    </w:p>
    <w:p>
      <w:pPr>
        <w:keepNext/>
        <w:spacing w:before="280" w:after="120"/>
      </w:pPr>
      <w:r>
        <w:rPr>
          <w:rFonts w:ascii="Calibri" w:hAnsi="Calibri"/>
          <w:b/>
          <w:color w:val="005A5A"/>
          <w:sz w:val="26"/>
        </w:rPr>
        <w:t>28–32. Scope, Exclusions, IP &amp; Risk Management</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Scope Exclusions &amp; Risk Matrix Source Text</w:t>
              <w:br/>
            </w:r>
            <w:r>
              <w:rPr>
                <w:rFonts w:ascii="Calibri" w:hAnsi="Calibri"/>
                <w:color w:val="333333"/>
                <w:sz w:val="20"/>
              </w:rPr>
              <w:t>28. Scope and Deliverables: Transformed Document Templates, Structural Style Guide, CIRS Rule Specification, Staff Training Workshop.</w:t>
            </w:r>
          </w:p>
          <w:p>
            <w:pPr>
              <w:spacing w:before="0" w:after="60" w:line="276" w:lineRule="auto"/>
            </w:pPr>
            <w:r>
              <w:rPr>
                <w:rFonts w:ascii="Calibri" w:hAnsi="Calibri"/>
                <w:color w:val="333333"/>
                <w:sz w:val="20"/>
              </w:rPr>
              <w:t>29. Scope Exclusions (Mandatory Contract Boundaries):</w:t>
            </w:r>
          </w:p>
          <w:p>
            <w:pPr>
              <w:spacing w:before="0" w:after="60" w:line="276" w:lineRule="auto"/>
            </w:pPr>
            <w:r>
              <w:rPr>
                <w:rFonts w:ascii="Calibri" w:hAnsi="Calibri"/>
                <w:color w:val="333333"/>
                <w:sz w:val="20"/>
              </w:rPr>
              <w:t>- Copywriting, proofreading, or authoring new substantive content.</w:t>
            </w:r>
          </w:p>
          <w:p>
            <w:pPr>
              <w:spacing w:before="0" w:after="60" w:line="276" w:lineRule="auto"/>
            </w:pPr>
            <w:r>
              <w:rPr>
                <w:rFonts w:ascii="Calibri" w:hAnsi="Calibri"/>
                <w:color w:val="333333"/>
                <w:sz w:val="20"/>
              </w:rPr>
              <w:t>- Legal, regulatory, or financial compliance consulting.</w:t>
            </w:r>
          </w:p>
          <w:p>
            <w:pPr>
              <w:spacing w:before="0" w:after="60" w:line="276" w:lineRule="auto"/>
            </w:pPr>
            <w:r>
              <w:rPr>
                <w:rFonts w:ascii="Calibri" w:hAnsi="Calibri"/>
                <w:color w:val="333333"/>
                <w:sz w:val="20"/>
              </w:rPr>
              <w:t>- Custom software development or IT infrastructure integration.</w:t>
            </w:r>
          </w:p>
          <w:p>
            <w:pPr>
              <w:spacing w:before="0" w:after="60" w:line="276" w:lineRule="auto"/>
            </w:pPr>
            <w:r>
              <w:rPr>
                <w:rFonts w:ascii="Calibri" w:hAnsi="Calibri"/>
                <w:color w:val="333333"/>
                <w:sz w:val="20"/>
              </w:rPr>
              <w:t>- Liability for business decisions made based on document contents.</w:t>
            </w:r>
          </w:p>
          <w:p>
            <w:pPr>
              <w:spacing w:before="0" w:after="60" w:line="276" w:lineRule="auto"/>
            </w:pPr>
            <w:r>
              <w:rPr>
                <w:rFonts w:ascii="Calibri" w:hAnsi="Calibri"/>
                <w:color w:val="333333"/>
                <w:sz w:val="20"/>
              </w:rPr>
              <w:t>30. Intellectual Property Considerations: Client owns the specific transformed document outputs and final branded template files. Service provider retains full, exclusive ownership of CIRS rule engine, PDRF diagnostic methodologies, transformation algorithms, and Python code.</w:t>
            </w:r>
          </w:p>
          <w:p>
            <w:pPr>
              <w:spacing w:before="0" w:after="60" w:line="276" w:lineRule="auto"/>
            </w:pPr>
            <w:r>
              <w:rPr>
                <w:rFonts w:ascii="Calibri" w:hAnsi="Calibri"/>
                <w:color w:val="333333"/>
                <w:sz w:val="20"/>
              </w:rPr>
              <w:t>31. Commercial Risks: Scope creep, client conflation with graphic design, long enterprise sales cycles.</w:t>
            </w:r>
          </w:p>
          <w:p>
            <w:pPr>
              <w:spacing w:before="0" w:after="60" w:line="276" w:lineRule="auto"/>
            </w:pPr>
            <w:r>
              <w:rPr>
                <w:rFonts w:ascii="Calibri" w:hAnsi="Calibri"/>
                <w:color w:val="333333"/>
                <w:sz w:val="20"/>
              </w:rPr>
              <w:t>32. Scientific / Claim Boundaries: Never guarantee 'zero executive errors' or '100% compliance'. Always state: 'Designed to optimize cognitive processing efficiency and reduce visual information friction.'</w:t>
            </w:r>
          </w:p>
        </w:tc>
      </w:tr>
    </w:tbl>
    <w:p>
      <w:pPr>
        <w:spacing w:after="80"/>
      </w:pPr>
    </w:p>
    <w:p>
      <w:pPr>
        <w:keepNext/>
        <w:spacing w:before="360" w:after="160"/>
      </w:pPr>
      <w:r>
        <w:rPr>
          <w:rFonts w:ascii="Calibri" w:hAnsi="Calibri"/>
          <w:b/>
          <w:color w:val="1B365D"/>
          <w:sz w:val="32"/>
        </w:rPr>
        <w:t>Part V: Strategic Evaluation, Go-To-Market &amp; Commercial Scaling</w:t>
      </w:r>
    </w:p>
    <w:p>
      <w:pPr>
        <w:keepNext/>
        <w:spacing w:before="280" w:after="120"/>
      </w:pPr>
      <w:r>
        <w:rPr>
          <w:rFonts w:ascii="Calibri" w:hAnsi="Calibri"/>
          <w:b/>
          <w:color w:val="005A5A"/>
          <w:sz w:val="26"/>
        </w:rPr>
        <w:t>33–36. Strategic Positioning &amp; Go-To-Market Strategy</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Go-To-Market Strategy Source Text</w:t>
              <w:br/>
            </w:r>
            <w:r>
              <w:rPr>
                <w:rFonts w:ascii="Calibri" w:hAnsi="Calibri"/>
                <w:color w:val="333333"/>
                <w:sz w:val="20"/>
              </w:rPr>
              <w:t>33. Assessment of Previous Gemini Research: Previous AI market research conflated Document Engineering (a cognitive human representation capability) with Document AI (OCR software). This led to incorrect pricing assumptions ($10/month SaaS vs $10,000+ consulting).</w:t>
            </w:r>
          </w:p>
          <w:p>
            <w:pPr>
              <w:spacing w:before="0" w:after="60" w:line="276" w:lineRule="auto"/>
            </w:pPr>
            <w:r>
              <w:rPr>
                <w:rFonts w:ascii="Calibri" w:hAnsi="Calibri"/>
                <w:color w:val="333333"/>
                <w:sz w:val="20"/>
              </w:rPr>
              <w:t>34. Recommended Commercial Positioning: 'Cognitive Information Architecture for High-Stakes Financial &amp; Regulatory Operations.'</w:t>
            </w:r>
          </w:p>
          <w:p>
            <w:pPr>
              <w:spacing w:before="0" w:after="60" w:line="276" w:lineRule="auto"/>
            </w:pPr>
            <w:r>
              <w:rPr>
                <w:rFonts w:ascii="Calibri" w:hAnsi="Calibri"/>
                <w:color w:val="333333"/>
                <w:sz w:val="20"/>
              </w:rPr>
              <w:t>35. Recommended Go-To-Market Strategy: Direct outbound engagement targeting COOs of mid-market NBFCs in Mumbai, leveraging RBI IT Governance 2024 compliance audits.</w:t>
            </w:r>
          </w:p>
          <w:p>
            <w:pPr>
              <w:spacing w:before="0" w:after="60" w:line="276" w:lineRule="auto"/>
            </w:pPr>
            <w:r>
              <w:rPr>
                <w:rFonts w:ascii="Calibri" w:hAnsi="Calibri"/>
                <w:color w:val="333333"/>
                <w:sz w:val="20"/>
              </w:rPr>
              <w:t>36. Recommended First Customer Profile: Mid-sized NBFC in Mumbai with ₹1,000 Cr – ₹5,000 Cr AUM actively issuing Credit Appraisal Memos.</w:t>
            </w:r>
          </w:p>
        </w:tc>
      </w:tr>
    </w:tbl>
    <w:p>
      <w:pPr>
        <w:spacing w:after="80"/>
      </w:pPr>
    </w:p>
    <w:p>
      <w:pPr>
        <w:keepNext/>
        <w:spacing w:before="280" w:after="120"/>
      </w:pPr>
      <w:r>
        <w:rPr>
          <w:rFonts w:ascii="Calibri" w:hAnsi="Calibri"/>
          <w:b/>
          <w:color w:val="005A5A"/>
          <w:sz w:val="26"/>
        </w:rPr>
        <w:t>37–40. First Offering, Pricing &amp; Long-Term Scalability</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First Offering &amp; Scaling Engine Source Text</w:t>
              <w:br/>
            </w:r>
            <w:r>
              <w:rPr>
                <w:rFonts w:ascii="Calibri" w:hAnsi="Calibri"/>
                <w:color w:val="333333"/>
                <w:sz w:val="20"/>
              </w:rPr>
              <w:t>37. Recommended First Paid Offering: 30-Day Credit Appraisal Memo (CAM) Transformation Pilot.</w:t>
            </w:r>
          </w:p>
          <w:p>
            <w:pPr>
              <w:spacing w:before="0" w:after="60" w:line="276" w:lineRule="auto"/>
            </w:pPr>
            <w:r>
              <w:rPr>
                <w:rFonts w:ascii="Calibri" w:hAnsi="Calibri"/>
                <w:color w:val="333333"/>
                <w:sz w:val="20"/>
              </w:rPr>
              <w:t>38. Recommended Pricing for First Customers: ₹1,50,000 – ₹2,50,000 fixed fee for the initial pilot project.</w:t>
            </w:r>
          </w:p>
          <w:p>
            <w:pPr>
              <w:spacing w:before="0" w:after="60" w:line="276" w:lineRule="auto"/>
            </w:pPr>
            <w:r>
              <w:rPr>
                <w:rFonts w:ascii="Calibri" w:hAnsi="Calibri"/>
                <w:color w:val="333333"/>
                <w:sz w:val="20"/>
              </w:rPr>
              <w:t>39. Long-Term Commercial Architecture: Transition from high-touch Level 1 consulting to Level 2 enterprise architecture consulting, backed by a deterministic Python transformation engine.</w:t>
            </w:r>
          </w:p>
          <w:p>
            <w:pPr>
              <w:spacing w:before="0" w:after="60" w:line="276" w:lineRule="auto"/>
            </w:pPr>
            <w:r>
              <w:rPr>
                <w:rFonts w:ascii="Calibri" w:hAnsi="Calibri"/>
                <w:color w:val="333333"/>
                <w:sz w:val="20"/>
              </w:rPr>
              <w:t>40. Final Commercial Classification: Enterprise Information Architecture Consulting specializing in Cognitive Information Representation.</w:t>
            </w:r>
          </w:p>
        </w:tc>
      </w:tr>
    </w:tbl>
    <w:p>
      <w:pPr>
        <w:spacing w:after="80"/>
      </w:pPr>
    </w:p>
    <w:p>
      <w:pPr>
        <w:keepNext/>
        <w:spacing w:before="360" w:after="160"/>
      </w:pPr>
      <w:r>
        <w:rPr>
          <w:rFonts w:ascii="Calibri" w:hAnsi="Calibri"/>
          <w:b/>
          <w:color w:val="1B365D"/>
          <w:sz w:val="32"/>
        </w:rPr>
        <w:t>Part VI: Executive Direct Answers &amp; Operational Roadmap</w:t>
      </w:r>
    </w:p>
    <w:p>
      <w:pPr>
        <w:spacing w:before="0" w:after="120" w:line="276" w:lineRule="auto"/>
      </w:pPr>
      <w:r>
        <w:rPr>
          <w:rFonts w:ascii="Calibri" w:hAnsi="Calibri"/>
          <w:color w:val="374151"/>
          <w:sz w:val="21"/>
        </w:rPr>
        <w:t>This section presents the 15 direct strategic questions and authoritative answers governing the commercial execution of Document Engineering, augmented with cognitive learning structures for immediate executive clarity:</w:t>
      </w:r>
    </w:p>
    <w:p>
      <w:pPr>
        <w:keepNext/>
        <w:spacing w:before="280" w:after="120"/>
      </w:pPr>
      <w:r>
        <w:rPr>
          <w:rFonts w:ascii="Calibri" w:hAnsi="Calibri"/>
          <w:b/>
          <w:color w:val="005A5A"/>
          <w:sz w:val="26"/>
        </w:rPr>
        <w:t>1. WHAT AM I ACTUALLY SELLING?</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You are selling the acceleration of accurate executive decision-making and the reduction of operational risk caused by information overload.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Selling executive speed and error reduction rather than document formatting.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Reduces cognitive latency for senior leaders evaluating high-stakes financial artifacts.</w:t>
            </w:r>
          </w:p>
        </w:tc>
      </w:tr>
    </w:tbl>
    <w:p>
      <w:pPr>
        <w:spacing w:after="80"/>
      </w:pPr>
    </w:p>
    <w:p>
      <w:pPr>
        <w:keepNext/>
        <w:spacing w:before="280" w:after="120"/>
      </w:pPr>
      <w:r>
        <w:rPr>
          <w:rFonts w:ascii="Calibri" w:hAnsi="Calibri"/>
          <w:b/>
          <w:color w:val="005A5A"/>
          <w:sz w:val="26"/>
        </w:rPr>
        <w:t>2. WHAT PROFESSIONAL CAPABILITY AM I PERFORMING?</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Document Engineering: The structural, semantic, hierarchical, and visual representation design of professional information artifacts.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Engineering representation without altering underlying substantive facts.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Preserves 100% of underlying facts while optimizing visual reading pathways.</w:t>
            </w:r>
          </w:p>
        </w:tc>
      </w:tr>
    </w:tbl>
    <w:p>
      <w:pPr>
        <w:spacing w:after="80"/>
      </w:pPr>
    </w:p>
    <w:p>
      <w:pPr>
        <w:keepNext/>
        <w:spacing w:before="280" w:after="120"/>
      </w:pPr>
      <w:r>
        <w:rPr>
          <w:rFonts w:ascii="Calibri" w:hAnsi="Calibri"/>
          <w:b/>
          <w:color w:val="005A5A"/>
          <w:sz w:val="26"/>
        </w:rPr>
        <w:t>3. WHAT EXISTING MARKET CATEGORY IS CLOSEST TO IT?</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Enterprise Information Architecture combined with Strategy Management Consulting.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Positioning at the crossroads of IT Information Architecture and High-Tier Business Consulting.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Commands management consulting price points rather than low-tier graphic design rates.</w:t>
            </w:r>
          </w:p>
        </w:tc>
      </w:tr>
    </w:tbl>
    <w:p>
      <w:pPr>
        <w:spacing w:after="80"/>
      </w:pPr>
    </w:p>
    <w:p>
      <w:pPr>
        <w:keepNext/>
        <w:spacing w:before="280" w:after="120"/>
      </w:pPr>
      <w:r>
        <w:rPr>
          <w:rFonts w:ascii="Calibri" w:hAnsi="Calibri"/>
          <w:b/>
          <w:color w:val="005A5A"/>
          <w:sz w:val="26"/>
        </w:rPr>
        <w:t>4. SHOULD 'DOCUMENT ENGINEERING' BE THE PRIMARY NAME?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As the internal methodology name defining what you do, yes. As the primary commercial brand name facing corporate procurement, no (due to OCR conflation).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Internal methodology vs. external commercial label.</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Prevents procurement buyers from confusing the service with $20/mo PDF extraction software.</w:t>
            </w:r>
          </w:p>
        </w:tc>
      </w:tr>
    </w:tbl>
    <w:p>
      <w:pPr>
        <w:spacing w:after="80"/>
      </w:pPr>
    </w:p>
    <w:p>
      <w:pPr>
        <w:keepNext/>
        <w:spacing w:before="280" w:after="120"/>
      </w:pPr>
      <w:r>
        <w:rPr>
          <w:rFonts w:ascii="Calibri" w:hAnsi="Calibri"/>
          <w:b/>
          <w:color w:val="005A5A"/>
          <w:sz w:val="26"/>
        </w:rPr>
        <w:t>5. IF NOT, WHAT SHOULD THE COMMERCIAL DESCRIPTION BE?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Cognitive Information Architecture Consulting or Executive Information Representation Systems.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Using business-aligned, high-value consulting language.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Resonates with COOs, Risk Officers, and Enterprise Architects.</w:t>
            </w:r>
          </w:p>
        </w:tc>
      </w:tr>
    </w:tbl>
    <w:p>
      <w:pPr>
        <w:spacing w:after="80"/>
      </w:pPr>
    </w:p>
    <w:p>
      <w:pPr>
        <w:keepNext/>
        <w:spacing w:before="280" w:after="120"/>
      </w:pPr>
      <w:r>
        <w:rPr>
          <w:rFonts w:ascii="Calibri" w:hAnsi="Calibri"/>
          <w:b/>
          <w:color w:val="005A5A"/>
          <w:sz w:val="26"/>
        </w:rPr>
        <w:t>6. WHO SHOULD PAY FOR IT?</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The Chief Operating Officer (COO) or the Head of Operations at a mid-market financial institution (NBFCs, Wealth Management, Private Equity).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The executive suffering most from operational bottlenecks.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Budget holder with direct authority to sign off on project fees.</w:t>
            </w:r>
          </w:p>
        </w:tc>
      </w:tr>
    </w:tbl>
    <w:p>
      <w:pPr>
        <w:spacing w:after="80"/>
      </w:pPr>
    </w:p>
    <w:p>
      <w:pPr>
        <w:keepNext/>
        <w:spacing w:before="280" w:after="120"/>
      </w:pPr>
      <w:r>
        <w:rPr>
          <w:rFonts w:ascii="Calibri" w:hAnsi="Calibri"/>
          <w:b/>
          <w:color w:val="005A5A"/>
          <w:sz w:val="26"/>
        </w:rPr>
        <w:t>7. WHAT EXACT PROBLEM ARE THEY PAYING TO SOLVE?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Cognitive latency (slow executive processing times), decision fatigue, and severe operational risk from overlooked covenant details.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Eliminating executive reading friction and covenant oversight risks.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Saves expensive leadership time and prevents costly financial oversights.</w:t>
            </w:r>
          </w:p>
        </w:tc>
      </w:tr>
    </w:tbl>
    <w:p>
      <w:pPr>
        <w:spacing w:after="80"/>
      </w:pPr>
    </w:p>
    <w:p>
      <w:pPr>
        <w:keepNext/>
        <w:spacing w:before="280" w:after="120"/>
      </w:pPr>
      <w:r>
        <w:rPr>
          <w:rFonts w:ascii="Calibri" w:hAnsi="Calibri"/>
          <w:b/>
          <w:color w:val="005A5A"/>
          <w:sz w:val="26"/>
        </w:rPr>
        <w:t>8. WHAT DOCUMENTS SHOULD I START WITH?</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Credit Appraisal Memos (CAMs) for NBFCs and Equity Research Reports for brokerage houses.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Targeting high-frequency, high-stakes financial document archetypes.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High operational volume directly connected to capital allocation decisions.</w:t>
            </w:r>
          </w:p>
        </w:tc>
      </w:tr>
    </w:tbl>
    <w:p>
      <w:pPr>
        <w:spacing w:after="80"/>
      </w:pPr>
    </w:p>
    <w:p>
      <w:pPr>
        <w:keepNext/>
        <w:spacing w:before="280" w:after="120"/>
      </w:pPr>
      <w:r>
        <w:rPr>
          <w:rFonts w:ascii="Calibri" w:hAnsi="Calibri"/>
          <w:b/>
          <w:color w:val="005A5A"/>
          <w:sz w:val="26"/>
        </w:rPr>
        <w:t>9. WHAT SHOULD MY FIRST PAID SERVICE LOOK LIKE?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A 30-day, tightly bounded pilot project (Level 1) transforming a single high-stakes document archetype (e.g. Credit Appraisal Memo).</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A low-friction, high-impact introductory engagement.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Proves value in 30 days without requiring massive client IT changes.</w:t>
            </w:r>
          </w:p>
        </w:tc>
      </w:tr>
    </w:tbl>
    <w:p>
      <w:pPr>
        <w:spacing w:after="80"/>
      </w:pPr>
    </w:p>
    <w:p>
      <w:pPr>
        <w:keepNext/>
        <w:spacing w:before="280" w:after="120"/>
      </w:pPr>
      <w:r>
        <w:rPr>
          <w:rFonts w:ascii="Calibri" w:hAnsi="Calibri"/>
          <w:b/>
          <w:color w:val="005A5A"/>
          <w:sz w:val="26"/>
        </w:rPr>
        <w:t>10. WHAT SHOULD I CHARGE FOR THE FIRST PAID SERVICE?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₹1,50,000 to ₹2,50,000 as a Fixed Project Fee.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Introductory pilot price point below enterprise sign-off friction.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Establishes initial case studies and validated commercial results.</w:t>
            </w:r>
          </w:p>
        </w:tc>
      </w:tr>
    </w:tbl>
    <w:p>
      <w:pPr>
        <w:spacing w:after="80"/>
      </w:pPr>
    </w:p>
    <w:p>
      <w:pPr>
        <w:keepNext/>
        <w:spacing w:before="280" w:after="120"/>
      </w:pPr>
      <w:r>
        <w:rPr>
          <w:rFonts w:ascii="Calibri" w:hAnsi="Calibri"/>
          <w:b/>
          <w:color w:val="005A5A"/>
          <w:sz w:val="26"/>
        </w:rPr>
        <w:t>11. WHAT SHOULD I CHARGE AFTER I HAVE CASE STUDIES AND VALIDATED RESULTS?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₹5,00,000 to ₹10,00,000 for Level 1 archetype transformation; ₹15,00,000 to ₹35,00,000 for Level 2 enterprise implementation.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Full value-based commercial pricing once ROI is empirically proven.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Matches market benchmarks for boutique strategy consulting in India.</w:t>
            </w:r>
          </w:p>
        </w:tc>
      </w:tr>
    </w:tbl>
    <w:p>
      <w:pPr>
        <w:spacing w:after="80"/>
      </w:pPr>
    </w:p>
    <w:p>
      <w:pPr>
        <w:keepNext/>
        <w:spacing w:before="280" w:after="120"/>
      </w:pPr>
      <w:r>
        <w:rPr>
          <w:rFonts w:ascii="Calibri" w:hAnsi="Calibri"/>
          <w:b/>
          <w:color w:val="005A5A"/>
          <w:sz w:val="26"/>
        </w:rPr>
        <w:t>12. WHAT PART OF THE BUSINESS CAN SCALE?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The deterministic Python transformation engine. Pure consulting hours do not scale; rule-based software automation of structural transformations does.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Scaling via software automation of rule engines (CIRS).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Transitions the business model from consulting hours to high-margin software-assisted representation.</w:t>
            </w:r>
          </w:p>
        </w:tc>
      </w:tr>
    </w:tbl>
    <w:p>
      <w:pPr>
        <w:spacing w:after="80"/>
      </w:pPr>
    </w:p>
    <w:p>
      <w:pPr>
        <w:keepNext/>
        <w:spacing w:before="280" w:after="120"/>
      </w:pPr>
      <w:r>
        <w:rPr>
          <w:rFonts w:ascii="Calibri" w:hAnsi="Calibri"/>
          <w:b/>
          <w:color w:val="005A5A"/>
          <w:sz w:val="26"/>
        </w:rPr>
        <w:t>13. WHERE DOES CIRF/CIRS FIT?</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CIRS is your proprietary intellectual property (the semantic rules engine); CIRF is the formal paid consulting methodology you deliver to clients.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IP engine (CIRS) vs. Commercial product framework (CIRF).</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Protects core IP while giving clients a clear service delivery methodology.</w:t>
            </w:r>
          </w:p>
        </w:tc>
      </w:tr>
    </w:tbl>
    <w:p>
      <w:pPr>
        <w:spacing w:after="80"/>
      </w:pPr>
    </w:p>
    <w:p>
      <w:pPr>
        <w:keepNext/>
        <w:spacing w:before="280" w:after="120"/>
      </w:pPr>
      <w:r>
        <w:rPr>
          <w:rFonts w:ascii="Calibri" w:hAnsi="Calibri"/>
          <w:b/>
          <w:color w:val="005A5A"/>
          <w:sz w:val="26"/>
        </w:rPr>
        <w:t>14. WHAT DID THE PREVIOUS RESEARCH MISUNDERSTAND?</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It conflated the capability (Document Engineering) with automated software technologies (Document AI, OCR, data extraction).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Confusing human cognitive optimization with machine data extraction.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Corrects the fundamental strategic flaw in preliminary market evaluations.</w:t>
            </w:r>
          </w:p>
        </w:tc>
      </w:tr>
    </w:tbl>
    <w:p>
      <w:pPr>
        <w:spacing w:after="80"/>
      </w:pPr>
    </w:p>
    <w:p>
      <w:pPr>
        <w:keepNext/>
        <w:spacing w:before="280" w:after="120"/>
      </w:pPr>
      <w:r>
        <w:rPr>
          <w:rFonts w:ascii="Calibri" w:hAnsi="Calibri"/>
          <w:b/>
          <w:color w:val="005A5A"/>
          <w:sz w:val="26"/>
        </w:rPr>
        <w:t>15. WHAT IS THE MOST DEFENSIBLE COMMERCIAL POSITIONING FOR DOCUMENT ENGINEERING?</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1B365D"/>
                <w:sz w:val="21"/>
              </w:rPr>
              <w:t>Original Source Text: Direct Strategic Answer</w:t>
              <w:br/>
            </w:r>
            <w:r>
              <w:rPr>
                <w:rFonts w:ascii="Calibri" w:hAnsi="Calibri"/>
                <w:color w:val="333333"/>
                <w:sz w:val="20"/>
              </w:rPr>
              <w:t>Positioning the service as specialized Information Architecture that reduces executive decision latency and mitigates operational risk in regulatory environments.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6F2F2"/>
            <w:tcBorders>
              <w:left w:val="single" w:sz="24" w:space="0" w:color="008080"/>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05A5A"/>
                <w:sz w:val="21"/>
              </w:rPr>
              <w:t>In Simple Language: Cognitive Explanation</w:t>
              <w:br/>
            </w:r>
            <w:r>
              <w:rPr>
                <w:rFonts w:ascii="Calibri" w:hAnsi="Calibri"/>
                <w:color w:val="333333"/>
                <w:sz w:val="20"/>
              </w:rPr>
              <w:t>Enterprise risk mitigation and cognitive efficiency positioning.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CFDF5"/>
            <w:tcBorders>
              <w:left w:val="single" w:sz="24" w:space="0" w:color="059669"/>
              <w:top w:val="none"/>
              <w:right w:val="none"/>
              <w:bottom w:val="none"/>
            </w:tcBorders>
            <w:tcMar>
              <w:top w:w="100" w:type="dxa"/>
              <w:bottom w:w="100" w:type="dxa"/>
              <w:left w:w="160" w:type="dxa"/>
              <w:right w:w="160" w:type="dxa"/>
            </w:tcMar>
          </w:tcPr>
          <w:p>
            <w:pPr>
              <w:spacing w:before="40" w:after="80" w:line="276" w:lineRule="auto"/>
            </w:pPr>
            <w:r>
              <w:rPr>
                <w:rFonts w:ascii="Calibri" w:hAnsi="Calibri"/>
                <w:b/>
                <w:color w:val="065F46"/>
                <w:sz w:val="21"/>
              </w:rPr>
              <w:t>Purpose &amp; Business Problem Solved: Why It Matters Strategically</w:t>
              <w:br/>
            </w:r>
            <w:r>
              <w:rPr>
                <w:rFonts w:ascii="Calibri" w:hAnsi="Calibri"/>
                <w:color w:val="333333"/>
                <w:sz w:val="20"/>
              </w:rPr>
              <w:t>Leverages regulatory drivers (RBI IT Governance 2024, DPDP Act 2023) to create defensible pricing power.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