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154F" w14:textId="77777777" w:rsidR="006A7DF3" w:rsidRPr="006A7DF3" w:rsidRDefault="006A7DF3" w:rsidP="006A7DF3">
      <w:pPr>
        <w:rPr>
          <w:b/>
          <w:bCs/>
        </w:rPr>
      </w:pPr>
      <w:r w:rsidRPr="006A7DF3">
        <w:rPr>
          <w:b/>
          <w:bCs/>
        </w:rPr>
        <w:t>DOCUMENT ENGINEERING: Commercial Market, Positioning, Service Architecture &amp; Valuation Study</w:t>
      </w:r>
    </w:p>
    <w:p w14:paraId="37223331" w14:textId="77777777" w:rsidR="006A7DF3" w:rsidRPr="006A7DF3" w:rsidRDefault="006A7DF3" w:rsidP="006A7DF3">
      <w:pPr>
        <w:rPr>
          <w:b/>
          <w:bCs/>
        </w:rPr>
      </w:pPr>
      <w:r w:rsidRPr="006A7DF3">
        <w:rPr>
          <w:b/>
          <w:bCs/>
        </w:rPr>
        <w:t>1. Executive Summary</w:t>
      </w:r>
    </w:p>
    <w:p w14:paraId="3612C12F" w14:textId="77777777" w:rsidR="006A7DF3" w:rsidRPr="006A7DF3" w:rsidRDefault="006A7DF3" w:rsidP="006A7DF3">
      <w:r w:rsidRPr="006A7DF3">
        <w:t>This comprehensive commercial and market research study establishes the professional capability, positioning, and commercial architecture of Document Engineering, specifically tailored for the Mumbai, Maharashtra, India market. The analysis rebuilds the commercial framework from the ground up, utilizing the primary conceptual definition of Document Engineering as the foundational capability, independent of previous preliminary classifications.</w:t>
      </w:r>
    </w:p>
    <w:p w14:paraId="0889EE83" w14:textId="77777777" w:rsidR="006A7DF3" w:rsidRPr="006A7DF3" w:rsidRDefault="006A7DF3" w:rsidP="006A7DF3">
      <w:r w:rsidRPr="006A7DF3">
        <w:t>The central finding of this investigation is that Document Engineering represents a highly sophisticated, multi-layered professional service that currently suffers from a terminological disconnect with the existing procurement market. While the capability itself—engineering the structure, hierarchy, and semantic representation of professional information to reduce cognitive friction—is scientifically sound and operationally critical, the exact term "Document Engineering" in the existing global commercial market is overwhelmingly associated with software-driven data extraction, optical character recognition (OCR), and XML processing.</w:t>
      </w:r>
    </w:p>
    <w:p w14:paraId="2E8FC12D" w14:textId="77777777" w:rsidR="006A7DF3" w:rsidRPr="006A7DF3" w:rsidRDefault="006A7DF3" w:rsidP="006A7DF3">
      <w:r w:rsidRPr="006A7DF3">
        <w:t>To navigate this discrepancy, this report outlines a dual-scale commercial architecture. It segregates Document-Level Engineering as a targeted professional service from Organizational Information-System Engineering, positioning the overarching capability within the high-value strata of enterprise Information Architecture and Management Consulting. By targeting mid-market Non-Banking Financial Companies (NBFCs) and investment research firms in Mumbai, the commercial strategy leverages acute regulatory pressures—specifically the Reserve Bank of India (RBI) IT Governance Master Direction 2024 and the Digital Personal Data Protection (DPDP) Act 2023—to position structured information representation as a quantifiable mitigation of operational risk and cognitive latency.</w:t>
      </w:r>
    </w:p>
    <w:p w14:paraId="5BF2ADEB" w14:textId="77777777" w:rsidR="006A7DF3" w:rsidRPr="006A7DF3" w:rsidRDefault="006A7DF3" w:rsidP="006A7DF3">
      <w:pPr>
        <w:rPr>
          <w:b/>
          <w:bCs/>
        </w:rPr>
      </w:pPr>
      <w:r w:rsidRPr="006A7DF3">
        <w:rPr>
          <w:b/>
          <w:bCs/>
        </w:rPr>
        <w:t>2. What Document Engineering Actually Is</w:t>
      </w:r>
    </w:p>
    <w:p w14:paraId="0806F0A8" w14:textId="77777777" w:rsidR="006A7DF3" w:rsidRPr="006A7DF3" w:rsidRDefault="006A7DF3" w:rsidP="006A7DF3">
      <w:r w:rsidRPr="006A7DF3">
        <w:t>Document Engineering is the systematic, rule-based engineering of how information is represented within professional documents. It operates on the fundamental principle that information and representation are distinct entities; the underlying substantive information is preserved entirely, while the representational infrastructure is optimized for human cognitive processing.</w:t>
      </w:r>
    </w:p>
    <w:p w14:paraId="0D4B202C" w14:textId="77777777" w:rsidR="006A7DF3" w:rsidRPr="006A7DF3" w:rsidRDefault="006A7DF3" w:rsidP="006A7DF3">
      <w:r w:rsidRPr="006A7DF3">
        <w:t xml:space="preserve">The capability fundamentally alters the reader's pathway by engineering the semantic organization, visual hierarchy, contextual bridging, and symbolic encoding of information. The objective is to align the document's presentation mathematically and structurally with the biological limitations of human working memory and the specific goal-directed requirements of the professional reader. The process operates entirely on the sequential formula: Existing </w:t>
      </w:r>
      <w:r w:rsidRPr="006A7DF3">
        <w:lastRenderedPageBreak/>
        <w:t>Information + Purpose + Intended Reader + Information Context = Representation Requirements.</w:t>
      </w:r>
    </w:p>
    <w:p w14:paraId="161DE1DF" w14:textId="77777777" w:rsidR="006A7DF3" w:rsidRPr="006A7DF3" w:rsidRDefault="006A7DF3" w:rsidP="006A7DF3">
      <w:r w:rsidRPr="006A7DF3">
        <w:t>Document Engineering operates across multiple analytical layers. It addresses the semantic structure to determine what different data points mean and how concepts relate. It establishes an information hierarchy to prioritize critical, conditional, and supporting data. It engineers representation through typography, spatial relationships, event markers, and symbols. Ultimately, it designs the reader pathway, managing navigational orientation and conceptual sequencing to ensure the visual stimulus aligns seamlessly with the reader's cognitive schema.</w:t>
      </w:r>
    </w:p>
    <w:p w14:paraId="136EF019" w14:textId="77777777" w:rsidR="006A7DF3" w:rsidRPr="006A7DF3" w:rsidRDefault="006A7DF3" w:rsidP="006A7DF3">
      <w:pPr>
        <w:rPr>
          <w:b/>
          <w:bCs/>
        </w:rPr>
      </w:pPr>
      <w:r w:rsidRPr="006A7DF3">
        <w:rPr>
          <w:b/>
          <w:bCs/>
        </w:rPr>
        <w:t>3. Definition of the Capability</w:t>
      </w:r>
    </w:p>
    <w:p w14:paraId="21FD9885" w14:textId="77777777" w:rsidR="006A7DF3" w:rsidRPr="006A7DF3" w:rsidRDefault="006A7DF3" w:rsidP="006A7DF3">
      <w:r w:rsidRPr="006A7DF3">
        <w:t>Formally, Document Engineering is defined as the capability to analyze an existing professional information artifact and transform its structure, hierarchy, explanatory sequence, navigation, and visual or symbolic representation so that the information can be recognized, interpreted, and utilized more effectively by its intended reader, without unnecessarily altering the underlying factual data.</w:t>
      </w:r>
    </w:p>
    <w:p w14:paraId="18D0EAF4" w14:textId="77777777" w:rsidR="006A7DF3" w:rsidRPr="006A7DF3" w:rsidRDefault="006A7DF3" w:rsidP="006A7DF3">
      <w:r w:rsidRPr="006A7DF3">
        <w:t>The core operational thesis is: "Preserve Information. Engineer Representation." The underlying substantive information remains completely unchanged where preservation is required by the engagement. What changes is exclusively how that information is organized, mapped, and encountered by the human visual and cognitive system.</w:t>
      </w:r>
    </w:p>
    <w:p w14:paraId="21D254CE" w14:textId="77777777" w:rsidR="006A7DF3" w:rsidRPr="006A7DF3" w:rsidRDefault="006A7DF3" w:rsidP="006A7DF3">
      <w:pPr>
        <w:rPr>
          <w:b/>
          <w:bCs/>
        </w:rPr>
      </w:pPr>
      <w:r w:rsidRPr="006A7DF3">
        <w:rPr>
          <w:b/>
          <w:bCs/>
        </w:rPr>
        <w:t>4. What Document Engineering Is Not</w:t>
      </w:r>
    </w:p>
    <w:p w14:paraId="1D0C253A" w14:textId="77777777" w:rsidR="006A7DF3" w:rsidRPr="006A7DF3" w:rsidRDefault="006A7DF3" w:rsidP="006A7DF3">
      <w:r w:rsidRPr="006A7DF3">
        <w:t>To establish defensible commercial boundaries and pricing power, Document Engineering must be explicitly separated from adjacent, highly commoditized services.</w:t>
      </w:r>
    </w:p>
    <w:p w14:paraId="75FCD2FF" w14:textId="77777777" w:rsidR="006A7DF3" w:rsidRPr="006A7DF3" w:rsidRDefault="006A7DF3" w:rsidP="006A7DF3">
      <w:r w:rsidRPr="006A7DF3">
        <w:t>The capability is not graphic design. Graphic design optimizes for aesthetic appeal, emotional resonance, and brand alignment. Document Engineering optimizes strictly for semantic recognition and cognitive efficiency. It is not User Interface or User Experience (UI/UX) design, which traditionally focuses on interactive screen interfaces, software navigation, and digital product journeys. Document Engineering focuses on static or semi-static information artifacts requiring deep reading comprehension.</w:t>
      </w:r>
    </w:p>
    <w:p w14:paraId="7F3771ED" w14:textId="77777777" w:rsidR="006A7DF3" w:rsidRPr="006A7DF3" w:rsidRDefault="006A7DF3" w:rsidP="006A7DF3">
      <w:r w:rsidRPr="006A7DF3">
        <w:t xml:space="preserve">Furthermore, it is not summarization. Summarization compresses a document by actively removing data. Document Engineering frequently expands a document by introducing necessary representational infrastructure, such as conceptual bridges, mental models, and standardized definitions, to support the preserved data. It is not copywriting or rewriting, as it does not alter the author's fundamental argument, tone, or findings. Finally, it is not Generative AI document creation. The capability relies on deterministic, rule-based restructuring rather </w:t>
      </w:r>
      <w:r w:rsidRPr="006A7DF3">
        <w:lastRenderedPageBreak/>
        <w:t>than probabilistic text generation, avoiding the hallucination risks that plague AI tools in regulated financial environments.</w:t>
      </w:r>
    </w:p>
    <w:p w14:paraId="0D1A8384" w14:textId="77777777" w:rsidR="006A7DF3" w:rsidRPr="006A7DF3" w:rsidRDefault="006A7DF3" w:rsidP="006A7DF3">
      <w:pPr>
        <w:rPr>
          <w:b/>
          <w:bCs/>
        </w:rPr>
      </w:pPr>
      <w:r w:rsidRPr="006A7DF3">
        <w:rPr>
          <w:b/>
          <w:bCs/>
        </w:rPr>
        <w:t>5. Document-Level vs Organizational-Level Engineering</w:t>
      </w:r>
    </w:p>
    <w:p w14:paraId="4D342084" w14:textId="77777777" w:rsidR="006A7DF3" w:rsidRPr="006A7DF3" w:rsidRDefault="006A7DF3" w:rsidP="006A7DF3">
      <w:r w:rsidRPr="006A7DF3">
        <w:t>The commercial architecture mandates a strict separation between two scales of the capability, as combining them dilutes pricing power and confuses the economic buyer.</w:t>
      </w:r>
    </w:p>
    <w:p w14:paraId="63D03F51" w14:textId="77777777" w:rsidR="006A7DF3" w:rsidRPr="006A7DF3" w:rsidRDefault="006A7DF3" w:rsidP="006A7DF3">
      <w:r w:rsidRPr="006A7DF3">
        <w:t>At the first scale, Document-Level Document Engineering involves the receipt of a specific, existing document from a client. The practitioner analyzes the source material and engineers its representation specifically for its intended reader. The scope is bounded entirely by the single artifact or a small, finite batch of identical artifacts. The deliverable is an engineered document. The commercial transaction is a finite professional service engagement aimed at solving a specific communication or comprehension bottleneck.</w:t>
      </w:r>
    </w:p>
    <w:p w14:paraId="4719FEB0" w14:textId="77777777" w:rsidR="006A7DF3" w:rsidRPr="006A7DF3" w:rsidRDefault="006A7DF3" w:rsidP="006A7DF3">
      <w:r w:rsidRPr="006A7DF3">
        <w:t>At the second scale, Organizational Information-System Engineering addresses the systemic information environment of an entire business unit. The operational question shifts dramatically from "How should this specific document be represented?" to "How should this entire class of information be standardized for the professionals who utilize it within this organization?". This scale involves mapping business contexts, developing proprietary information taxonomies, establishing semantic rules, and deploying automated or semi-automated document-generation systems. This level represents deep enterprise integration and commands significantly higher commercial valuation.</w:t>
      </w:r>
    </w:p>
    <w:p w14:paraId="4B4C6DDE" w14:textId="77777777" w:rsidR="006A7DF3" w:rsidRPr="006A7DF3" w:rsidRDefault="006A7DF3" w:rsidP="006A7DF3">
      <w:pPr>
        <w:rPr>
          <w:b/>
          <w:bCs/>
        </w:rPr>
      </w:pPr>
      <w:r w:rsidRPr="006A7DF3">
        <w:rPr>
          <w:b/>
          <w:bCs/>
        </w:rPr>
        <w:t>6. Relationship with PDRF</w:t>
      </w:r>
    </w:p>
    <w:p w14:paraId="4E1FC5E0" w14:textId="77777777" w:rsidR="006A7DF3" w:rsidRPr="006A7DF3" w:rsidRDefault="006A7DF3" w:rsidP="006A7DF3">
      <w:r w:rsidRPr="006A7DF3">
        <w:t>The Professional Document Reading Framework (PDRF) is distinct from Document Engineering. PDRF is the human-facing, educational methodology that defines how professionals should actively manage their visual and cognitive systems when interacting with dense, high-stakes text. If Document Engineering represents the supply side of the equation—structuring the physical artifact—PDRF represents the demand side, optimizing the human reader's internal cognitive strategy. PDRF functions as an integrated professional training component within broader enterprise engagements, rather than serving as the name of the commercial service itself.</w:t>
      </w:r>
    </w:p>
    <w:p w14:paraId="33F6EF41" w14:textId="77777777" w:rsidR="006A7DF3" w:rsidRPr="006A7DF3" w:rsidRDefault="006A7DF3" w:rsidP="006A7DF3">
      <w:pPr>
        <w:rPr>
          <w:b/>
          <w:bCs/>
        </w:rPr>
      </w:pPr>
      <w:r w:rsidRPr="006A7DF3">
        <w:rPr>
          <w:b/>
          <w:bCs/>
        </w:rPr>
        <w:t>7. Relationship with CIRS</w:t>
      </w:r>
    </w:p>
    <w:p w14:paraId="23455207" w14:textId="77777777" w:rsidR="006A7DF3" w:rsidRPr="006A7DF3" w:rsidRDefault="006A7DF3" w:rsidP="006A7DF3">
      <w:r w:rsidRPr="006A7DF3">
        <w:t xml:space="preserve">The Contextual Information Representation System (CIRS) serves as the foundational rule engine and semantic information language underlying the capability. CIRS dictates the principle that representation meaning is strictly context-dependent. For example, a specific color or a double underline may denote a "Regulatory Event" within an equity market context, but hold a completely different meaning in a healthcare context. CIRS is the proprietary intellectual </w:t>
      </w:r>
      <w:r w:rsidRPr="006A7DF3">
        <w:lastRenderedPageBreak/>
        <w:t>property and operational methodology utilized by the Document Engineer to construct semantic rulebooks for clients.</w:t>
      </w:r>
    </w:p>
    <w:p w14:paraId="35689FF9" w14:textId="77777777" w:rsidR="006A7DF3" w:rsidRPr="006A7DF3" w:rsidRDefault="006A7DF3" w:rsidP="006A7DF3">
      <w:pPr>
        <w:rPr>
          <w:b/>
          <w:bCs/>
        </w:rPr>
      </w:pPr>
      <w:r w:rsidRPr="006A7DF3">
        <w:rPr>
          <w:b/>
          <w:bCs/>
        </w:rPr>
        <w:t>8. Relationship with CIRF</w:t>
      </w:r>
    </w:p>
    <w:p w14:paraId="09CDED99" w14:textId="77777777" w:rsidR="006A7DF3" w:rsidRPr="006A7DF3" w:rsidRDefault="006A7DF3" w:rsidP="006A7DF3">
      <w:r w:rsidRPr="006A7DF3">
        <w:t>The Contextual Information Representation Framework (CIRF) is the formal, paid organizational service offering. It is the commercial vehicle through which Organizational Information-System Engineering is sold, contracted, and implemented. An enterprise CIRF engagement encompasses the deployment of customized CIRS rules, the generation of organization-specific documentation standards, and the training of internal personnel via the PDRF methodology.</w:t>
      </w:r>
    </w:p>
    <w:p w14:paraId="3C20CDC4" w14:textId="77777777" w:rsidR="006A7DF3" w:rsidRPr="006A7DF3" w:rsidRDefault="006A7DF3" w:rsidP="006A7DF3">
      <w:pPr>
        <w:rPr>
          <w:b/>
          <w:bCs/>
        </w:rPr>
      </w:pPr>
      <w:r w:rsidRPr="006A7DF3">
        <w:rPr>
          <w:b/>
          <w:bCs/>
        </w:rPr>
        <w:t>9. Relationship with CIRE-001</w:t>
      </w:r>
    </w:p>
    <w:p w14:paraId="5182A11C" w14:textId="77777777" w:rsidR="006A7DF3" w:rsidRPr="006A7DF3" w:rsidRDefault="006A7DF3" w:rsidP="006A7DF3">
      <w:r w:rsidRPr="006A7DF3">
        <w:t>The Contextual Information Representation Experiment (CIRE-001) is the experimental, scientific protocol designed to empirically test and measure whether the application of CIRS rules demonstrably alters human cognitive processing, retrieval speed, and comprehension accuracy. CIRE-001 acts as the scientific validation arm of the overarching methodology, providing the evidence required to support commercial claims regarding cognitive latency reduction.</w:t>
      </w:r>
    </w:p>
    <w:p w14:paraId="1B6B7EE6" w14:textId="77777777" w:rsidR="006A7DF3" w:rsidRPr="006A7DF3" w:rsidRDefault="006A7DF3" w:rsidP="006A7DF3">
      <w:pPr>
        <w:rPr>
          <w:b/>
          <w:bCs/>
        </w:rPr>
      </w:pPr>
      <w:r w:rsidRPr="006A7DF3">
        <w:rPr>
          <w:b/>
          <w:bCs/>
        </w:rPr>
        <w:t>10. Existing Commercial Market Categories</w:t>
      </w:r>
    </w:p>
    <w:p w14:paraId="05EFFB39" w14:textId="77777777" w:rsidR="006A7DF3" w:rsidRPr="006A7DF3" w:rsidRDefault="006A7DF3" w:rsidP="006A7DF3">
      <w:r w:rsidRPr="006A7DF3">
        <w:t>Enterprise procurement departments utilize established market categories to allocate budgets and assess vendor viability. The research indicates that Document Engineering intersects with several established categories, though none capture its cognitive and structural nuances perfectly.</w:t>
      </w:r>
    </w:p>
    <w:tbl>
      <w:tblPr>
        <w:tblW w:w="0" w:type="auto"/>
        <w:tblCellSpacing w:w="15" w:type="dxa"/>
        <w:tblCellMar>
          <w:left w:w="0" w:type="dxa"/>
          <w:right w:w="0" w:type="dxa"/>
        </w:tblCellMar>
        <w:tblLook w:val="04A0" w:firstRow="1" w:lastRow="0" w:firstColumn="1" w:lastColumn="0" w:noHBand="0" w:noVBand="1"/>
      </w:tblPr>
      <w:tblGrid>
        <w:gridCol w:w="2118"/>
        <w:gridCol w:w="2359"/>
        <w:gridCol w:w="2188"/>
        <w:gridCol w:w="2679"/>
      </w:tblGrid>
      <w:tr w:rsidR="006A7DF3" w:rsidRPr="006A7DF3" w14:paraId="634384A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57FFD" w14:textId="77777777" w:rsidR="006A7DF3" w:rsidRPr="006A7DF3" w:rsidRDefault="006A7DF3" w:rsidP="006A7DF3">
            <w:r w:rsidRPr="006A7DF3">
              <w:rPr>
                <w:b/>
                <w:bCs/>
              </w:rPr>
              <w:t>Market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BF549" w14:textId="77777777" w:rsidR="006A7DF3" w:rsidRPr="006A7DF3" w:rsidRDefault="006A7DF3" w:rsidP="006A7DF3">
            <w:r w:rsidRPr="006A7DF3">
              <w:rPr>
                <w:b/>
                <w:bCs/>
              </w:rPr>
              <w:t>Standard Market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CC55" w14:textId="77777777" w:rsidR="006A7DF3" w:rsidRPr="006A7DF3" w:rsidRDefault="006A7DF3" w:rsidP="006A7DF3">
            <w:r w:rsidRPr="006A7DF3">
              <w:rPr>
                <w:b/>
                <w:bCs/>
              </w:rPr>
              <w:t>Typical Pricing &amp; Economic Buyer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4B869" w14:textId="77777777" w:rsidR="006A7DF3" w:rsidRPr="006A7DF3" w:rsidRDefault="006A7DF3" w:rsidP="006A7DF3">
            <w:r w:rsidRPr="006A7DF3">
              <w:rPr>
                <w:b/>
                <w:bCs/>
              </w:rPr>
              <w:t>Overlap &amp; Key Differences</w:t>
            </w:r>
          </w:p>
        </w:tc>
      </w:tr>
      <w:tr w:rsidR="006A7DF3" w:rsidRPr="006A7DF3" w14:paraId="4320B6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272F" w14:textId="77777777" w:rsidR="006A7DF3" w:rsidRPr="006A7DF3" w:rsidRDefault="006A7DF3" w:rsidP="006A7DF3">
            <w:r w:rsidRPr="006A7DF3">
              <w:rPr>
                <w:b/>
                <w:bCs/>
              </w:rPr>
              <w:t>Information Architecture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A0859" w14:textId="77777777" w:rsidR="006A7DF3" w:rsidRPr="006A7DF3" w:rsidRDefault="006A7DF3" w:rsidP="006A7DF3">
            <w:r w:rsidRPr="006A7DF3">
              <w:t>Structuring website navigation, corporate intranets, and digital software platforms.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F02BE" w14:textId="77777777" w:rsidR="006A7DF3" w:rsidRPr="006A7DF3" w:rsidRDefault="006A7DF3" w:rsidP="006A7DF3">
            <w:r w:rsidRPr="006A7DF3">
              <w:t>$50K-$150K per project. Buyers: CIO, Head of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906A6" w14:textId="77777777" w:rsidR="006A7DF3" w:rsidRPr="006A7DF3" w:rsidRDefault="006A7DF3" w:rsidP="006A7DF3">
            <w:r w:rsidRPr="006A7DF3">
              <w:rPr>
                <w:b/>
                <w:bCs/>
              </w:rPr>
              <w:t>Overlap:</w:t>
            </w:r>
            <w:r w:rsidRPr="006A7DF3">
              <w:t xml:space="preserve"> Structural hierarchy and logical flow. </w:t>
            </w:r>
            <w:r w:rsidRPr="006A7DF3">
              <w:rPr>
                <w:b/>
                <w:bCs/>
              </w:rPr>
              <w:t>Difference:</w:t>
            </w:r>
            <w:r w:rsidRPr="006A7DF3">
              <w:t xml:space="preserve"> Traditional IA focuses on digital navigation trees; Document Engineering focuses on the cognitive processing of dense prose and tabular data within static artifacts.</w:t>
            </w:r>
          </w:p>
        </w:tc>
      </w:tr>
      <w:tr w:rsidR="006A7DF3" w:rsidRPr="006A7DF3" w14:paraId="33CF8D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7A78" w14:textId="77777777" w:rsidR="006A7DF3" w:rsidRPr="006A7DF3" w:rsidRDefault="006A7DF3" w:rsidP="006A7DF3">
            <w:r w:rsidRPr="006A7DF3">
              <w:rPr>
                <w:b/>
                <w:bCs/>
              </w:rPr>
              <w:lastRenderedPageBreak/>
              <w:t>Technical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2316" w14:textId="77777777" w:rsidR="006A7DF3" w:rsidRPr="006A7DF3" w:rsidRDefault="006A7DF3" w:rsidP="006A7DF3">
            <w:r w:rsidRPr="006A7DF3">
              <w:t>Writing, editing, and designing user manuals, API documentation, and engineering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EE67F" w14:textId="77777777" w:rsidR="006A7DF3" w:rsidRPr="006A7DF3" w:rsidRDefault="006A7DF3" w:rsidP="006A7DF3">
            <w:r w:rsidRPr="006A7DF3">
              <w:t>Freelance hourly to mid-tier consulting. Buyers: Head of Engineering,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D785F" w14:textId="77777777" w:rsidR="006A7DF3" w:rsidRPr="006A7DF3" w:rsidRDefault="006A7DF3" w:rsidP="006A7DF3">
            <w:r w:rsidRPr="006A7DF3">
              <w:rPr>
                <w:b/>
                <w:bCs/>
              </w:rPr>
              <w:t>Overlap:</w:t>
            </w:r>
            <w:r w:rsidRPr="006A7DF3">
              <w:t xml:space="preserve"> Clarity of complex technical information. </w:t>
            </w:r>
            <w:r w:rsidRPr="006A7DF3">
              <w:rPr>
                <w:b/>
                <w:bCs/>
              </w:rPr>
              <w:t>Difference:</w:t>
            </w:r>
            <w:r w:rsidRPr="006A7DF3">
              <w:t xml:space="preserve"> Technical communicators actively write and rewrite content; Document Engineering preserves authorial content and strictly alters visual/semantic representation.</w:t>
            </w:r>
          </w:p>
        </w:tc>
      </w:tr>
      <w:tr w:rsidR="006A7DF3" w:rsidRPr="006A7DF3" w14:paraId="227A6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43DCA" w14:textId="77777777" w:rsidR="006A7DF3" w:rsidRPr="006A7DF3" w:rsidRDefault="006A7DF3" w:rsidP="006A7DF3">
            <w:r w:rsidRPr="006A7DF3">
              <w:rPr>
                <w:b/>
                <w:bCs/>
              </w:rPr>
              <w:t>Document AI / Intelligent Document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33C15" w14:textId="77777777" w:rsidR="006A7DF3" w:rsidRPr="006A7DF3" w:rsidRDefault="006A7DF3" w:rsidP="006A7DF3">
            <w:r w:rsidRPr="006A7DF3">
              <w:t>Using LLMs and OCR to extract structured data from unstructured PDFs for machine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4D954" w14:textId="77777777" w:rsidR="006A7DF3" w:rsidRPr="006A7DF3" w:rsidRDefault="006A7DF3" w:rsidP="006A7DF3">
            <w:r w:rsidRPr="006A7DF3">
              <w:t>SaaS subscription. Buyers: IT Operations, Data Officers.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25457" w14:textId="77777777" w:rsidR="006A7DF3" w:rsidRPr="006A7DF3" w:rsidRDefault="006A7DF3" w:rsidP="006A7DF3">
            <w:r w:rsidRPr="006A7DF3">
              <w:rPr>
                <w:b/>
                <w:bCs/>
              </w:rPr>
              <w:t>Overlap:</w:t>
            </w:r>
            <w:r w:rsidRPr="006A7DF3">
              <w:t xml:space="preserve"> Document analysis and data mapping. </w:t>
            </w:r>
            <w:r w:rsidRPr="006A7DF3">
              <w:rPr>
                <w:b/>
                <w:bCs/>
              </w:rPr>
              <w:t>Difference:</w:t>
            </w:r>
            <w:r w:rsidRPr="006A7DF3">
              <w:t xml:space="preserve"> Document AI extracts data for </w:t>
            </w:r>
            <w:r w:rsidRPr="006A7DF3">
              <w:rPr>
                <w:i/>
                <w:iCs/>
              </w:rPr>
              <w:t>machines</w:t>
            </w:r>
            <w:r w:rsidRPr="006A7DF3">
              <w:t xml:space="preserve">; Document Engineering restructures data for </w:t>
            </w:r>
            <w:r w:rsidRPr="006A7DF3">
              <w:rPr>
                <w:i/>
                <w:iCs/>
              </w:rPr>
              <w:t>human cognition</w:t>
            </w:r>
            <w:r w:rsidRPr="006A7DF3">
              <w:t>.</w:t>
            </w:r>
          </w:p>
        </w:tc>
      </w:tr>
      <w:tr w:rsidR="006A7DF3" w:rsidRPr="006A7DF3" w14:paraId="1DB2D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8EA75" w14:textId="77777777" w:rsidR="006A7DF3" w:rsidRPr="006A7DF3" w:rsidRDefault="006A7DF3" w:rsidP="006A7DF3">
            <w:r w:rsidRPr="006A7DF3">
              <w:rPr>
                <w:b/>
                <w:bCs/>
              </w:rPr>
              <w:t>Enterprise Architecture (EA)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756EF" w14:textId="77777777" w:rsidR="006A7DF3" w:rsidRPr="006A7DF3" w:rsidRDefault="006A7DF3" w:rsidP="006A7DF3">
            <w:r w:rsidRPr="006A7DF3">
              <w:t>Aligning IT infrastructure, applications, and processes with overarching business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ECCCB" w14:textId="77777777" w:rsidR="006A7DF3" w:rsidRPr="006A7DF3" w:rsidRDefault="006A7DF3" w:rsidP="006A7DF3">
            <w:r w:rsidRPr="006A7DF3">
              <w:t>High-tier management consulting. Buyers: Chief Enterprise Architect, 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4389" w14:textId="77777777" w:rsidR="006A7DF3" w:rsidRPr="006A7DF3" w:rsidRDefault="006A7DF3" w:rsidP="006A7DF3">
            <w:r w:rsidRPr="006A7DF3">
              <w:rPr>
                <w:b/>
                <w:bCs/>
              </w:rPr>
              <w:t>Overlap:</w:t>
            </w:r>
            <w:r w:rsidRPr="006A7DF3">
              <w:t xml:space="preserve"> Systems thinking and organizational standardization. </w:t>
            </w:r>
            <w:r w:rsidRPr="006A7DF3">
              <w:rPr>
                <w:b/>
                <w:bCs/>
              </w:rPr>
              <w:t>Difference:</w:t>
            </w:r>
            <w:r w:rsidRPr="006A7DF3">
              <w:t xml:space="preserve"> EA maps software and hardware interactions; Document Engineering maps semantic </w:t>
            </w:r>
            <w:r w:rsidRPr="006A7DF3">
              <w:lastRenderedPageBreak/>
              <w:t>information layers and reading pathways.</w:t>
            </w:r>
          </w:p>
        </w:tc>
      </w:tr>
      <w:tr w:rsidR="006A7DF3" w:rsidRPr="006A7DF3" w14:paraId="19AF2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16F4" w14:textId="77777777" w:rsidR="006A7DF3" w:rsidRPr="006A7DF3" w:rsidRDefault="006A7DF3" w:rsidP="006A7DF3">
            <w:r w:rsidRPr="006A7DF3">
              <w:rPr>
                <w:b/>
                <w:bCs/>
              </w:rPr>
              <w:lastRenderedPageBreak/>
              <w:t>Customer Communication Management (CCM)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B7E6F" w14:textId="77777777" w:rsidR="006A7DF3" w:rsidRPr="006A7DF3" w:rsidRDefault="006A7DF3" w:rsidP="006A7DF3">
            <w:r w:rsidRPr="006A7DF3">
              <w:t>Orchestrating omnichannel outbound customer communications, bills, and compliance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4277" w14:textId="77777777" w:rsidR="006A7DF3" w:rsidRPr="006A7DF3" w:rsidRDefault="006A7DF3" w:rsidP="006A7DF3">
            <w:r w:rsidRPr="006A7DF3">
              <w:t>Enterprise SaaS + Implementation fees. Buyers: CMO, Head of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9669" w14:textId="77777777" w:rsidR="006A7DF3" w:rsidRPr="006A7DF3" w:rsidRDefault="006A7DF3" w:rsidP="006A7DF3">
            <w:r w:rsidRPr="006A7DF3">
              <w:rPr>
                <w:b/>
                <w:bCs/>
              </w:rPr>
              <w:t>Overlap:</w:t>
            </w:r>
            <w:r w:rsidRPr="006A7DF3">
              <w:t xml:space="preserve"> Document generation and compliance. </w:t>
            </w:r>
            <w:r w:rsidRPr="006A7DF3">
              <w:rPr>
                <w:b/>
                <w:bCs/>
              </w:rPr>
              <w:t>Difference:</w:t>
            </w:r>
            <w:r w:rsidRPr="006A7DF3">
              <w:t xml:space="preserve"> CCM focuses on high-volume, generic variable personalization; Document Engineering focuses on deep cognitive structuring for high-stakes decision-making.</w:t>
            </w:r>
          </w:p>
        </w:tc>
      </w:tr>
    </w:tbl>
    <w:p w14:paraId="6FD4973B" w14:textId="77777777" w:rsidR="006A7DF3" w:rsidRPr="006A7DF3" w:rsidRDefault="006A7DF3" w:rsidP="006A7DF3">
      <w:pPr>
        <w:rPr>
          <w:b/>
          <w:bCs/>
        </w:rPr>
      </w:pPr>
      <w:r w:rsidRPr="006A7DF3">
        <w:rPr>
          <w:b/>
          <w:bCs/>
        </w:rPr>
        <w:t>11. Where Document Engineering Fits</w:t>
      </w:r>
    </w:p>
    <w:p w14:paraId="49BA9676" w14:textId="77777777" w:rsidR="006A7DF3" w:rsidRPr="006A7DF3" w:rsidRDefault="006A7DF3" w:rsidP="006A7DF3">
      <w:r w:rsidRPr="006A7DF3">
        <w:t>Commercially, Document Engineering resides at the intersection of Management Consulting (specifically Operational Risk and Efficiency) and Enterprise Information Architecture. It must not be positioned as a design or formatting service. It is a rigorous operational efficiency service. By explicitly reducing the extraneous cognitive load required for highly compensated professionals to parse critical documents, the capability accelerates organizational decision-making velocity and drastically reduces compliance errors resulting from misinterpretation.</w:t>
      </w:r>
    </w:p>
    <w:p w14:paraId="162B1997" w14:textId="77777777" w:rsidR="006A7DF3" w:rsidRPr="006A7DF3" w:rsidRDefault="006A7DF3" w:rsidP="006A7DF3">
      <w:pPr>
        <w:rPr>
          <w:b/>
          <w:bCs/>
        </w:rPr>
      </w:pPr>
      <w:r w:rsidRPr="006A7DF3">
        <w:rPr>
          <w:b/>
          <w:bCs/>
        </w:rPr>
        <w:t>12. Whether Document Engineering Is an Established or Emerging Category</w:t>
      </w:r>
    </w:p>
    <w:p w14:paraId="0E817ED7" w14:textId="77777777" w:rsidR="006A7DF3" w:rsidRPr="006A7DF3" w:rsidRDefault="006A7DF3" w:rsidP="006A7DF3">
      <w:r w:rsidRPr="006A7DF3">
        <w:t>The investigation into whether "Document Engineering" already exists as an established commercial term yields a critical finding: the terminology is already heavily occupied by divergent technical disciplines.</w:t>
      </w:r>
    </w:p>
    <w:p w14:paraId="18EBAE70" w14:textId="77777777" w:rsidR="006A7DF3" w:rsidRPr="006A7DF3" w:rsidRDefault="006A7DF3" w:rsidP="006A7DF3">
      <w:r w:rsidRPr="006A7DF3">
        <w:t xml:space="preserve">In academic and software engineering contexts, "Document Engineering" explicitly refers to XML markup, automated schema generation, and computational document control systems. In the modern commercial SaaS market, companies actively use "Document Engineering" to describe the AI-driven extraction of legal clauses from unstructured PDFs into structured </w:t>
      </w:r>
      <w:r w:rsidRPr="006A7DF3">
        <w:lastRenderedPageBreak/>
        <w:t>Knowledge Graphs. Furthermore, in industrial sectors, the term is occasionally used by agencies that produce technical brochures and maintenance manuals.</w:t>
      </w:r>
    </w:p>
    <w:p w14:paraId="248FB83C" w14:textId="77777777" w:rsidR="006A7DF3" w:rsidRPr="006A7DF3" w:rsidRDefault="006A7DF3" w:rsidP="006A7DF3">
      <w:r w:rsidRPr="006A7DF3">
        <w:t>The implication is severe. Utilizing the naked term "Document Engineering" for outbound commercial enterprise sales will result in acute market confusion. IT procurement departments will expect an API that reads PDFs into a database, while marketing departments will expect an industrial brochure publisher. While the capability itself is highly novel and deeply valuable, the specific terminology is compromised.</w:t>
      </w:r>
    </w:p>
    <w:p w14:paraId="389B9C74" w14:textId="77777777" w:rsidR="006A7DF3" w:rsidRPr="006A7DF3" w:rsidRDefault="006A7DF3" w:rsidP="006A7DF3">
      <w:pPr>
        <w:rPr>
          <w:b/>
          <w:bCs/>
        </w:rPr>
      </w:pPr>
      <w:r w:rsidRPr="006A7DF3">
        <w:rPr>
          <w:b/>
          <w:bCs/>
        </w:rPr>
        <w:t>13. Competitive Landscape</w:t>
      </w:r>
    </w:p>
    <w:p w14:paraId="44CDF2FE" w14:textId="77777777" w:rsidR="006A7DF3" w:rsidRPr="006A7DF3" w:rsidRDefault="006A7DF3" w:rsidP="006A7DF3">
      <w:r w:rsidRPr="006A7DF3">
        <w:t>When analyzing the competitive landscape, it is vital to recognize that the true competitors are not other individuals calling themselves "Document Engineers." The competitive landscape consists of the alternative solutions the economic buyer currently utilizes to solve the problem of document-induced cognitive latency.</w:t>
      </w:r>
    </w:p>
    <w:p w14:paraId="2BEFE6D9" w14:textId="77777777" w:rsidR="006A7DF3" w:rsidRPr="006A7DF3" w:rsidRDefault="006A7DF3" w:rsidP="006A7DF3">
      <w:r w:rsidRPr="006A7DF3">
        <w:t>The most formidable competitor is the status quo. Organizations routinely accept cognitive latency as an unavoidable sunk cost, paying highly compensated analysts to manually hunt for buried data points within unstructured PDFs. Internal corporate communications and design teams present another alternative; however, they possess brand guidelines but lack training in cognitive science, resulting in beautified documents that do not improve semantic utility.</w:t>
      </w:r>
    </w:p>
    <w:p w14:paraId="2D77CDE1" w14:textId="77777777" w:rsidR="006A7DF3" w:rsidRPr="006A7DF3" w:rsidRDefault="006A7DF3" w:rsidP="006A7DF3">
      <w:r w:rsidRPr="006A7DF3">
        <w:t>The "Big 4" management consulting firms (Deloitte, EY, PwC, KPMG) optimize the broader workflows of generating reports but rarely engineer the precise cognitive architecture of the reports themselves. Their daily consulting rates in India are extraordinarily high (ranging from ₹1.5 Lakh to ₹3 Lakh per day), leaving a massive commercial gap for specialized boutique intervention. Finally, generative AI assistants represent a growing alternative as users attempt to summarize documents automatically. While fast, this probabilistic approach introduces hallucination risks that are entirely unacceptable in regulated financial and legal workflows.</w:t>
      </w:r>
    </w:p>
    <w:p w14:paraId="6821E94F" w14:textId="77777777" w:rsidR="006A7DF3" w:rsidRPr="006A7DF3" w:rsidRDefault="006A7DF3" w:rsidP="006A7DF3">
      <w:pPr>
        <w:rPr>
          <w:b/>
          <w:bCs/>
        </w:rPr>
      </w:pPr>
      <w:r w:rsidRPr="006A7DF3">
        <w:rPr>
          <w:b/>
          <w:bCs/>
        </w:rPr>
        <w:t>14. Alternative Solutions Customers Currently Buy</w:t>
      </w:r>
    </w:p>
    <w:p w14:paraId="78005ADB" w14:textId="77777777" w:rsidR="006A7DF3" w:rsidRPr="006A7DF3" w:rsidRDefault="006A7DF3" w:rsidP="006A7DF3">
      <w:r w:rsidRPr="006A7DF3">
        <w:t>If an Indian NBFC experiences a severe slowdown in loan underwriting due to dense, unstandardized Credit Appraisal Memos (CAMs), they do not currently search for "Document Engineering." Instead, they procure adjacent solutions. They purchase massive software implementations, such as new Loan Origination Systems (LOS), attempting to digitize the PDF pipeline. They throw human headcount at the problem, hiring more junior analysts to brute-force the reading bottleneck. They subscribe to Document AI SaaS platforms to extract standard fields into rigid dashboards. Occasionally, they hire UI/UX agencies to redesign their internal software interfaces, yet the underlying PDFs and Word documents remain unengineered and cognitively hostile.</w:t>
      </w:r>
    </w:p>
    <w:p w14:paraId="40AA779F" w14:textId="77777777" w:rsidR="006A7DF3" w:rsidRPr="006A7DF3" w:rsidRDefault="006A7DF3" w:rsidP="006A7DF3">
      <w:pPr>
        <w:rPr>
          <w:b/>
          <w:bCs/>
        </w:rPr>
      </w:pPr>
      <w:r w:rsidRPr="006A7DF3">
        <w:rPr>
          <w:b/>
          <w:bCs/>
        </w:rPr>
        <w:lastRenderedPageBreak/>
        <w:t>15. Customer Problem Analysis</w:t>
      </w:r>
    </w:p>
    <w:p w14:paraId="66BBF689" w14:textId="77777777" w:rsidR="006A7DF3" w:rsidRPr="006A7DF3" w:rsidRDefault="006A7DF3" w:rsidP="006A7DF3">
      <w:r w:rsidRPr="006A7DF3">
        <w:t>To sell abstract theory is to guarantee commercial failure. The capability must be mapped directly to quantified operational pain. Poorly engineered information representation generates specific, costly business problems.</w:t>
      </w:r>
    </w:p>
    <w:p w14:paraId="53EDD590" w14:textId="77777777" w:rsidR="006A7DF3" w:rsidRPr="006A7DF3" w:rsidRDefault="006A7DF3" w:rsidP="006A7DF3">
      <w:r w:rsidRPr="006A7DF3">
        <w:t>The primary issue is cognitive latency—the measurable time lost deciphering document hierarchy rather than evaluating the actual data. This latency translates directly into operational risk. For example, missed regulatory footnotes or buried debt metrics in a dense CAM lead directly to the approval of bad loans and subsequent Non-Performing Assets (NPAs). Unstandardized documentation also creates severe compliance penalties, as auditors and regulators struggle to synthesize disjointed disclosures. Furthermore, it creates a massive training burden, as new employees require extensive time to learn how to navigate idiosyncratic legacy formats.</w:t>
      </w:r>
    </w:p>
    <w:p w14:paraId="6626CF73" w14:textId="77777777" w:rsidR="006A7DF3" w:rsidRPr="006A7DF3" w:rsidRDefault="006A7DF3" w:rsidP="006A7DF3">
      <w:r w:rsidRPr="006A7DF3">
        <w:t>It is critical to maintain strict scientific and commercial boundaries regarding these problems. The service can verifiably claim to structurally reduce visual search time, standardize data access, and lower extraneous cognitive load. However, it must never guarantee the total elimination of human error, claim to increase absolute human intelligence, or guarantee specific financial outcomes.</w:t>
      </w:r>
    </w:p>
    <w:p w14:paraId="79F15C52" w14:textId="77777777" w:rsidR="006A7DF3" w:rsidRPr="006A7DF3" w:rsidRDefault="006A7DF3" w:rsidP="006A7DF3">
      <w:pPr>
        <w:rPr>
          <w:b/>
          <w:bCs/>
        </w:rPr>
      </w:pPr>
      <w:r w:rsidRPr="006A7DF3">
        <w:rPr>
          <w:b/>
          <w:bCs/>
        </w:rPr>
        <w:t>16. Target Industries</w:t>
      </w:r>
    </w:p>
    <w:p w14:paraId="3B6FA50F" w14:textId="77777777" w:rsidR="006A7DF3" w:rsidRPr="006A7DF3" w:rsidRDefault="006A7DF3" w:rsidP="006A7DF3">
      <w:r w:rsidRPr="006A7DF3">
        <w:t>The ideal target industry must possess high document density, extreme decision-urgency, and strict compliance risk. Evaluated against these criteria, the following hierarchy emerges:</w:t>
      </w:r>
    </w:p>
    <w:p w14:paraId="451C003F" w14:textId="77777777" w:rsidR="006A7DF3" w:rsidRPr="006A7DF3" w:rsidRDefault="006A7DF3" w:rsidP="006A7DF3">
      <w:pPr>
        <w:numPr>
          <w:ilvl w:val="0"/>
          <w:numId w:val="22"/>
        </w:numPr>
      </w:pPr>
      <w:r w:rsidRPr="006A7DF3">
        <w:rPr>
          <w:b/>
          <w:bCs/>
        </w:rPr>
        <w:t>Non-Banking Financial Companies (NBFCs) &amp; Credit Rating Agencies (Rank 1):</w:t>
      </w:r>
      <w:r w:rsidRPr="006A7DF3">
        <w:t xml:space="preserve"> These organizations process massive volumes of unstructured data inputs to generate critical risk documents. They face an immediate, existential risk of NPAs if data is misread. Crucially, mid-market NBFCs have shorter sales cycles (90-150 days) than traditional banks.</w:t>
      </w:r>
    </w:p>
    <w:p w14:paraId="5E425BE2" w14:textId="77777777" w:rsidR="006A7DF3" w:rsidRPr="006A7DF3" w:rsidRDefault="006A7DF3" w:rsidP="006A7DF3">
      <w:pPr>
        <w:numPr>
          <w:ilvl w:val="0"/>
          <w:numId w:val="22"/>
        </w:numPr>
      </w:pPr>
      <w:r w:rsidRPr="006A7DF3">
        <w:rPr>
          <w:b/>
          <w:bCs/>
        </w:rPr>
        <w:t>Investment Research &amp; Asset Management (Rank 2):</w:t>
      </w:r>
      <w:r w:rsidRPr="006A7DF3">
        <w:t xml:space="preserve"> These firms produce highly complex equity reports where the speed of interpretation by the end-client directly impacts alpha generation and firm reputation.</w:t>
      </w:r>
    </w:p>
    <w:p w14:paraId="32CBD5A1" w14:textId="77777777" w:rsidR="006A7DF3" w:rsidRPr="006A7DF3" w:rsidRDefault="006A7DF3" w:rsidP="006A7DF3">
      <w:pPr>
        <w:numPr>
          <w:ilvl w:val="0"/>
          <w:numId w:val="22"/>
        </w:numPr>
      </w:pPr>
      <w:r w:rsidRPr="006A7DF3">
        <w:rPr>
          <w:b/>
          <w:bCs/>
        </w:rPr>
        <w:t>Corporate Strategy / M&amp;A Teams (Rank 3):</w:t>
      </w:r>
      <w:r w:rsidRPr="006A7DF3">
        <w:t xml:space="preserve"> High stakes environment where missing a liability clause in due diligence has catastrophic financial implications.</w:t>
      </w:r>
    </w:p>
    <w:p w14:paraId="50CF43E0" w14:textId="77777777" w:rsidR="006A7DF3" w:rsidRPr="006A7DF3" w:rsidRDefault="006A7DF3" w:rsidP="006A7DF3">
      <w:pPr>
        <w:numPr>
          <w:ilvl w:val="0"/>
          <w:numId w:val="22"/>
        </w:numPr>
      </w:pPr>
      <w:r w:rsidRPr="006A7DF3">
        <w:rPr>
          <w:b/>
          <w:bCs/>
        </w:rPr>
        <w:t>Tier-1 Commercial Banks (Rank 4):</w:t>
      </w:r>
      <w:r w:rsidRPr="006A7DF3">
        <w:t xml:space="preserve"> While they possess the exact operational pain Document Engineering solves, their massive procurement bureaucracy (180-270 day sales cycles) and extreme vendor onboarding friction make them highly unsuitable for an early-stage commercial beachhead.</w:t>
      </w:r>
    </w:p>
    <w:p w14:paraId="3A6BBFAB" w14:textId="77777777" w:rsidR="006A7DF3" w:rsidRPr="006A7DF3" w:rsidRDefault="006A7DF3" w:rsidP="006A7DF3">
      <w:pPr>
        <w:rPr>
          <w:b/>
          <w:bCs/>
        </w:rPr>
      </w:pPr>
      <w:r w:rsidRPr="006A7DF3">
        <w:rPr>
          <w:b/>
          <w:bCs/>
        </w:rPr>
        <w:lastRenderedPageBreak/>
        <w:t>17. Target Customer Profiles</w:t>
      </w:r>
    </w:p>
    <w:p w14:paraId="52A4CE0C" w14:textId="77777777" w:rsidR="006A7DF3" w:rsidRPr="006A7DF3" w:rsidRDefault="006A7DF3" w:rsidP="006A7DF3">
      <w:r w:rsidRPr="006A7DF3">
        <w:t>The strategic focus must remain strictly on the mid-market segment (companies with roughly $50 Million to $500 Million equivalent in revenue). This segment possesses sufficient document volume and operational complexity to experience acute pain, yet lacks the multi-year procurement bureaucracy of multinational conglomerates.</w:t>
      </w:r>
    </w:p>
    <w:p w14:paraId="178194C7" w14:textId="77777777" w:rsidR="006A7DF3" w:rsidRPr="006A7DF3" w:rsidRDefault="006A7DF3" w:rsidP="006A7DF3">
      <w:r w:rsidRPr="006A7DF3">
        <w:t>The ideal target profile is a mid-market NBFC or boutique asset management firm headquartered in Mumbai, actively scaling its loan origination or research output, but struggling to maintain quality control over its documentation pipeline. The target department is Credit Underwriting, Risk Management, or Primary Equity Research.</w:t>
      </w:r>
    </w:p>
    <w:p w14:paraId="613557C7" w14:textId="77777777" w:rsidR="006A7DF3" w:rsidRPr="006A7DF3" w:rsidRDefault="006A7DF3" w:rsidP="006A7DF3">
      <w:pPr>
        <w:rPr>
          <w:b/>
          <w:bCs/>
        </w:rPr>
      </w:pPr>
      <w:r w:rsidRPr="006A7DF3">
        <w:rPr>
          <w:b/>
          <w:bCs/>
        </w:rPr>
        <w:t>18. Economic Buyers</w:t>
      </w:r>
    </w:p>
    <w:p w14:paraId="5675640E" w14:textId="77777777" w:rsidR="006A7DF3" w:rsidRPr="006A7DF3" w:rsidRDefault="006A7DF3" w:rsidP="006A7DF3">
      <w:r w:rsidRPr="006A7DF3">
        <w:t>Navigating enterprise procurement requires understanding the distinct motivations of the buying committee, which typically averages between 6.8 and 11.2 stakeholders.</w:t>
      </w:r>
    </w:p>
    <w:p w14:paraId="708C431A" w14:textId="77777777" w:rsidR="006A7DF3" w:rsidRPr="006A7DF3" w:rsidRDefault="006A7DF3" w:rsidP="006A7DF3">
      <w:r w:rsidRPr="006A7DF3">
        <w:t xml:space="preserve">The </w:t>
      </w:r>
      <w:r w:rsidRPr="006A7DF3">
        <w:rPr>
          <w:b/>
          <w:bCs/>
        </w:rPr>
        <w:t>Economic Buyer</w:t>
      </w:r>
      <w:r w:rsidRPr="006A7DF3">
        <w:t xml:space="preserve"> is typically the Chief Operating Officer (COO) or Head of Operations. This individual holds ultimate budget authority and is motivated strictly by workflow velocity, capacity scaling, and operational cost reduction. The </w:t>
      </w:r>
      <w:r w:rsidRPr="006A7DF3">
        <w:rPr>
          <w:b/>
          <w:bCs/>
        </w:rPr>
        <w:t>Champion</w:t>
      </w:r>
      <w:r w:rsidRPr="006A7DF3">
        <w:t xml:space="preserve"> is the Head of Credit Underwriting or the Head of Research. This individual experiences the daily friction of poorly engineered documents and acts as the internal advocate for the solution.</w:t>
      </w:r>
    </w:p>
    <w:p w14:paraId="4FF72A5D" w14:textId="77777777" w:rsidR="006A7DF3" w:rsidRPr="006A7DF3" w:rsidRDefault="006A7DF3" w:rsidP="006A7DF3">
      <w:r w:rsidRPr="006A7DF3">
        <w:t xml:space="preserve">The most dangerous stakeholder is the </w:t>
      </w:r>
      <w:r w:rsidRPr="006A7DF3">
        <w:rPr>
          <w:b/>
          <w:bCs/>
        </w:rPr>
        <w:t>Veto Power</w:t>
      </w:r>
      <w:r w:rsidRPr="006A7DF3">
        <w:t>, typically the Chief Information Security Officer (CISO) or Chief Risk Officer (CRO). This individual does not care about cognitive load or reading speed; their sole motivation is ensuring compliance with the RBI IT Governance Master Direction and the DPDP Act 2023, preventing third-party data breaches at all costs.</w:t>
      </w:r>
    </w:p>
    <w:p w14:paraId="58211D9B" w14:textId="77777777" w:rsidR="006A7DF3" w:rsidRPr="006A7DF3" w:rsidRDefault="006A7DF3" w:rsidP="006A7DF3">
      <w:pPr>
        <w:rPr>
          <w:b/>
          <w:bCs/>
        </w:rPr>
      </w:pPr>
      <w:r w:rsidRPr="006A7DF3">
        <w:rPr>
          <w:b/>
          <w:bCs/>
        </w:rPr>
        <w:t>19. Commercial Use Cases</w:t>
      </w:r>
    </w:p>
    <w:p w14:paraId="0979ABC3" w14:textId="77777777" w:rsidR="006A7DF3" w:rsidRPr="006A7DF3" w:rsidRDefault="006A7DF3" w:rsidP="006A7DF3">
      <w:r w:rsidRPr="006A7DF3">
        <w:t>The most viable commercial use cases map directly to the workflows of the targeted profiles. The primary use case is Credit Appraisal Acceleration—restructuring chaotic borrower data, GST returns, and bureau reports into semantically standardized CAMs where risk markers are visually deterministic. A secondary use case is Equity Research Standardization, ensuring that SEBI-mandated compliance disclosures and risk warnings are encoded uniformly to pass institutional investor audits. A third use case involves Executive Board Reporting, engineering dense 100-page operational summaries into rapid-decision architectures for the C-suite.</w:t>
      </w:r>
    </w:p>
    <w:p w14:paraId="1BBF1343" w14:textId="77777777" w:rsidR="006A7DF3" w:rsidRPr="006A7DF3" w:rsidRDefault="006A7DF3" w:rsidP="006A7DF3">
      <w:pPr>
        <w:rPr>
          <w:b/>
          <w:bCs/>
        </w:rPr>
      </w:pPr>
      <w:r w:rsidRPr="006A7DF3">
        <w:rPr>
          <w:b/>
          <w:bCs/>
        </w:rPr>
        <w:t>20. Document Types With Highest Commercial Potential</w:t>
      </w:r>
    </w:p>
    <w:p w14:paraId="0C52A664" w14:textId="77777777" w:rsidR="006A7DF3" w:rsidRPr="006A7DF3" w:rsidRDefault="006A7DF3" w:rsidP="006A7DF3">
      <w:r w:rsidRPr="006A7DF3">
        <w:t>Based on the intersection of frequency, risk, and structural complexity, the document types with the highest commercial potential are:</w:t>
      </w:r>
    </w:p>
    <w:p w14:paraId="59C614E1" w14:textId="77777777" w:rsidR="006A7DF3" w:rsidRPr="006A7DF3" w:rsidRDefault="006A7DF3" w:rsidP="006A7DF3">
      <w:pPr>
        <w:numPr>
          <w:ilvl w:val="0"/>
          <w:numId w:val="23"/>
        </w:numPr>
      </w:pPr>
      <w:r w:rsidRPr="006A7DF3">
        <w:rPr>
          <w:b/>
          <w:bCs/>
        </w:rPr>
        <w:lastRenderedPageBreak/>
        <w:t>Credit Appraisal Memos (CAMs):</w:t>
      </w:r>
      <w:r w:rsidRPr="006A7DF3">
        <w:t xml:space="preserve"> The ultimate high-value target due to their direct link to loan origination revenue and financial default risk.</w:t>
      </w:r>
    </w:p>
    <w:p w14:paraId="1F1BF1AE" w14:textId="77777777" w:rsidR="006A7DF3" w:rsidRPr="006A7DF3" w:rsidRDefault="006A7DF3" w:rsidP="006A7DF3">
      <w:pPr>
        <w:numPr>
          <w:ilvl w:val="0"/>
          <w:numId w:val="23"/>
        </w:numPr>
      </w:pPr>
      <w:r w:rsidRPr="006A7DF3">
        <w:rPr>
          <w:b/>
          <w:bCs/>
        </w:rPr>
        <w:t>Equity Research Reports:</w:t>
      </w:r>
      <w:r w:rsidRPr="006A7DF3">
        <w:t xml:space="preserve"> High visibility, high frequency, and subject to intense regulatory scrutiny by SEBI.</w:t>
      </w:r>
    </w:p>
    <w:p w14:paraId="0E134FF2" w14:textId="77777777" w:rsidR="006A7DF3" w:rsidRPr="006A7DF3" w:rsidRDefault="006A7DF3" w:rsidP="006A7DF3">
      <w:pPr>
        <w:numPr>
          <w:ilvl w:val="0"/>
          <w:numId w:val="23"/>
        </w:numPr>
      </w:pPr>
      <w:r w:rsidRPr="006A7DF3">
        <w:rPr>
          <w:b/>
          <w:bCs/>
        </w:rPr>
        <w:t>M&amp;A Due Diligence Reports:</w:t>
      </w:r>
      <w:r w:rsidRPr="006A7DF3">
        <w:t xml:space="preserve"> Extremely high-stakes documents where cognitive latency causes severe deal friction.</w:t>
      </w:r>
    </w:p>
    <w:p w14:paraId="15EE9F14" w14:textId="77777777" w:rsidR="006A7DF3" w:rsidRPr="006A7DF3" w:rsidRDefault="006A7DF3" w:rsidP="006A7DF3">
      <w:pPr>
        <w:numPr>
          <w:ilvl w:val="0"/>
          <w:numId w:val="23"/>
        </w:numPr>
      </w:pPr>
      <w:r w:rsidRPr="006A7DF3">
        <w:rPr>
          <w:b/>
          <w:bCs/>
        </w:rPr>
        <w:t>Internal Audit &amp; Compliance Reports:</w:t>
      </w:r>
      <w:r w:rsidRPr="006A7DF3">
        <w:t xml:space="preserve"> Dense data structures requiring rapid executive sign-off and regulator review.</w:t>
      </w:r>
    </w:p>
    <w:p w14:paraId="7E598386" w14:textId="77777777" w:rsidR="006A7DF3" w:rsidRPr="006A7DF3" w:rsidRDefault="006A7DF3" w:rsidP="006A7DF3">
      <w:pPr>
        <w:rPr>
          <w:b/>
          <w:bCs/>
        </w:rPr>
      </w:pPr>
      <w:r w:rsidRPr="006A7DF3">
        <w:rPr>
          <w:b/>
          <w:bCs/>
        </w:rPr>
        <w:t>21. India Market Analysis</w:t>
      </w:r>
    </w:p>
    <w:p w14:paraId="4B17B3E6" w14:textId="77777777" w:rsidR="006A7DF3" w:rsidRPr="006A7DF3" w:rsidRDefault="006A7DF3" w:rsidP="006A7DF3">
      <w:r w:rsidRPr="006A7DF3">
        <w:t>Executing this commercial strategy in the Indian professional services market requires acknowledging a severely bifurcated pricing landscape and a highly aggressive regulatory environment.</w:t>
      </w:r>
    </w:p>
    <w:p w14:paraId="675D6115" w14:textId="77777777" w:rsidR="006A7DF3" w:rsidRPr="006A7DF3" w:rsidRDefault="006A7DF3" w:rsidP="006A7DF3">
      <w:r w:rsidRPr="006A7DF3">
        <w:t>The consulting market is dominated by the Big 4, who command ₹1.5 Lakh to ₹3 Lakh per day for enterprise strategy and compliance work. Premium boutique agencies charge ₹5,000 to ₹8,000 per hour for high-end UI/UX digital platform design. However, the Indian buyer is notoriously resistant to abstract consulting fees; pricing must be tied explicitly to operational ROI.</w:t>
      </w:r>
    </w:p>
    <w:p w14:paraId="04625D5E" w14:textId="77777777" w:rsidR="006A7DF3" w:rsidRPr="006A7DF3" w:rsidRDefault="006A7DF3" w:rsidP="006A7DF3">
      <w:r w:rsidRPr="006A7DF3">
        <w:t xml:space="preserve">More importantly, the regulatory environment has radically shifted. The implementation of the </w:t>
      </w:r>
      <w:r w:rsidRPr="006A7DF3">
        <w:rPr>
          <w:b/>
          <w:bCs/>
        </w:rPr>
        <w:t>RBI Master Direction on IT Governance 2024</w:t>
      </w:r>
      <w:r w:rsidRPr="006A7DF3">
        <w:t xml:space="preserve"> and the </w:t>
      </w:r>
      <w:r w:rsidRPr="006A7DF3">
        <w:rPr>
          <w:b/>
          <w:bCs/>
        </w:rPr>
        <w:t>Digital Personal Data Protection (DPDP) Act 2023</w:t>
      </w:r>
      <w:r w:rsidRPr="006A7DF3">
        <w:t xml:space="preserve"> imposes draconian penalties (up to ₹250 crore) for third-party vendor data breaches and unmanaged vendor access. The CISO of any Indian financial institution will immediately veto any proposal that involves processing sensitive CAMs or client data in a third-party cloud environment. The commercial viability of this service relies entirely on offering an on-premises deployment architecture, utilizing a cold Python engine that runs strictly behind the client's firewall, ensuring absolute regulatory compliance.</w:t>
      </w:r>
    </w:p>
    <w:p w14:paraId="4CA4807E" w14:textId="77777777" w:rsidR="006A7DF3" w:rsidRPr="006A7DF3" w:rsidRDefault="006A7DF3" w:rsidP="006A7DF3">
      <w:pPr>
        <w:rPr>
          <w:b/>
          <w:bCs/>
        </w:rPr>
      </w:pPr>
      <w:r w:rsidRPr="006A7DF3">
        <w:rPr>
          <w:b/>
          <w:bCs/>
        </w:rPr>
        <w:t>22. International Market Comparison</w:t>
      </w:r>
    </w:p>
    <w:p w14:paraId="5DE23518" w14:textId="77777777" w:rsidR="006A7DF3" w:rsidRPr="006A7DF3" w:rsidRDefault="006A7DF3" w:rsidP="006A7DF3">
      <w:r w:rsidRPr="006A7DF3">
        <w:t>While US-based Information Architecture, SharePoint migration, and digital transformation projects routinely command $15,000 to $150,000+ with hourly rates between $175 and $350, a direct currency conversion to the Indian market is strategically flawed. The Indian mid-market requires localized pricing architectures that undercut the Big 4 while maintaining premium boutique status.</w:t>
      </w:r>
    </w:p>
    <w:p w14:paraId="4A1BB2F5" w14:textId="77777777" w:rsidR="006A7DF3" w:rsidRPr="006A7DF3" w:rsidRDefault="006A7DF3" w:rsidP="006A7DF3">
      <w:r w:rsidRPr="006A7DF3">
        <w:t xml:space="preserve">However, the intellectual property—the CIRS rulebook and deterministic methodology—is globally scalable. Once the operational model is validated with robust case studies in the </w:t>
      </w:r>
      <w:r w:rsidRPr="006A7DF3">
        <w:lastRenderedPageBreak/>
        <w:t>Mumbai financial sector, the capability can be exported to Western financial markets as a premium offshore consulting service. This allows the business to leverage labor arbitrage on the technical execution while maintaining high-value, USD-denominated strategic pricing for the methodology.</w:t>
      </w:r>
    </w:p>
    <w:p w14:paraId="23AD47A8" w14:textId="77777777" w:rsidR="006A7DF3" w:rsidRPr="006A7DF3" w:rsidRDefault="006A7DF3" w:rsidP="006A7DF3">
      <w:pPr>
        <w:rPr>
          <w:b/>
          <w:bCs/>
        </w:rPr>
      </w:pPr>
      <w:r w:rsidRPr="006A7DF3">
        <w:rPr>
          <w:b/>
          <w:bCs/>
        </w:rPr>
        <w:t>23. Pricing Benchmarks</w:t>
      </w:r>
    </w:p>
    <w:p w14:paraId="49A2CC07" w14:textId="77777777" w:rsidR="006A7DF3" w:rsidRPr="006A7DF3" w:rsidRDefault="006A7DF3" w:rsidP="006A7DF3">
      <w:r w:rsidRPr="006A7DF3">
        <w:t>To establish a credible pricing model, the service must be benchmarked against adjacent capabilities within the Indian market.</w:t>
      </w:r>
    </w:p>
    <w:tbl>
      <w:tblPr>
        <w:tblW w:w="0" w:type="auto"/>
        <w:tblCellSpacing w:w="15" w:type="dxa"/>
        <w:tblCellMar>
          <w:left w:w="0" w:type="dxa"/>
          <w:right w:w="0" w:type="dxa"/>
        </w:tblCellMar>
        <w:tblLook w:val="04A0" w:firstRow="1" w:lastRow="0" w:firstColumn="1" w:lastColumn="0" w:noHBand="0" w:noVBand="1"/>
      </w:tblPr>
      <w:tblGrid>
        <w:gridCol w:w="2506"/>
        <w:gridCol w:w="1794"/>
        <w:gridCol w:w="2914"/>
        <w:gridCol w:w="2130"/>
      </w:tblGrid>
      <w:tr w:rsidR="006A7DF3" w:rsidRPr="006A7DF3" w14:paraId="50A1A1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9F3C6" w14:textId="77777777" w:rsidR="006A7DF3" w:rsidRPr="006A7DF3" w:rsidRDefault="006A7DF3" w:rsidP="006A7DF3">
            <w:r w:rsidRPr="006A7DF3">
              <w:rPr>
                <w:b/>
                <w:bCs/>
              </w:rPr>
              <w:t>Service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9B47E" w14:textId="77777777" w:rsidR="006A7DF3" w:rsidRPr="006A7DF3" w:rsidRDefault="006A7DF3" w:rsidP="006A7DF3">
            <w:r w:rsidRPr="006A7DF3">
              <w:rPr>
                <w:b/>
                <w:bCs/>
              </w:rPr>
              <w:t>Provider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E1D23" w14:textId="77777777" w:rsidR="006A7DF3" w:rsidRPr="006A7DF3" w:rsidRDefault="006A7DF3" w:rsidP="006A7DF3">
            <w:r w:rsidRPr="006A7DF3">
              <w:rPr>
                <w:b/>
                <w:bCs/>
              </w:rPr>
              <w:t>Typical Pricing Benchmark (India)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0BFF9" w14:textId="77777777" w:rsidR="006A7DF3" w:rsidRPr="006A7DF3" w:rsidRDefault="006A7DF3" w:rsidP="006A7DF3">
            <w:r w:rsidRPr="006A7DF3">
              <w:rPr>
                <w:b/>
                <w:bCs/>
              </w:rPr>
              <w:t>Data Source</w:t>
            </w:r>
          </w:p>
        </w:tc>
      </w:tr>
      <w:tr w:rsidR="006A7DF3" w:rsidRPr="006A7DF3" w14:paraId="3167CD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72AF9" w14:textId="77777777" w:rsidR="006A7DF3" w:rsidRPr="006A7DF3" w:rsidRDefault="006A7DF3" w:rsidP="006A7DF3">
            <w:r w:rsidRPr="006A7DF3">
              <w:rPr>
                <w:b/>
                <w:bCs/>
              </w:rPr>
              <w:t>Big 4 Management Consulting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885B2" w14:textId="77777777" w:rsidR="006A7DF3" w:rsidRPr="006A7DF3" w:rsidRDefault="006A7DF3" w:rsidP="006A7DF3">
            <w:r w:rsidRPr="006A7DF3">
              <w:t>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DE571" w14:textId="77777777" w:rsidR="006A7DF3" w:rsidRPr="006A7DF3" w:rsidRDefault="006A7DF3" w:rsidP="006A7DF3">
            <w:r w:rsidRPr="006A7DF3">
              <w:t>₹25,00,000 – ₹2,00,00,000+ per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7E98D" w14:textId="77777777" w:rsidR="006A7DF3" w:rsidRPr="006A7DF3" w:rsidRDefault="006A7DF3" w:rsidP="006A7DF3">
            <w:r w:rsidRPr="006A7DF3">
              <w:t>Published Market Estimate</w:t>
            </w:r>
          </w:p>
        </w:tc>
      </w:tr>
      <w:tr w:rsidR="006A7DF3" w:rsidRPr="006A7DF3" w14:paraId="2688E1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AE8B9" w14:textId="77777777" w:rsidR="006A7DF3" w:rsidRPr="006A7DF3" w:rsidRDefault="006A7DF3" w:rsidP="006A7DF3">
            <w:r w:rsidRPr="006A7DF3">
              <w:rPr>
                <w:b/>
                <w:bCs/>
              </w:rPr>
              <w:t>Big 4 Consultant Daily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EF0DA" w14:textId="77777777" w:rsidR="006A7DF3" w:rsidRPr="006A7DF3" w:rsidRDefault="006A7DF3" w:rsidP="006A7DF3">
            <w:r w:rsidRPr="006A7DF3">
              <w:t>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AA78C" w14:textId="77777777" w:rsidR="006A7DF3" w:rsidRPr="006A7DF3" w:rsidRDefault="006A7DF3" w:rsidP="006A7DF3">
            <w:r w:rsidRPr="006A7DF3">
              <w:t>₹1,50,000 – ₹3,00,000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A8338" w14:textId="77777777" w:rsidR="006A7DF3" w:rsidRPr="006A7DF3" w:rsidRDefault="006A7DF3" w:rsidP="006A7DF3">
            <w:r w:rsidRPr="006A7DF3">
              <w:t>Published Market Estimate</w:t>
            </w:r>
          </w:p>
        </w:tc>
      </w:tr>
      <w:tr w:rsidR="006A7DF3" w:rsidRPr="006A7DF3" w14:paraId="547A0F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685A" w14:textId="77777777" w:rsidR="006A7DF3" w:rsidRPr="006A7DF3" w:rsidRDefault="006A7DF3" w:rsidP="006A7DF3">
            <w:r w:rsidRPr="006A7DF3">
              <w:rPr>
                <w:b/>
                <w:bCs/>
              </w:rPr>
              <w:t>Custom SaaS/Web App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2B80" w14:textId="77777777" w:rsidR="006A7DF3" w:rsidRPr="006A7DF3" w:rsidRDefault="006A7DF3" w:rsidP="006A7DF3">
            <w:r w:rsidRPr="006A7DF3">
              <w:t>Mid-Tier Agency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58911" w14:textId="77777777" w:rsidR="006A7DF3" w:rsidRPr="006A7DF3" w:rsidRDefault="006A7DF3" w:rsidP="006A7DF3">
            <w:r w:rsidRPr="006A7DF3">
              <w:t>₹8,00,000 – ₹25,00,000+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83A87" w14:textId="77777777" w:rsidR="006A7DF3" w:rsidRPr="006A7DF3" w:rsidRDefault="006A7DF3" w:rsidP="006A7DF3">
            <w:r w:rsidRPr="006A7DF3">
              <w:t>Published Market Price</w:t>
            </w:r>
          </w:p>
        </w:tc>
      </w:tr>
      <w:tr w:rsidR="006A7DF3" w:rsidRPr="006A7DF3" w14:paraId="59FA61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A61F" w14:textId="77777777" w:rsidR="006A7DF3" w:rsidRPr="006A7DF3" w:rsidRDefault="006A7DF3" w:rsidP="006A7DF3">
            <w:r w:rsidRPr="006A7DF3">
              <w:rPr>
                <w:b/>
                <w:bCs/>
              </w:rPr>
              <w:t>Enterprise UI/UX Redesign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EE06E" w14:textId="77777777" w:rsidR="006A7DF3" w:rsidRPr="006A7DF3" w:rsidRDefault="006A7DF3" w:rsidP="006A7DF3">
            <w:r w:rsidRPr="006A7DF3">
              <w:t>Premium Boutique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CEC1" w14:textId="77777777" w:rsidR="006A7DF3" w:rsidRPr="006A7DF3" w:rsidRDefault="006A7DF3" w:rsidP="006A7DF3">
            <w:r w:rsidRPr="006A7DF3">
              <w:t>₹20,00,000 – ₹80,00,000+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C8015" w14:textId="77777777" w:rsidR="006A7DF3" w:rsidRPr="006A7DF3" w:rsidRDefault="006A7DF3" w:rsidP="006A7DF3">
            <w:r w:rsidRPr="006A7DF3">
              <w:t>Published Market Price</w:t>
            </w:r>
          </w:p>
        </w:tc>
      </w:tr>
      <w:tr w:rsidR="006A7DF3" w:rsidRPr="006A7DF3" w14:paraId="534149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8441F" w14:textId="77777777" w:rsidR="006A7DF3" w:rsidRPr="006A7DF3" w:rsidRDefault="006A7DF3" w:rsidP="006A7DF3">
            <w:r w:rsidRPr="006A7DF3">
              <w:rPr>
                <w:b/>
                <w:bCs/>
              </w:rPr>
              <w:t>Boutique Strategy Consulting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A5BF0" w14:textId="77777777" w:rsidR="006A7DF3" w:rsidRPr="006A7DF3" w:rsidRDefault="006A7DF3" w:rsidP="006A7DF3">
            <w:r w:rsidRPr="006A7DF3">
              <w:t>Mid-Tier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5D7A2" w14:textId="77777777" w:rsidR="006A7DF3" w:rsidRPr="006A7DF3" w:rsidRDefault="006A7DF3" w:rsidP="006A7DF3">
            <w:r w:rsidRPr="006A7DF3">
              <w:t>₹5,00,000 – ₹15,00,000 per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E4CB2" w14:textId="77777777" w:rsidR="006A7DF3" w:rsidRPr="006A7DF3" w:rsidRDefault="006A7DF3" w:rsidP="006A7DF3">
            <w:r w:rsidRPr="006A7DF3">
              <w:t>Analyst Inference</w:t>
            </w:r>
          </w:p>
        </w:tc>
      </w:tr>
    </w:tbl>
    <w:p w14:paraId="0AB1FD08" w14:textId="77777777" w:rsidR="006A7DF3" w:rsidRPr="006A7DF3" w:rsidRDefault="006A7DF3" w:rsidP="006A7DF3">
      <w:r w:rsidRPr="006A7DF3">
        <w:rPr>
          <w:i/>
          <w:iCs/>
        </w:rPr>
        <w:t>Analysis:</w:t>
      </w:r>
      <w:r w:rsidRPr="006A7DF3">
        <w:t xml:space="preserve"> A specialized, organization-wide CIRF engagement fits comfortably within the ₹5 Lakh to ₹15 Lakh band, positioning it as a premium boutique capability that massively undercuts Big 4 bloat while providing highly specialized operational value.</w:t>
      </w:r>
    </w:p>
    <w:p w14:paraId="6944CC15" w14:textId="77777777" w:rsidR="006A7DF3" w:rsidRPr="006A7DF3" w:rsidRDefault="006A7DF3" w:rsidP="006A7DF3">
      <w:pPr>
        <w:rPr>
          <w:b/>
          <w:bCs/>
        </w:rPr>
      </w:pPr>
      <w:r w:rsidRPr="006A7DF3">
        <w:rPr>
          <w:b/>
          <w:bCs/>
        </w:rPr>
        <w:t>24. Pricing Model</w:t>
      </w:r>
    </w:p>
    <w:p w14:paraId="0F5639F8" w14:textId="77777777" w:rsidR="006A7DF3" w:rsidRPr="006A7DF3" w:rsidRDefault="006A7DF3" w:rsidP="006A7DF3">
      <w:r w:rsidRPr="006A7DF3">
        <w:t xml:space="preserve">Pricing must be executed exclusively through </w:t>
      </w:r>
      <w:r w:rsidRPr="006A7DF3">
        <w:rPr>
          <w:b/>
          <w:bCs/>
        </w:rPr>
        <w:t>Value-Based Fixed Project Fees</w:t>
      </w:r>
      <w:r w:rsidRPr="006A7DF3">
        <w:t xml:space="preserve">. Hourly billing is fatal to this business model; it commoditizes the proprietary intellectual property and reduces the engagement to a clerical formatting task in the eyes of procurement. Pricing must be </w:t>
      </w:r>
      <w:r w:rsidRPr="006A7DF3">
        <w:lastRenderedPageBreak/>
        <w:t>anchored aggressively against the client's operational losses—such as the financial cost of a delayed loan origination or a missed regulatory penalty.</w:t>
      </w:r>
    </w:p>
    <w:p w14:paraId="79FA87A0" w14:textId="77777777" w:rsidR="006A7DF3" w:rsidRPr="006A7DF3" w:rsidRDefault="006A7DF3" w:rsidP="006A7DF3">
      <w:pPr>
        <w:numPr>
          <w:ilvl w:val="0"/>
          <w:numId w:val="24"/>
        </w:numPr>
      </w:pPr>
      <w:r w:rsidRPr="006A7DF3">
        <w:rPr>
          <w:b/>
          <w:bCs/>
        </w:rPr>
        <w:t>Level 1 (Document-Level):</w:t>
      </w:r>
      <w:r w:rsidRPr="006A7DF3">
        <w:t xml:space="preserve"> Priced as a fixed project fee per document archetype, scaled by structural complexity and data density.</w:t>
      </w:r>
    </w:p>
    <w:p w14:paraId="1B320F98" w14:textId="77777777" w:rsidR="006A7DF3" w:rsidRPr="006A7DF3" w:rsidRDefault="006A7DF3" w:rsidP="006A7DF3">
      <w:pPr>
        <w:numPr>
          <w:ilvl w:val="0"/>
          <w:numId w:val="24"/>
        </w:numPr>
      </w:pPr>
      <w:r w:rsidRPr="006A7DF3">
        <w:rPr>
          <w:b/>
          <w:bCs/>
        </w:rPr>
        <w:t>Level 2 (Organizational):</w:t>
      </w:r>
      <w:r w:rsidRPr="006A7DF3">
        <w:t xml:space="preserve"> Priced using a hybrid model: A flat diagnostic assessment fee, a fixed implementation fee for the semantic rulebook, and an annual licensing fee for the ongoing use of the deterministic software engine.</w:t>
      </w:r>
    </w:p>
    <w:p w14:paraId="6A8D0778" w14:textId="77777777" w:rsidR="006A7DF3" w:rsidRPr="006A7DF3" w:rsidRDefault="006A7DF3" w:rsidP="006A7DF3">
      <w:pPr>
        <w:rPr>
          <w:b/>
          <w:bCs/>
        </w:rPr>
      </w:pPr>
      <w:r w:rsidRPr="006A7DF3">
        <w:rPr>
          <w:b/>
          <w:bCs/>
        </w:rPr>
        <w:t>25. Level 1 Document Engineering Pricing</w:t>
      </w:r>
    </w:p>
    <w:p w14:paraId="3F646AD9" w14:textId="77777777" w:rsidR="006A7DF3" w:rsidRPr="006A7DF3" w:rsidRDefault="006A7DF3" w:rsidP="006A7DF3">
      <w:r w:rsidRPr="006A7DF3">
        <w:t>For a standalone Document Engineering engagement—where the objective is to redesign a specific professional document class without initiating a full organizational system overhaul:</w:t>
      </w:r>
    </w:p>
    <w:p w14:paraId="0A63E206" w14:textId="77777777" w:rsidR="006A7DF3" w:rsidRPr="006A7DF3" w:rsidRDefault="006A7DF3" w:rsidP="006A7DF3">
      <w:pPr>
        <w:numPr>
          <w:ilvl w:val="0"/>
          <w:numId w:val="25"/>
        </w:numPr>
      </w:pPr>
      <w:r w:rsidRPr="006A7DF3">
        <w:rPr>
          <w:b/>
          <w:bCs/>
        </w:rPr>
        <w:t>The Diagnostic Pilot:</w:t>
      </w:r>
      <w:r w:rsidRPr="006A7DF3">
        <w:t xml:space="preserve"> ₹1,50,000 – ₹2,50,000. This provides a bounded, low-risk proof of concept on non-confidential or redacted data.</w:t>
      </w:r>
    </w:p>
    <w:p w14:paraId="34E2B5D4" w14:textId="77777777" w:rsidR="006A7DF3" w:rsidRPr="006A7DF3" w:rsidRDefault="006A7DF3" w:rsidP="006A7DF3">
      <w:pPr>
        <w:numPr>
          <w:ilvl w:val="0"/>
          <w:numId w:val="25"/>
        </w:numPr>
      </w:pPr>
      <w:r w:rsidRPr="006A7DF3">
        <w:rPr>
          <w:b/>
          <w:bCs/>
        </w:rPr>
        <w:t>Full Document Class Engineering:</w:t>
      </w:r>
      <w:r w:rsidRPr="006A7DF3">
        <w:t xml:space="preserve"> ₹3,00,000 – ₹5,00,000 per document archetype.</w:t>
      </w:r>
    </w:p>
    <w:p w14:paraId="786661F3" w14:textId="77777777" w:rsidR="006A7DF3" w:rsidRPr="006A7DF3" w:rsidRDefault="006A7DF3" w:rsidP="006A7DF3">
      <w:pPr>
        <w:numPr>
          <w:ilvl w:val="0"/>
          <w:numId w:val="25"/>
        </w:numPr>
      </w:pPr>
      <w:r w:rsidRPr="006A7DF3">
        <w:rPr>
          <w:i/>
          <w:iCs/>
        </w:rPr>
        <w:t>Billing Structure:</w:t>
      </w:r>
      <w:r w:rsidRPr="006A7DF3">
        <w:t xml:space="preserve"> 50% upfront upon signing the Statement of Work (SOW), 50% upon final delivery of the engineered document templates.</w:t>
      </w:r>
    </w:p>
    <w:p w14:paraId="0AC8A29D" w14:textId="77777777" w:rsidR="006A7DF3" w:rsidRPr="006A7DF3" w:rsidRDefault="006A7DF3" w:rsidP="006A7DF3">
      <w:pPr>
        <w:rPr>
          <w:b/>
          <w:bCs/>
        </w:rPr>
      </w:pPr>
      <w:r w:rsidRPr="006A7DF3">
        <w:rPr>
          <w:b/>
          <w:bCs/>
        </w:rPr>
        <w:t>26. Level 2 Organizational Engineering Pricing</w:t>
      </w:r>
    </w:p>
    <w:p w14:paraId="4E1313E9" w14:textId="77777777" w:rsidR="006A7DF3" w:rsidRPr="006A7DF3" w:rsidRDefault="006A7DF3" w:rsidP="006A7DF3">
      <w:r w:rsidRPr="006A7DF3">
        <w:t>For a full CIRF deployment across an entire business unit, establishing a localized information language and automated generation capabilities:</w:t>
      </w:r>
    </w:p>
    <w:p w14:paraId="4CEFB84C" w14:textId="77777777" w:rsidR="006A7DF3" w:rsidRPr="006A7DF3" w:rsidRDefault="006A7DF3" w:rsidP="006A7DF3">
      <w:pPr>
        <w:numPr>
          <w:ilvl w:val="0"/>
          <w:numId w:val="26"/>
        </w:numPr>
      </w:pPr>
      <w:r w:rsidRPr="006A7DF3">
        <w:rPr>
          <w:b/>
          <w:bCs/>
        </w:rPr>
        <w:t>Phase 1: Discovery &amp; Architecture Assessment:</w:t>
      </w:r>
      <w:r w:rsidRPr="006A7DF3">
        <w:t xml:space="preserve"> ₹1,50,000 – ₹3,00,000 flat fee.</w:t>
      </w:r>
    </w:p>
    <w:p w14:paraId="237E0F9B" w14:textId="77777777" w:rsidR="006A7DF3" w:rsidRPr="006A7DF3" w:rsidRDefault="006A7DF3" w:rsidP="006A7DF3">
      <w:pPr>
        <w:numPr>
          <w:ilvl w:val="0"/>
          <w:numId w:val="26"/>
        </w:numPr>
      </w:pPr>
      <w:r w:rsidRPr="006A7DF3">
        <w:rPr>
          <w:b/>
          <w:bCs/>
        </w:rPr>
        <w:t>Phase 2: Semantic Rulebook (CIRS) Development:</w:t>
      </w:r>
      <w:r w:rsidRPr="006A7DF3">
        <w:t xml:space="preserve"> ₹5,00,000 – ₹10,00,000 per business unit, depending on taxonomy complexity.</w:t>
      </w:r>
    </w:p>
    <w:p w14:paraId="3629788A" w14:textId="77777777" w:rsidR="006A7DF3" w:rsidRPr="006A7DF3" w:rsidRDefault="006A7DF3" w:rsidP="006A7DF3">
      <w:pPr>
        <w:numPr>
          <w:ilvl w:val="0"/>
          <w:numId w:val="26"/>
        </w:numPr>
      </w:pPr>
      <w:r w:rsidRPr="006A7DF3">
        <w:rPr>
          <w:b/>
          <w:bCs/>
        </w:rPr>
        <w:t>Phase 3: Python Engine Integration &amp; Annual Licensing:</w:t>
      </w:r>
      <w:r w:rsidRPr="006A7DF3">
        <w:t xml:space="preserve"> ₹8,00,000 – ₹15,00,000 annually, permitting the client to utilize the deterministic transformation engine on their own local servers.</w:t>
      </w:r>
    </w:p>
    <w:p w14:paraId="700207B1" w14:textId="77777777" w:rsidR="006A7DF3" w:rsidRPr="006A7DF3" w:rsidRDefault="006A7DF3" w:rsidP="006A7DF3">
      <w:pPr>
        <w:rPr>
          <w:b/>
          <w:bCs/>
        </w:rPr>
      </w:pPr>
      <w:r w:rsidRPr="006A7DF3">
        <w:rPr>
          <w:b/>
          <w:bCs/>
        </w:rPr>
        <w:t>27. Service Packaging</w:t>
      </w:r>
    </w:p>
    <w:p w14:paraId="18EE0F08" w14:textId="77777777" w:rsidR="006A7DF3" w:rsidRPr="006A7DF3" w:rsidRDefault="006A7DF3" w:rsidP="006A7DF3">
      <w:r w:rsidRPr="006A7DF3">
        <w:t>The service architecture must be packaged to guide the customer safely from initial curiosity to full enterprise adoption, minimizing procurement friction at each gate.</w:t>
      </w:r>
    </w:p>
    <w:p w14:paraId="7FC377F3" w14:textId="77777777" w:rsidR="006A7DF3" w:rsidRPr="006A7DF3" w:rsidRDefault="006A7DF3" w:rsidP="006A7DF3">
      <w:r w:rsidRPr="006A7DF3">
        <w:rPr>
          <w:b/>
          <w:bCs/>
        </w:rPr>
        <w:t>Service 1: The Document Latency Audit (Lead Generation)</w:t>
      </w:r>
      <w:r w:rsidRPr="006A7DF3">
        <w:t xml:space="preserve"> A zero-cost, hyper-targeted spear-phishing tool. The provider offers to transform 3 pages of a prospect's redacted legacy report to visually demonstrate the immediate reduction in visual search time.</w:t>
      </w:r>
    </w:p>
    <w:p w14:paraId="08DDA183" w14:textId="77777777" w:rsidR="006A7DF3" w:rsidRPr="006A7DF3" w:rsidRDefault="006A7DF3" w:rsidP="006A7DF3">
      <w:r w:rsidRPr="006A7DF3">
        <w:rPr>
          <w:b/>
          <w:bCs/>
        </w:rPr>
        <w:lastRenderedPageBreak/>
        <w:t>Service 2: Level 1 Document Engineering Pilot (Paid Entry)</w:t>
      </w:r>
      <w:r w:rsidRPr="006A7DF3">
        <w:t xml:space="preserve"> A strict 30-day bounded proof of concept. The provider engineers a batch of 50 specific, redacted documents using offline scripts to empirically prove operational value to the underwriting team before requesting enterprise budget.</w:t>
      </w:r>
    </w:p>
    <w:p w14:paraId="3989D85C" w14:textId="77777777" w:rsidR="006A7DF3" w:rsidRPr="006A7DF3" w:rsidRDefault="006A7DF3" w:rsidP="006A7DF3">
      <w:r w:rsidRPr="006A7DF3">
        <w:rPr>
          <w:b/>
          <w:bCs/>
        </w:rPr>
        <w:t>Service 3: CIRF Enterprise Engagement (Core Commercial)</w:t>
      </w:r>
      <w:r w:rsidRPr="006A7DF3">
        <w:t xml:space="preserve"> The flagship offering. The development of an organization-specific semantic rulebook, localized document generation standards, and the deployment of the on-premises transformation engine.</w:t>
      </w:r>
    </w:p>
    <w:p w14:paraId="783E1CFB" w14:textId="77777777" w:rsidR="006A7DF3" w:rsidRPr="006A7DF3" w:rsidRDefault="006A7DF3" w:rsidP="006A7DF3">
      <w:pPr>
        <w:rPr>
          <w:b/>
          <w:bCs/>
        </w:rPr>
      </w:pPr>
      <w:r w:rsidRPr="006A7DF3">
        <w:rPr>
          <w:b/>
          <w:bCs/>
        </w:rPr>
        <w:t>28. Scope and Deliverables</w:t>
      </w:r>
    </w:p>
    <w:p w14:paraId="01EAC80B" w14:textId="77777777" w:rsidR="006A7DF3" w:rsidRPr="006A7DF3" w:rsidRDefault="006A7DF3" w:rsidP="006A7DF3">
      <w:r w:rsidRPr="006A7DF3">
        <w:t>Clear deliverables prevent scope creep and secure payment milestones.</w:t>
      </w:r>
    </w:p>
    <w:p w14:paraId="2708EF0B" w14:textId="77777777" w:rsidR="006A7DF3" w:rsidRPr="006A7DF3" w:rsidRDefault="006A7DF3" w:rsidP="006A7DF3">
      <w:pPr>
        <w:numPr>
          <w:ilvl w:val="0"/>
          <w:numId w:val="27"/>
        </w:numPr>
      </w:pPr>
      <w:r w:rsidRPr="006A7DF3">
        <w:rPr>
          <w:b/>
          <w:bCs/>
        </w:rPr>
        <w:t>Level 1 Deliverables:</w:t>
      </w:r>
      <w:r w:rsidRPr="006A7DF3">
        <w:t xml:space="preserve"> The final engineered PDF/Word outputs, a before/after contrast case study, and structural documentation explaining the representation choices.</w:t>
      </w:r>
    </w:p>
    <w:p w14:paraId="1CC73073" w14:textId="77777777" w:rsidR="006A7DF3" w:rsidRPr="006A7DF3" w:rsidRDefault="006A7DF3" w:rsidP="006A7DF3">
      <w:pPr>
        <w:numPr>
          <w:ilvl w:val="0"/>
          <w:numId w:val="27"/>
        </w:numPr>
      </w:pPr>
      <w:r w:rsidRPr="006A7DF3">
        <w:rPr>
          <w:b/>
          <w:bCs/>
        </w:rPr>
        <w:t>Level 2 Deliverables:</w:t>
      </w:r>
      <w:r w:rsidRPr="006A7DF3">
        <w:t xml:space="preserve"> The comprehensive Contextual Information Representation Rulebook, a PDRF training seminar for internal staff, the deterministic Python script customized for their taxonomy (deployed on-premise), and a DPDP-compliant Data Processing Agreement (DPA).</w:t>
      </w:r>
    </w:p>
    <w:p w14:paraId="209A5FC8" w14:textId="77777777" w:rsidR="006A7DF3" w:rsidRPr="006A7DF3" w:rsidRDefault="006A7DF3" w:rsidP="006A7DF3">
      <w:pPr>
        <w:rPr>
          <w:b/>
          <w:bCs/>
        </w:rPr>
      </w:pPr>
      <w:r w:rsidRPr="006A7DF3">
        <w:rPr>
          <w:b/>
          <w:bCs/>
        </w:rPr>
        <w:t>29. Scope Exclusions</w:t>
      </w:r>
    </w:p>
    <w:p w14:paraId="5D593161" w14:textId="77777777" w:rsidR="006A7DF3" w:rsidRPr="006A7DF3" w:rsidRDefault="006A7DF3" w:rsidP="006A7DF3">
      <w:r w:rsidRPr="006A7DF3">
        <w:t>To protect margins and legal liability, every contract must explicitly exclude:</w:t>
      </w:r>
    </w:p>
    <w:p w14:paraId="41C83925" w14:textId="77777777" w:rsidR="006A7DF3" w:rsidRPr="006A7DF3" w:rsidRDefault="006A7DF3" w:rsidP="006A7DF3">
      <w:pPr>
        <w:numPr>
          <w:ilvl w:val="0"/>
          <w:numId w:val="28"/>
        </w:numPr>
      </w:pPr>
      <w:r w:rsidRPr="006A7DF3">
        <w:t>Auditing, verifying, or guaranteeing the accuracy of the underlying financial, technical, or legal data provided by the client.</w:t>
      </w:r>
    </w:p>
    <w:p w14:paraId="3945114A" w14:textId="77777777" w:rsidR="006A7DF3" w:rsidRPr="006A7DF3" w:rsidRDefault="006A7DF3" w:rsidP="006A7DF3">
      <w:pPr>
        <w:numPr>
          <w:ilvl w:val="0"/>
          <w:numId w:val="28"/>
        </w:numPr>
      </w:pPr>
      <w:r w:rsidRPr="006A7DF3">
        <w:t>Copywriting, proofreading, or authoring new substantive content.</w:t>
      </w:r>
    </w:p>
    <w:p w14:paraId="29B51D59" w14:textId="77777777" w:rsidR="006A7DF3" w:rsidRPr="006A7DF3" w:rsidRDefault="006A7DF3" w:rsidP="006A7DF3">
      <w:pPr>
        <w:numPr>
          <w:ilvl w:val="0"/>
          <w:numId w:val="28"/>
        </w:numPr>
      </w:pPr>
      <w:r w:rsidRPr="006A7DF3">
        <w:t>Graphic design for marketing, branding, or public relations purposes outside the strict purview of cognitive representation.</w:t>
      </w:r>
    </w:p>
    <w:p w14:paraId="2433B487" w14:textId="77777777" w:rsidR="006A7DF3" w:rsidRPr="006A7DF3" w:rsidRDefault="006A7DF3" w:rsidP="006A7DF3">
      <w:pPr>
        <w:numPr>
          <w:ilvl w:val="0"/>
          <w:numId w:val="28"/>
        </w:numPr>
      </w:pPr>
      <w:r w:rsidRPr="006A7DF3">
        <w:t>Legal, regulatory, or financial compliance consulting.</w:t>
      </w:r>
    </w:p>
    <w:p w14:paraId="6EA166AC" w14:textId="77777777" w:rsidR="006A7DF3" w:rsidRPr="006A7DF3" w:rsidRDefault="006A7DF3" w:rsidP="006A7DF3">
      <w:pPr>
        <w:rPr>
          <w:b/>
          <w:bCs/>
        </w:rPr>
      </w:pPr>
      <w:r w:rsidRPr="006A7DF3">
        <w:rPr>
          <w:b/>
          <w:bCs/>
        </w:rPr>
        <w:t>30. Intellectual Property Considerations</w:t>
      </w:r>
    </w:p>
    <w:p w14:paraId="40ECC733" w14:textId="77777777" w:rsidR="006A7DF3" w:rsidRPr="006A7DF3" w:rsidRDefault="006A7DF3" w:rsidP="006A7DF3">
      <w:r w:rsidRPr="006A7DF3">
        <w:t>The intellectual property boundaries must be rigidly defined in the Master Services Agreement (MSA).</w:t>
      </w:r>
    </w:p>
    <w:p w14:paraId="56A2CCF6" w14:textId="77777777" w:rsidR="006A7DF3" w:rsidRPr="006A7DF3" w:rsidRDefault="006A7DF3" w:rsidP="006A7DF3">
      <w:pPr>
        <w:numPr>
          <w:ilvl w:val="0"/>
          <w:numId w:val="29"/>
        </w:numPr>
      </w:pPr>
      <w:r w:rsidRPr="006A7DF3">
        <w:rPr>
          <w:b/>
          <w:bCs/>
        </w:rPr>
        <w:t>Client Ownership:</w:t>
      </w:r>
      <w:r w:rsidRPr="006A7DF3">
        <w:t xml:space="preserve"> The client retains absolute ownership over their underlying data, their raw text, and the final engineered output documents generated during the engagement.</w:t>
      </w:r>
    </w:p>
    <w:p w14:paraId="3E9DE69D" w14:textId="77777777" w:rsidR="006A7DF3" w:rsidRPr="006A7DF3" w:rsidRDefault="006A7DF3" w:rsidP="006A7DF3">
      <w:pPr>
        <w:numPr>
          <w:ilvl w:val="0"/>
          <w:numId w:val="29"/>
        </w:numPr>
      </w:pPr>
      <w:r w:rsidRPr="006A7DF3">
        <w:rPr>
          <w:b/>
          <w:bCs/>
        </w:rPr>
        <w:t>Provider Ownership:</w:t>
      </w:r>
      <w:r w:rsidRPr="006A7DF3">
        <w:t xml:space="preserve"> The provider retains absolute ownership of the CIRS methodology, the semantic rulebook architecture, and the deterministic Python codebase. The client </w:t>
      </w:r>
      <w:r w:rsidRPr="006A7DF3">
        <w:lastRenderedPageBreak/>
        <w:t>receives a revokable license to utilize the rules and software within their specific business unit, preventing them from reverse-engineering the methodology or transferring the engine to competitors.</w:t>
      </w:r>
    </w:p>
    <w:p w14:paraId="4AA4E86E" w14:textId="77777777" w:rsidR="006A7DF3" w:rsidRPr="006A7DF3" w:rsidRDefault="006A7DF3" w:rsidP="006A7DF3">
      <w:pPr>
        <w:rPr>
          <w:b/>
          <w:bCs/>
        </w:rPr>
      </w:pPr>
      <w:r w:rsidRPr="006A7DF3">
        <w:rPr>
          <w:b/>
          <w:bCs/>
        </w:rPr>
        <w:t>31. Commercial Risks</w:t>
      </w:r>
    </w:p>
    <w:p w14:paraId="3375A42C" w14:textId="77777777" w:rsidR="006A7DF3" w:rsidRPr="006A7DF3" w:rsidRDefault="006A7DF3" w:rsidP="006A7DF3">
      <w:r w:rsidRPr="006A7DF3">
        <w:t>The execution of this commercial strategy carries distinct risks that require proactive mitigation.</w:t>
      </w:r>
    </w:p>
    <w:p w14:paraId="4327E827" w14:textId="77777777" w:rsidR="006A7DF3" w:rsidRPr="006A7DF3" w:rsidRDefault="006A7DF3" w:rsidP="006A7DF3">
      <w:pPr>
        <w:numPr>
          <w:ilvl w:val="0"/>
          <w:numId w:val="30"/>
        </w:numPr>
      </w:pPr>
      <w:r w:rsidRPr="006A7DF3">
        <w:rPr>
          <w:b/>
          <w:bCs/>
        </w:rPr>
        <w:t>Regulatory Veto:</w:t>
      </w:r>
      <w:r w:rsidRPr="006A7DF3">
        <w:t xml:space="preserve"> Processing financial data in a cloud environment violates RBI IT guidelines and DPDP privacy laws, resulting in immediate CISO rejection. </w:t>
      </w:r>
      <w:r w:rsidRPr="006A7DF3">
        <w:rPr>
          <w:i/>
          <w:iCs/>
        </w:rPr>
        <w:t>Mitigation:</w:t>
      </w:r>
      <w:r w:rsidRPr="006A7DF3">
        <w:t xml:space="preserve"> Guarantee 100% on-premises deployment behind the client firewall. The provider's engine operates locally; the provider never stores or transmits client data.</w:t>
      </w:r>
    </w:p>
    <w:p w14:paraId="6D01F489" w14:textId="77777777" w:rsidR="006A7DF3" w:rsidRPr="006A7DF3" w:rsidRDefault="006A7DF3" w:rsidP="006A7DF3">
      <w:pPr>
        <w:numPr>
          <w:ilvl w:val="0"/>
          <w:numId w:val="30"/>
        </w:numPr>
      </w:pPr>
      <w:r w:rsidRPr="006A7DF3">
        <w:rPr>
          <w:b/>
          <w:bCs/>
        </w:rPr>
        <w:t>Status Quo Bias:</w:t>
      </w:r>
      <w:r w:rsidRPr="006A7DF3">
        <w:t xml:space="preserve"> Clients failing to recognize the value of representation engineering, dismissing it as "just formatting." </w:t>
      </w:r>
      <w:r w:rsidRPr="006A7DF3">
        <w:rPr>
          <w:i/>
          <w:iCs/>
        </w:rPr>
        <w:t>Mitigation:</w:t>
      </w:r>
      <w:r w:rsidRPr="006A7DF3">
        <w:t xml:space="preserve"> Focus discovery calls entirely on P&amp;L impact, operational bottlenecks, and error reduction, utilizing the Lexicon Guide to speak the language of enterprise consulting.</w:t>
      </w:r>
    </w:p>
    <w:p w14:paraId="7F0F19D6" w14:textId="77777777" w:rsidR="006A7DF3" w:rsidRPr="006A7DF3" w:rsidRDefault="006A7DF3" w:rsidP="006A7DF3">
      <w:pPr>
        <w:numPr>
          <w:ilvl w:val="0"/>
          <w:numId w:val="30"/>
        </w:numPr>
      </w:pPr>
      <w:r w:rsidRPr="006A7DF3">
        <w:rPr>
          <w:b/>
          <w:bCs/>
        </w:rPr>
        <w:t>Catastrophic Liability:</w:t>
      </w:r>
      <w:r w:rsidRPr="006A7DF3">
        <w:t xml:space="preserve"> Being sued if a client analyst misreads an engineered document and executes a disastrous financial trade. </w:t>
      </w:r>
      <w:r w:rsidRPr="006A7DF3">
        <w:rPr>
          <w:i/>
          <w:iCs/>
        </w:rPr>
        <w:t>Mitigation:</w:t>
      </w:r>
      <w:r w:rsidRPr="006A7DF3">
        <w:t xml:space="preserve"> Enforce a strict Limitation of Liability clause (capped at 1x or 2x the contract value) and explicitly exclude liability for indirect, consequential, or market losses.</w:t>
      </w:r>
    </w:p>
    <w:p w14:paraId="015F2081" w14:textId="77777777" w:rsidR="006A7DF3" w:rsidRPr="006A7DF3" w:rsidRDefault="006A7DF3" w:rsidP="006A7DF3">
      <w:pPr>
        <w:rPr>
          <w:b/>
          <w:bCs/>
        </w:rPr>
      </w:pPr>
      <w:r w:rsidRPr="006A7DF3">
        <w:rPr>
          <w:b/>
          <w:bCs/>
        </w:rPr>
        <w:t>32. Scientific / Claim Boundaries</w:t>
      </w:r>
    </w:p>
    <w:p w14:paraId="396EAEC9" w14:textId="77777777" w:rsidR="006A7DF3" w:rsidRPr="006A7DF3" w:rsidRDefault="006A7DF3" w:rsidP="006A7DF3">
      <w:r w:rsidRPr="006A7DF3">
        <w:t>Strict adherence to scientific reality is not merely an academic concern; it is a legal requirement to prevent "deficiency in service" liabilities under the Consumer Protection Act. The commercial positioning must accurately claim the reduction of extraneous cognitive load, the enforcement of structural standardization, and the alignment of document presentation with established human visual processing limits. The commercial positioning must NEVER claim to cure individual cognitive deficits, guarantee absolute reading comprehension, increase absolute human intelligence, eliminate all human error, or guarantee specific financial or trading outcomes. "Cognitive friction" must be explicitly defined in proposals as an operational heuristic representing extraneous load, not as a diagnostic medical metric.</w:t>
      </w:r>
    </w:p>
    <w:p w14:paraId="66341828" w14:textId="77777777" w:rsidR="006A7DF3" w:rsidRPr="006A7DF3" w:rsidRDefault="006A7DF3" w:rsidP="006A7DF3">
      <w:pPr>
        <w:rPr>
          <w:b/>
          <w:bCs/>
        </w:rPr>
      </w:pPr>
      <w:r w:rsidRPr="006A7DF3">
        <w:rPr>
          <w:b/>
          <w:bCs/>
        </w:rPr>
        <w:t>33. Assessment of Previous Gemini Research</w:t>
      </w:r>
    </w:p>
    <w:p w14:paraId="778F923E" w14:textId="77777777" w:rsidR="006A7DF3" w:rsidRPr="006A7DF3" w:rsidRDefault="006A7DF3" w:rsidP="006A7DF3">
      <w:r w:rsidRPr="006A7DF3">
        <w:t xml:space="preserve">The previous commercial research report categorized the capability as </w:t>
      </w:r>
      <w:r w:rsidRPr="006A7DF3">
        <w:rPr>
          <w:b/>
          <w:bCs/>
        </w:rPr>
        <w:t>"Decision-Support Information Architecture Consulting."</w:t>
      </w:r>
      <w:r w:rsidRPr="006A7DF3">
        <w:t xml:space="preserve"> An exhaustive assessment of this conclusion reveals:</w:t>
      </w:r>
    </w:p>
    <w:p w14:paraId="59EA3AF3" w14:textId="77777777" w:rsidR="006A7DF3" w:rsidRPr="006A7DF3" w:rsidRDefault="006A7DF3" w:rsidP="006A7DF3">
      <w:pPr>
        <w:numPr>
          <w:ilvl w:val="0"/>
          <w:numId w:val="31"/>
        </w:numPr>
      </w:pPr>
      <w:r w:rsidRPr="006A7DF3">
        <w:rPr>
          <w:b/>
          <w:bCs/>
        </w:rPr>
        <w:t>Validity:</w:t>
      </w:r>
      <w:r w:rsidRPr="006A7DF3">
        <w:t xml:space="preserve"> The classification remains highly valid and strategically brilliant as the </w:t>
      </w:r>
      <w:r w:rsidRPr="006A7DF3">
        <w:rPr>
          <w:i/>
          <w:iCs/>
        </w:rPr>
        <w:t>procurement category</w:t>
      </w:r>
      <w:r w:rsidRPr="006A7DF3">
        <w:t xml:space="preserve"> for Level 2 (CIRF) enterprise engagements. It perfectly translates the value of the service into language an Economic Buyer understands.</w:t>
      </w:r>
    </w:p>
    <w:p w14:paraId="09E461CF" w14:textId="77777777" w:rsidR="006A7DF3" w:rsidRPr="006A7DF3" w:rsidRDefault="006A7DF3" w:rsidP="006A7DF3">
      <w:pPr>
        <w:numPr>
          <w:ilvl w:val="0"/>
          <w:numId w:val="31"/>
        </w:numPr>
      </w:pPr>
      <w:r w:rsidRPr="006A7DF3">
        <w:rPr>
          <w:b/>
          <w:bCs/>
        </w:rPr>
        <w:lastRenderedPageBreak/>
        <w:t>Required Reframing:</w:t>
      </w:r>
      <w:r w:rsidRPr="006A7DF3">
        <w:t xml:space="preserve"> The classification is far too heavy and bureaucratic for a Level 1 Document Engineering engagement, which operates closer to specialized, high-end Information Design.</w:t>
      </w:r>
    </w:p>
    <w:p w14:paraId="1988FA66" w14:textId="77777777" w:rsidR="006A7DF3" w:rsidRPr="006A7DF3" w:rsidRDefault="006A7DF3" w:rsidP="006A7DF3">
      <w:pPr>
        <w:numPr>
          <w:ilvl w:val="0"/>
          <w:numId w:val="31"/>
        </w:numPr>
      </w:pPr>
      <w:r w:rsidRPr="006A7DF3">
        <w:rPr>
          <w:b/>
          <w:bCs/>
        </w:rPr>
        <w:t>Unsupported/Missing Nuance:</w:t>
      </w:r>
      <w:r w:rsidRPr="006A7DF3">
        <w:t xml:space="preserve"> The previous research entirely failed to identify that the exact phrase "Document Engineering" already exists in the commercial market as a term for LLM-driven SaaS data extraction and XML processing. Consequently, using "Document Engineering" as the primary outbound sales category will result in massive misaligned expectations with IT procurement departments.</w:t>
      </w:r>
    </w:p>
    <w:p w14:paraId="36FAD75F" w14:textId="77777777" w:rsidR="006A7DF3" w:rsidRPr="006A7DF3" w:rsidRDefault="006A7DF3" w:rsidP="006A7DF3">
      <w:pPr>
        <w:rPr>
          <w:b/>
          <w:bCs/>
        </w:rPr>
      </w:pPr>
      <w:r w:rsidRPr="006A7DF3">
        <w:rPr>
          <w:b/>
          <w:bCs/>
        </w:rPr>
        <w:t>34. Recommended Commercial Positioning</w:t>
      </w:r>
    </w:p>
    <w:p w14:paraId="502539D1" w14:textId="77777777" w:rsidR="006A7DF3" w:rsidRPr="006A7DF3" w:rsidRDefault="006A7DF3" w:rsidP="006A7DF3">
      <w:r w:rsidRPr="006A7DF3">
        <w:t xml:space="preserve">The strongest, most defensible commercial posture is an Option B/D hybrid. Document Engineering is the actual </w:t>
      </w:r>
      <w:r w:rsidRPr="006A7DF3">
        <w:rPr>
          <w:i/>
          <w:iCs/>
        </w:rPr>
        <w:t>capability</w:t>
      </w:r>
      <w:r w:rsidRPr="006A7DF3">
        <w:t xml:space="preserve"> performed, but it must be sold as a specialized management consulting capability housed within the broader category of </w:t>
      </w:r>
      <w:r w:rsidRPr="006A7DF3">
        <w:rPr>
          <w:b/>
          <w:bCs/>
        </w:rPr>
        <w:t>Cognitive Information Architecture</w:t>
      </w:r>
      <w:r w:rsidRPr="006A7DF3">
        <w:t>. To the market, the provider is an Information Architecture Consultant specializing in cognitive and semantic document structuring to reduce operational risk. To the internal practitioner, the daily work performed is Document Engineering.</w:t>
      </w:r>
    </w:p>
    <w:p w14:paraId="3F27ECC1" w14:textId="77777777" w:rsidR="006A7DF3" w:rsidRPr="006A7DF3" w:rsidRDefault="006A7DF3" w:rsidP="006A7DF3">
      <w:pPr>
        <w:rPr>
          <w:b/>
          <w:bCs/>
        </w:rPr>
      </w:pPr>
      <w:r w:rsidRPr="006A7DF3">
        <w:rPr>
          <w:b/>
          <w:bCs/>
        </w:rPr>
        <w:t>35. Recommended Go-To-Market Strategy</w:t>
      </w:r>
    </w:p>
    <w:p w14:paraId="79B27C2E" w14:textId="77777777" w:rsidR="006A7DF3" w:rsidRPr="006A7DF3" w:rsidRDefault="006A7DF3" w:rsidP="006A7DF3">
      <w:r w:rsidRPr="006A7DF3">
        <w:t>The go-to-market strategy abandons broad marketing in favor of highly targeted execution.</w:t>
      </w:r>
    </w:p>
    <w:p w14:paraId="4F52E945" w14:textId="77777777" w:rsidR="006A7DF3" w:rsidRPr="006A7DF3" w:rsidRDefault="006A7DF3" w:rsidP="006A7DF3">
      <w:pPr>
        <w:numPr>
          <w:ilvl w:val="0"/>
          <w:numId w:val="32"/>
        </w:numPr>
      </w:pPr>
      <w:r w:rsidRPr="006A7DF3">
        <w:rPr>
          <w:b/>
          <w:bCs/>
        </w:rPr>
        <w:t>Spear-Phishing:</w:t>
      </w:r>
      <w:r w:rsidRPr="006A7DF3">
        <w:t xml:space="preserve"> Identify a target list of 50 mid-market NBFC COOs and Heads of Underwriting in Mumbai. Engage via hyper-personalized LinkedIn and cold email outreach.</w:t>
      </w:r>
    </w:p>
    <w:p w14:paraId="3ACBDFF2" w14:textId="77777777" w:rsidR="006A7DF3" w:rsidRPr="006A7DF3" w:rsidRDefault="006A7DF3" w:rsidP="006A7DF3">
      <w:pPr>
        <w:numPr>
          <w:ilvl w:val="0"/>
          <w:numId w:val="32"/>
        </w:numPr>
      </w:pPr>
      <w:r w:rsidRPr="006A7DF3">
        <w:rPr>
          <w:b/>
          <w:bCs/>
        </w:rPr>
        <w:t>Messaging Alignment:</w:t>
      </w:r>
      <w:r w:rsidRPr="006A7DF3">
        <w:t xml:space="preserve"> Focus the narrative entirely on CAM processing latency, workflow bottlenecks, and risk reduction. Never use the words "typography," "design," or "beautification."</w:t>
      </w:r>
    </w:p>
    <w:p w14:paraId="3A5B25A0" w14:textId="77777777" w:rsidR="006A7DF3" w:rsidRPr="006A7DF3" w:rsidRDefault="006A7DF3" w:rsidP="006A7DF3">
      <w:pPr>
        <w:numPr>
          <w:ilvl w:val="0"/>
          <w:numId w:val="32"/>
        </w:numPr>
      </w:pPr>
      <w:r w:rsidRPr="006A7DF3">
        <w:rPr>
          <w:b/>
          <w:bCs/>
        </w:rPr>
        <w:t>The Hook:</w:t>
      </w:r>
      <w:r w:rsidRPr="006A7DF3">
        <w:t xml:space="preserve"> Offer the free Document Latency Audit (transforming 3 redacted pages of their own material to prove the concept instantly).</w:t>
      </w:r>
    </w:p>
    <w:p w14:paraId="55BF3561" w14:textId="77777777" w:rsidR="006A7DF3" w:rsidRPr="006A7DF3" w:rsidRDefault="006A7DF3" w:rsidP="006A7DF3">
      <w:pPr>
        <w:numPr>
          <w:ilvl w:val="0"/>
          <w:numId w:val="32"/>
        </w:numPr>
      </w:pPr>
      <w:r w:rsidRPr="006A7DF3">
        <w:rPr>
          <w:b/>
          <w:bCs/>
        </w:rPr>
        <w:t>Conversion:</w:t>
      </w:r>
      <w:r w:rsidRPr="006A7DF3">
        <w:t xml:space="preserve"> Shift the successful audit directly into a scoped, ₹2,00,000 paid diagnostic pilot to prove organizational ROI.</w:t>
      </w:r>
    </w:p>
    <w:p w14:paraId="236FA44E" w14:textId="77777777" w:rsidR="006A7DF3" w:rsidRPr="006A7DF3" w:rsidRDefault="006A7DF3" w:rsidP="006A7DF3">
      <w:pPr>
        <w:rPr>
          <w:b/>
          <w:bCs/>
        </w:rPr>
      </w:pPr>
      <w:r w:rsidRPr="006A7DF3">
        <w:rPr>
          <w:b/>
          <w:bCs/>
        </w:rPr>
        <w:t>36. Recommended First Customer Profile</w:t>
      </w:r>
    </w:p>
    <w:p w14:paraId="0CFF048E" w14:textId="77777777" w:rsidR="006A7DF3" w:rsidRPr="006A7DF3" w:rsidRDefault="006A7DF3" w:rsidP="006A7DF3">
      <w:r w:rsidRPr="006A7DF3">
        <w:t>The ideal first customer is the exact intersection of high pain and low procurement friction.</w:t>
      </w:r>
    </w:p>
    <w:p w14:paraId="2E5E6240" w14:textId="77777777" w:rsidR="006A7DF3" w:rsidRPr="006A7DF3" w:rsidRDefault="006A7DF3" w:rsidP="006A7DF3">
      <w:pPr>
        <w:numPr>
          <w:ilvl w:val="0"/>
          <w:numId w:val="33"/>
        </w:numPr>
      </w:pPr>
      <w:r w:rsidRPr="006A7DF3">
        <w:rPr>
          <w:b/>
          <w:bCs/>
        </w:rPr>
        <w:t>Entity Type:</w:t>
      </w:r>
      <w:r w:rsidRPr="006A7DF3">
        <w:t xml:space="preserve"> Mid-Market Non-Banking Financial Company (NBFC) headquartered in Mumbai.</w:t>
      </w:r>
    </w:p>
    <w:p w14:paraId="75EC0099" w14:textId="77777777" w:rsidR="006A7DF3" w:rsidRPr="006A7DF3" w:rsidRDefault="006A7DF3" w:rsidP="006A7DF3">
      <w:pPr>
        <w:numPr>
          <w:ilvl w:val="0"/>
          <w:numId w:val="33"/>
        </w:numPr>
      </w:pPr>
      <w:r w:rsidRPr="006A7DF3">
        <w:rPr>
          <w:b/>
          <w:bCs/>
        </w:rPr>
        <w:lastRenderedPageBreak/>
        <w:t>Financial Scale:</w:t>
      </w:r>
      <w:r w:rsidRPr="006A7DF3">
        <w:t xml:space="preserve"> ₹100 Crore to ₹500 Crore annual revenue. This ensures they are large enough to feel the acute pain of document latency, but small enough that the COO can authorize a pilot without navigating a 9-month board-level procurement cycle.</w:t>
      </w:r>
    </w:p>
    <w:p w14:paraId="79DFD521" w14:textId="77777777" w:rsidR="006A7DF3" w:rsidRPr="006A7DF3" w:rsidRDefault="006A7DF3" w:rsidP="006A7DF3">
      <w:pPr>
        <w:numPr>
          <w:ilvl w:val="0"/>
          <w:numId w:val="33"/>
        </w:numPr>
      </w:pPr>
      <w:r w:rsidRPr="006A7DF3">
        <w:rPr>
          <w:b/>
          <w:bCs/>
        </w:rPr>
        <w:t>Operational Pain Point:</w:t>
      </w:r>
      <w:r w:rsidRPr="006A7DF3">
        <w:t xml:space="preserve"> Scaling loan origination volume but bottlenecked by underwriting teams struggling to process highly unstructured, inconsistent borrower data and legacy PDF reports.</w:t>
      </w:r>
    </w:p>
    <w:p w14:paraId="1B005464" w14:textId="77777777" w:rsidR="006A7DF3" w:rsidRPr="006A7DF3" w:rsidRDefault="006A7DF3" w:rsidP="006A7DF3">
      <w:pPr>
        <w:rPr>
          <w:b/>
          <w:bCs/>
        </w:rPr>
      </w:pPr>
      <w:r w:rsidRPr="006A7DF3">
        <w:rPr>
          <w:b/>
          <w:bCs/>
        </w:rPr>
        <w:t>37. Recommended First Paid Offering</w:t>
      </w:r>
    </w:p>
    <w:p w14:paraId="76B24E7A" w14:textId="77777777" w:rsidR="006A7DF3" w:rsidRPr="006A7DF3" w:rsidRDefault="006A7DF3" w:rsidP="006A7DF3">
      <w:r w:rsidRPr="006A7DF3">
        <w:t xml:space="preserve">The optimal first commercial transaction is the </w:t>
      </w:r>
      <w:r w:rsidRPr="006A7DF3">
        <w:rPr>
          <w:b/>
          <w:bCs/>
        </w:rPr>
        <w:t>Level 1 Diagnostic Pilot</w:t>
      </w:r>
      <w:r w:rsidRPr="006A7DF3">
        <w:t>. This is a strict 30-day, bounded project targeting a single, defined underwriting team. The scope is rigidly limited to engineering 50 non-confidential or fully redacted Credit Appraisal Memos utilizing the offline deterministic Python scripts. The objective is to empirically prove a reduction in visual search time and a decrease in cognitive friction, thereby generating the ROI data required to propose the Level 2 enterprise rollout.</w:t>
      </w:r>
    </w:p>
    <w:p w14:paraId="31798978" w14:textId="77777777" w:rsidR="006A7DF3" w:rsidRPr="006A7DF3" w:rsidRDefault="006A7DF3" w:rsidP="006A7DF3">
      <w:pPr>
        <w:rPr>
          <w:b/>
          <w:bCs/>
        </w:rPr>
      </w:pPr>
      <w:r w:rsidRPr="006A7DF3">
        <w:rPr>
          <w:b/>
          <w:bCs/>
        </w:rPr>
        <w:t>38. Recommended Pricing for First Customers</w:t>
      </w:r>
    </w:p>
    <w:p w14:paraId="1E9B90D8" w14:textId="77777777" w:rsidR="006A7DF3" w:rsidRPr="006A7DF3" w:rsidRDefault="006A7DF3" w:rsidP="006A7DF3">
      <w:r w:rsidRPr="006A7DF3">
        <w:t xml:space="preserve">The first paid pilot should be priced between </w:t>
      </w:r>
      <w:r w:rsidRPr="006A7DF3">
        <w:rPr>
          <w:b/>
          <w:bCs/>
        </w:rPr>
        <w:t>₹1,50,000 and ₹2,50,000</w:t>
      </w:r>
      <w:r w:rsidRPr="006A7DF3">
        <w:t>. This specific pricing band is strategic; it generally falls beneath the capital expenditure (CapEx) threshold for mid-market COOs, allowing it to be swiftly signed off as a discretionary operational expense (OpEx) without triggering extensive procurement delays.</w:t>
      </w:r>
    </w:p>
    <w:p w14:paraId="5110768D" w14:textId="77777777" w:rsidR="006A7DF3" w:rsidRPr="006A7DF3" w:rsidRDefault="006A7DF3" w:rsidP="006A7DF3">
      <w:pPr>
        <w:rPr>
          <w:b/>
          <w:bCs/>
        </w:rPr>
      </w:pPr>
      <w:r w:rsidRPr="006A7DF3">
        <w:rPr>
          <w:b/>
          <w:bCs/>
        </w:rPr>
        <w:t>39. Long-Term Commercial Architecture</w:t>
      </w:r>
    </w:p>
    <w:p w14:paraId="7FA0CF05" w14:textId="77777777" w:rsidR="006A7DF3" w:rsidRPr="006A7DF3" w:rsidRDefault="006A7DF3" w:rsidP="006A7DF3">
      <w:r w:rsidRPr="006A7DF3">
        <w:t>The business model scales by transitioning from manual consulting to methodology licensing.</w:t>
      </w:r>
    </w:p>
    <w:p w14:paraId="5732DDD0" w14:textId="77777777" w:rsidR="006A7DF3" w:rsidRPr="006A7DF3" w:rsidRDefault="006A7DF3" w:rsidP="006A7DF3">
      <w:pPr>
        <w:numPr>
          <w:ilvl w:val="0"/>
          <w:numId w:val="34"/>
        </w:numPr>
      </w:pPr>
      <w:r w:rsidRPr="006A7DF3">
        <w:rPr>
          <w:b/>
          <w:bCs/>
        </w:rPr>
        <w:t>Year 1:</w:t>
      </w:r>
      <w:r w:rsidRPr="006A7DF3">
        <w:t xml:space="preserve"> Focus entirely on direct Level 1 Document Engineering consulting. The goal is to prove the model, refine the Python engine, and build three irrefutable, quantified case studies in the Mumbai financial sector.</w:t>
      </w:r>
    </w:p>
    <w:p w14:paraId="55745D16" w14:textId="77777777" w:rsidR="006A7DF3" w:rsidRPr="006A7DF3" w:rsidRDefault="006A7DF3" w:rsidP="006A7DF3">
      <w:pPr>
        <w:numPr>
          <w:ilvl w:val="0"/>
          <w:numId w:val="34"/>
        </w:numPr>
      </w:pPr>
      <w:r w:rsidRPr="006A7DF3">
        <w:rPr>
          <w:b/>
          <w:bCs/>
        </w:rPr>
        <w:t>Year 2-3:</w:t>
      </w:r>
      <w:r w:rsidRPr="006A7DF3">
        <w:t xml:space="preserve"> Pivot heavily toward Level 2 CIRF Enterprise Engagements, charging premium project fees (₹10 Lakh+) for organizational rulebook development and implementation.</w:t>
      </w:r>
    </w:p>
    <w:p w14:paraId="6C23FDBD" w14:textId="77777777" w:rsidR="006A7DF3" w:rsidRPr="006A7DF3" w:rsidRDefault="006A7DF3" w:rsidP="006A7DF3">
      <w:pPr>
        <w:numPr>
          <w:ilvl w:val="0"/>
          <w:numId w:val="34"/>
        </w:numPr>
      </w:pPr>
      <w:r w:rsidRPr="006A7DF3">
        <w:rPr>
          <w:b/>
          <w:bCs/>
        </w:rPr>
        <w:t>Year 4+:</w:t>
      </w:r>
      <w:r w:rsidRPr="006A7DF3">
        <w:t xml:space="preserve"> Productization. The ultimate scale is achieved by licensing the deterministic Python transformation engine (via API or On-Premises deployment) directly to enterprise Loan Origination Systems (LOS), transitioning the revenue model from finite consulting hours to recurring Annual Recurring Revenue (ARR).</w:t>
      </w:r>
    </w:p>
    <w:p w14:paraId="3BCA3951" w14:textId="77777777" w:rsidR="006A7DF3" w:rsidRPr="006A7DF3" w:rsidRDefault="006A7DF3" w:rsidP="006A7DF3">
      <w:pPr>
        <w:rPr>
          <w:b/>
          <w:bCs/>
        </w:rPr>
      </w:pPr>
      <w:r w:rsidRPr="006A7DF3">
        <w:rPr>
          <w:b/>
          <w:bCs/>
        </w:rPr>
        <w:t>40. Final Commercial Classification</w:t>
      </w:r>
    </w:p>
    <w:p w14:paraId="5805A36E" w14:textId="77777777" w:rsidR="006A7DF3" w:rsidRPr="006A7DF3" w:rsidRDefault="006A7DF3" w:rsidP="006A7DF3">
      <w:r w:rsidRPr="006A7DF3">
        <w:lastRenderedPageBreak/>
        <w:t xml:space="preserve">For the purposes of enterprise procurement, vendor onboarding, and executive positioning, the final commercial classification of the service is </w:t>
      </w:r>
      <w:r w:rsidRPr="006A7DF3">
        <w:rPr>
          <w:b/>
          <w:bCs/>
        </w:rPr>
        <w:t>Enterprise Information Architecture Consulting</w:t>
      </w:r>
      <w:r w:rsidRPr="006A7DF3">
        <w:t>, delivered through the proprietary methodology of Document Engineering.</w:t>
      </w:r>
    </w:p>
    <w:p w14:paraId="6B5B85FB" w14:textId="77777777" w:rsidR="006A7DF3" w:rsidRPr="006A7DF3" w:rsidRDefault="006A7DF3" w:rsidP="006A7DF3">
      <w:pPr>
        <w:rPr>
          <w:b/>
          <w:bCs/>
        </w:rPr>
      </w:pPr>
      <w:r w:rsidRPr="006A7DF3">
        <w:rPr>
          <w:b/>
          <w:bCs/>
        </w:rPr>
        <w:t>41. Final Conclusion (Direct Answers)</w:t>
      </w:r>
    </w:p>
    <w:p w14:paraId="312FD1EA" w14:textId="77777777" w:rsidR="006A7DF3" w:rsidRPr="006A7DF3" w:rsidRDefault="006A7DF3" w:rsidP="006A7DF3">
      <w:r w:rsidRPr="006A7DF3">
        <w:rPr>
          <w:b/>
          <w:bCs/>
        </w:rPr>
        <w:t>1. WHAT AM I ACTUALLY SELLING?</w:t>
      </w:r>
      <w:r w:rsidRPr="006A7DF3">
        <w:t xml:space="preserve"> You are selling the acceleration of accurate executive decision-making and the rigorous mitigation of operational risk, achieved by standardizing how complex, high-stakes data is presented to the human visual and cognitive system.</w:t>
      </w:r>
    </w:p>
    <w:p w14:paraId="1294CEDC" w14:textId="77777777" w:rsidR="006A7DF3" w:rsidRPr="006A7DF3" w:rsidRDefault="006A7DF3" w:rsidP="006A7DF3">
      <w:r w:rsidRPr="006A7DF3">
        <w:rPr>
          <w:b/>
          <w:bCs/>
        </w:rPr>
        <w:t>2. WHAT PROFESSIONAL CAPABILITY AM I PERFORMING?</w:t>
      </w:r>
      <w:r w:rsidRPr="006A7DF3">
        <w:t xml:space="preserve"> Document Engineering: The structural, semantic, hierarchical, and navigational engineering of information representation within professional documents to optimize human cognitive processing.</w:t>
      </w:r>
    </w:p>
    <w:p w14:paraId="71D08105" w14:textId="77777777" w:rsidR="006A7DF3" w:rsidRPr="006A7DF3" w:rsidRDefault="006A7DF3" w:rsidP="006A7DF3">
      <w:r w:rsidRPr="006A7DF3">
        <w:rPr>
          <w:b/>
          <w:bCs/>
        </w:rPr>
        <w:t>3. WHAT EXISTING MARKET CATEGORY IS CLOSEST TO IT?</w:t>
      </w:r>
      <w:r w:rsidRPr="006A7DF3">
        <w:t xml:space="preserve"> Enterprise Information Architecture combined with Management Consulting (Operational Efficiency &amp; Risk Management).</w:t>
      </w:r>
    </w:p>
    <w:p w14:paraId="66F2985F" w14:textId="77777777" w:rsidR="006A7DF3" w:rsidRPr="006A7DF3" w:rsidRDefault="006A7DF3" w:rsidP="006A7DF3">
      <w:r w:rsidRPr="006A7DF3">
        <w:rPr>
          <w:b/>
          <w:bCs/>
        </w:rPr>
        <w:t>4. SHOULD "DOCUMENT ENGINEERING" BE THE PRIMARY NAME?</w:t>
      </w:r>
      <w:r w:rsidRPr="006A7DF3">
        <w:t xml:space="preserve"> As the internal methodology name defining what you do, yes. As the primary outbound commercial category on marketing materials, no. The global market overwhelmingly associates "Document Engineering" with software XML processing and AI data extraction (e.g., Docugami).</w:t>
      </w:r>
    </w:p>
    <w:p w14:paraId="03CC6296" w14:textId="77777777" w:rsidR="006A7DF3" w:rsidRPr="006A7DF3" w:rsidRDefault="006A7DF3" w:rsidP="006A7DF3">
      <w:r w:rsidRPr="006A7DF3">
        <w:rPr>
          <w:b/>
          <w:bCs/>
        </w:rPr>
        <w:t>5. IF NOT, WHAT SHOULD THE COMMERCIAL DESCRIPTION BE?</w:t>
      </w:r>
      <w:r w:rsidRPr="006A7DF3">
        <w:t xml:space="preserve"> Cognitive Information Architecture Consulting or Decision-Support Information Architecture.</w:t>
      </w:r>
    </w:p>
    <w:p w14:paraId="52EEC173" w14:textId="77777777" w:rsidR="006A7DF3" w:rsidRPr="006A7DF3" w:rsidRDefault="006A7DF3" w:rsidP="006A7DF3">
      <w:r w:rsidRPr="006A7DF3">
        <w:rPr>
          <w:b/>
          <w:bCs/>
        </w:rPr>
        <w:t>6. WHO SHOULD PAY FOR IT?</w:t>
      </w:r>
      <w:r w:rsidRPr="006A7DF3">
        <w:t xml:space="preserve"> The Chief Operating Officer (COO) or the Head of Operations at a mid-market enterprise, utilizing operational efficiency budgets.</w:t>
      </w:r>
    </w:p>
    <w:p w14:paraId="2C803205" w14:textId="77777777" w:rsidR="006A7DF3" w:rsidRPr="006A7DF3" w:rsidRDefault="006A7DF3" w:rsidP="006A7DF3">
      <w:r w:rsidRPr="006A7DF3">
        <w:rPr>
          <w:b/>
          <w:bCs/>
        </w:rPr>
        <w:t>7. WHAT EXACT PROBLEM ARE THEY PAYING TO SOLVE?</w:t>
      </w:r>
      <w:r w:rsidRPr="006A7DF3">
        <w:t xml:space="preserve"> Cognitive latency (slow processing times) and severe compliance/operational errors caused by highly paid analysts missing critical risk variables buried in dense, poorly structured legacy documents.</w:t>
      </w:r>
    </w:p>
    <w:p w14:paraId="4D0BAA1B" w14:textId="77777777" w:rsidR="006A7DF3" w:rsidRPr="006A7DF3" w:rsidRDefault="006A7DF3" w:rsidP="006A7DF3">
      <w:r w:rsidRPr="006A7DF3">
        <w:rPr>
          <w:b/>
          <w:bCs/>
        </w:rPr>
        <w:t>8. WHAT DOCUMENTS SHOULD I START WITH?</w:t>
      </w:r>
      <w:r w:rsidRPr="006A7DF3">
        <w:t xml:space="preserve"> Credit Appraisal Memos (CAMs) for NBFCs and Equity Research Reports for asset management firms.</w:t>
      </w:r>
    </w:p>
    <w:p w14:paraId="5389A1CD" w14:textId="77777777" w:rsidR="006A7DF3" w:rsidRPr="006A7DF3" w:rsidRDefault="006A7DF3" w:rsidP="006A7DF3">
      <w:r w:rsidRPr="006A7DF3">
        <w:rPr>
          <w:b/>
          <w:bCs/>
        </w:rPr>
        <w:t>9. WHAT SHOULD MY FIRST PAID SERVICE LOOK LIKE?</w:t>
      </w:r>
      <w:r w:rsidRPr="006A7DF3">
        <w:t xml:space="preserve"> A 30-day, tightly bounded pilot project (Level 1) transforming a batch of 50 specific, redacted documents for a single business unit to empirically prove a reduction in visual search time and cognitive friction.</w:t>
      </w:r>
    </w:p>
    <w:p w14:paraId="62112710" w14:textId="77777777" w:rsidR="006A7DF3" w:rsidRPr="006A7DF3" w:rsidRDefault="006A7DF3" w:rsidP="006A7DF3">
      <w:r w:rsidRPr="006A7DF3">
        <w:rPr>
          <w:b/>
          <w:bCs/>
        </w:rPr>
        <w:t>10. WHAT SHOULD I CHARGE FOR THE FIRST PAID SERVICE?</w:t>
      </w:r>
      <w:r w:rsidRPr="006A7DF3">
        <w:t xml:space="preserve"> ₹1,50,000 to ₹2,50,000 as a Fixed Project Fee.</w:t>
      </w:r>
    </w:p>
    <w:p w14:paraId="471478BD" w14:textId="77777777" w:rsidR="006A7DF3" w:rsidRPr="006A7DF3" w:rsidRDefault="006A7DF3" w:rsidP="006A7DF3">
      <w:r w:rsidRPr="006A7DF3">
        <w:rPr>
          <w:b/>
          <w:bCs/>
        </w:rPr>
        <w:t>11. WHAT SHOULD I CHARGE AFTER I HAVE CASE STUDIES AND VALIDATED RESULTS?</w:t>
      </w:r>
      <w:r w:rsidRPr="006A7DF3">
        <w:t xml:space="preserve"> ₹5,00,000 to ₹10,00,000 for organizational rulebook development (Level 2 CIRF), plus an </w:t>
      </w:r>
      <w:r w:rsidRPr="006A7DF3">
        <w:lastRenderedPageBreak/>
        <w:t>additional ₹8,00,000 to ₹15,00,000 for annual on-premises software licensing of the transformation engine.</w:t>
      </w:r>
    </w:p>
    <w:p w14:paraId="7768C206" w14:textId="77777777" w:rsidR="006A7DF3" w:rsidRPr="006A7DF3" w:rsidRDefault="006A7DF3" w:rsidP="006A7DF3">
      <w:r w:rsidRPr="006A7DF3">
        <w:rPr>
          <w:b/>
          <w:bCs/>
        </w:rPr>
        <w:t>12. WHAT PART OF THE BUSINESS CAN SCALE?</w:t>
      </w:r>
      <w:r w:rsidRPr="006A7DF3">
        <w:t xml:space="preserve"> The deterministic Python transformation engine. Pure consulting scales only linearly with human hours; licensing the on-premise software engine to autonomously process thousands of documents scales exponentially without requiring additional headcount.</w:t>
      </w:r>
    </w:p>
    <w:p w14:paraId="08E85871" w14:textId="77777777" w:rsidR="006A7DF3" w:rsidRPr="006A7DF3" w:rsidRDefault="006A7DF3" w:rsidP="006A7DF3">
      <w:r w:rsidRPr="006A7DF3">
        <w:rPr>
          <w:b/>
          <w:bCs/>
        </w:rPr>
        <w:t>13. WHERE DOES CIRF/CIRS FIT?</w:t>
      </w:r>
      <w:r w:rsidRPr="006A7DF3">
        <w:t xml:space="preserve"> CIRS is your proprietary intellectual property (the semantic rules engine). CIRF is the paid Level 2 commercial service (deploying those rules systematically into an organization). Document Engineering is the overarching action you perform to build them both.</w:t>
      </w:r>
    </w:p>
    <w:p w14:paraId="5495AF0E" w14:textId="77777777" w:rsidR="006A7DF3" w:rsidRPr="006A7DF3" w:rsidRDefault="006A7DF3" w:rsidP="006A7DF3">
      <w:r w:rsidRPr="006A7DF3">
        <w:rPr>
          <w:b/>
          <w:bCs/>
        </w:rPr>
        <w:t>14. WHAT DID THE PREVIOUS RESEARCH MISUNDERSTAND?</w:t>
      </w:r>
      <w:r w:rsidRPr="006A7DF3">
        <w:t xml:space="preserve"> It conflated the </w:t>
      </w:r>
      <w:r w:rsidRPr="006A7DF3">
        <w:rPr>
          <w:i/>
          <w:iCs/>
        </w:rPr>
        <w:t>capability</w:t>
      </w:r>
      <w:r w:rsidRPr="006A7DF3">
        <w:t xml:space="preserve"> (Document Engineering) with the </w:t>
      </w:r>
      <w:r w:rsidRPr="006A7DF3">
        <w:rPr>
          <w:i/>
          <w:iCs/>
        </w:rPr>
        <w:t>procurement category</w:t>
      </w:r>
      <w:r w:rsidRPr="006A7DF3">
        <w:t xml:space="preserve"> (Decision-Support Information Architecture) and failed entirely to recognize that "Document Engineering" is currently used in the market to describe LLM-driven SaaS extraction tools. It also prematurely forced Level 1 document redesigns into heavy enterprise consulting frameworks, ignoring the necessary stepping stone of the diagnostic pilot.</w:t>
      </w:r>
    </w:p>
    <w:p w14:paraId="0D699B48" w14:textId="77777777" w:rsidR="006A7DF3" w:rsidRPr="006A7DF3" w:rsidRDefault="006A7DF3" w:rsidP="006A7DF3">
      <w:r w:rsidRPr="006A7DF3">
        <w:rPr>
          <w:b/>
          <w:bCs/>
        </w:rPr>
        <w:t>15. WHAT IS THE MOST DEFENSIBLE COMMERCIAL POSITIONING FOR DOCUMENT ENGINEERING?</w:t>
      </w:r>
      <w:r w:rsidRPr="006A7DF3">
        <w:t xml:space="preserve"> Positioning the service as a highly specialized Information Architecture capability that operates strictly on-premises to bypass massive RBI/DPDP cloud compliance friction, delivering mathematically deterministic (non-AI hallucinated) semantic standardization specifically designed to accelerate high-risk financial workflows.</w:t>
      </w:r>
    </w:p>
    <w:p w14:paraId="608B705D" w14:textId="77777777" w:rsidR="00D81021" w:rsidRPr="006A7DF3" w:rsidRDefault="00D81021" w:rsidP="006A7DF3"/>
    <w:sectPr w:rsidR="00D81021" w:rsidRPr="006A7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D40"/>
    <w:multiLevelType w:val="multilevel"/>
    <w:tmpl w:val="040E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6A29"/>
    <w:multiLevelType w:val="multilevel"/>
    <w:tmpl w:val="F94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1502"/>
    <w:multiLevelType w:val="multilevel"/>
    <w:tmpl w:val="5E6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F4E41"/>
    <w:multiLevelType w:val="multilevel"/>
    <w:tmpl w:val="B4B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6237C"/>
    <w:multiLevelType w:val="multilevel"/>
    <w:tmpl w:val="F51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58D6"/>
    <w:multiLevelType w:val="multilevel"/>
    <w:tmpl w:val="AB80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11029"/>
    <w:multiLevelType w:val="multilevel"/>
    <w:tmpl w:val="2E9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57E42"/>
    <w:multiLevelType w:val="multilevel"/>
    <w:tmpl w:val="D9E2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81FEA"/>
    <w:multiLevelType w:val="multilevel"/>
    <w:tmpl w:val="F55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524DE"/>
    <w:multiLevelType w:val="multilevel"/>
    <w:tmpl w:val="3C4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E1C8A"/>
    <w:multiLevelType w:val="multilevel"/>
    <w:tmpl w:val="3C0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C4CAF"/>
    <w:multiLevelType w:val="multilevel"/>
    <w:tmpl w:val="254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2640D"/>
    <w:multiLevelType w:val="multilevel"/>
    <w:tmpl w:val="377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76BA6"/>
    <w:multiLevelType w:val="multilevel"/>
    <w:tmpl w:val="F7D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D31B9"/>
    <w:multiLevelType w:val="multilevel"/>
    <w:tmpl w:val="A19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67585"/>
    <w:multiLevelType w:val="multilevel"/>
    <w:tmpl w:val="6638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85ADE"/>
    <w:multiLevelType w:val="multilevel"/>
    <w:tmpl w:val="86E20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465DE"/>
    <w:multiLevelType w:val="multilevel"/>
    <w:tmpl w:val="9C9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9307F"/>
    <w:multiLevelType w:val="multilevel"/>
    <w:tmpl w:val="613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97548"/>
    <w:multiLevelType w:val="multilevel"/>
    <w:tmpl w:val="5D86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086463"/>
    <w:multiLevelType w:val="multilevel"/>
    <w:tmpl w:val="D190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352A1B"/>
    <w:multiLevelType w:val="multilevel"/>
    <w:tmpl w:val="1DA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23856"/>
    <w:multiLevelType w:val="multilevel"/>
    <w:tmpl w:val="EF1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575CB"/>
    <w:multiLevelType w:val="multilevel"/>
    <w:tmpl w:val="5EB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A4322"/>
    <w:multiLevelType w:val="multilevel"/>
    <w:tmpl w:val="759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32966"/>
    <w:multiLevelType w:val="multilevel"/>
    <w:tmpl w:val="F77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846AB"/>
    <w:multiLevelType w:val="multilevel"/>
    <w:tmpl w:val="B39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949A2"/>
    <w:multiLevelType w:val="multilevel"/>
    <w:tmpl w:val="384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671E3"/>
    <w:multiLevelType w:val="multilevel"/>
    <w:tmpl w:val="BEF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63F14"/>
    <w:multiLevelType w:val="multilevel"/>
    <w:tmpl w:val="6AA0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DB6567"/>
    <w:multiLevelType w:val="multilevel"/>
    <w:tmpl w:val="C932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9C6EF2"/>
    <w:multiLevelType w:val="multilevel"/>
    <w:tmpl w:val="350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219E5"/>
    <w:multiLevelType w:val="multilevel"/>
    <w:tmpl w:val="4DB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A64F4"/>
    <w:multiLevelType w:val="multilevel"/>
    <w:tmpl w:val="4142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623099">
    <w:abstractNumId w:val="8"/>
  </w:num>
  <w:num w:numId="2" w16cid:durableId="168564602">
    <w:abstractNumId w:val="31"/>
  </w:num>
  <w:num w:numId="3" w16cid:durableId="1157649866">
    <w:abstractNumId w:val="26"/>
  </w:num>
  <w:num w:numId="4" w16cid:durableId="698773624">
    <w:abstractNumId w:val="27"/>
  </w:num>
  <w:num w:numId="5" w16cid:durableId="1190603542">
    <w:abstractNumId w:val="18"/>
  </w:num>
  <w:num w:numId="6" w16cid:durableId="312683295">
    <w:abstractNumId w:val="4"/>
  </w:num>
  <w:num w:numId="7" w16cid:durableId="781151764">
    <w:abstractNumId w:val="30"/>
  </w:num>
  <w:num w:numId="8" w16cid:durableId="1257400630">
    <w:abstractNumId w:val="16"/>
  </w:num>
  <w:num w:numId="9" w16cid:durableId="14311834">
    <w:abstractNumId w:val="33"/>
  </w:num>
  <w:num w:numId="10" w16cid:durableId="856384864">
    <w:abstractNumId w:val="7"/>
  </w:num>
  <w:num w:numId="11" w16cid:durableId="980573572">
    <w:abstractNumId w:val="14"/>
  </w:num>
  <w:num w:numId="12" w16cid:durableId="883523205">
    <w:abstractNumId w:val="25"/>
  </w:num>
  <w:num w:numId="13" w16cid:durableId="430974251">
    <w:abstractNumId w:val="2"/>
  </w:num>
  <w:num w:numId="14" w16cid:durableId="170418083">
    <w:abstractNumId w:val="6"/>
  </w:num>
  <w:num w:numId="15" w16cid:durableId="138769931">
    <w:abstractNumId w:val="10"/>
  </w:num>
  <w:num w:numId="16" w16cid:durableId="1864976754">
    <w:abstractNumId w:val="22"/>
  </w:num>
  <w:num w:numId="17" w16cid:durableId="1471745686">
    <w:abstractNumId w:val="28"/>
  </w:num>
  <w:num w:numId="18" w16cid:durableId="1700012636">
    <w:abstractNumId w:val="13"/>
  </w:num>
  <w:num w:numId="19" w16cid:durableId="1429619380">
    <w:abstractNumId w:val="29"/>
  </w:num>
  <w:num w:numId="20" w16cid:durableId="1181512466">
    <w:abstractNumId w:val="12"/>
  </w:num>
  <w:num w:numId="21" w16cid:durableId="1252617575">
    <w:abstractNumId w:val="24"/>
  </w:num>
  <w:num w:numId="22" w16cid:durableId="278730508">
    <w:abstractNumId w:val="5"/>
  </w:num>
  <w:num w:numId="23" w16cid:durableId="1555122540">
    <w:abstractNumId w:val="20"/>
  </w:num>
  <w:num w:numId="24" w16cid:durableId="974217304">
    <w:abstractNumId w:val="21"/>
  </w:num>
  <w:num w:numId="25" w16cid:durableId="1046177403">
    <w:abstractNumId w:val="23"/>
  </w:num>
  <w:num w:numId="26" w16cid:durableId="1766345893">
    <w:abstractNumId w:val="17"/>
  </w:num>
  <w:num w:numId="27" w16cid:durableId="1877157884">
    <w:abstractNumId w:val="11"/>
  </w:num>
  <w:num w:numId="28" w16cid:durableId="2072002850">
    <w:abstractNumId w:val="9"/>
  </w:num>
  <w:num w:numId="29" w16cid:durableId="354309445">
    <w:abstractNumId w:val="0"/>
  </w:num>
  <w:num w:numId="30" w16cid:durableId="77482929">
    <w:abstractNumId w:val="32"/>
  </w:num>
  <w:num w:numId="31" w16cid:durableId="308444587">
    <w:abstractNumId w:val="1"/>
  </w:num>
  <w:num w:numId="32" w16cid:durableId="1452746707">
    <w:abstractNumId w:val="19"/>
  </w:num>
  <w:num w:numId="33" w16cid:durableId="1851674460">
    <w:abstractNumId w:val="3"/>
  </w:num>
  <w:num w:numId="34" w16cid:durableId="1640384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05"/>
    <w:rsid w:val="00413F83"/>
    <w:rsid w:val="005A2BFC"/>
    <w:rsid w:val="00613F05"/>
    <w:rsid w:val="006A7DF3"/>
    <w:rsid w:val="009701BC"/>
    <w:rsid w:val="00D81021"/>
    <w:rsid w:val="00D9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A7D7"/>
  <w15:chartTrackingRefBased/>
  <w15:docId w15:val="{5A79F8A2-85B0-4D05-A925-97B9C7C0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F05"/>
    <w:rPr>
      <w:rFonts w:eastAsiaTheme="majorEastAsia" w:cstheme="majorBidi"/>
      <w:color w:val="272727" w:themeColor="text1" w:themeTint="D8"/>
    </w:rPr>
  </w:style>
  <w:style w:type="paragraph" w:styleId="Title">
    <w:name w:val="Title"/>
    <w:basedOn w:val="Normal"/>
    <w:next w:val="Normal"/>
    <w:link w:val="TitleChar"/>
    <w:uiPriority w:val="10"/>
    <w:qFormat/>
    <w:rsid w:val="00613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F05"/>
    <w:pPr>
      <w:spacing w:before="160"/>
      <w:jc w:val="center"/>
    </w:pPr>
    <w:rPr>
      <w:i/>
      <w:iCs/>
      <w:color w:val="404040" w:themeColor="text1" w:themeTint="BF"/>
    </w:rPr>
  </w:style>
  <w:style w:type="character" w:customStyle="1" w:styleId="QuoteChar">
    <w:name w:val="Quote Char"/>
    <w:basedOn w:val="DefaultParagraphFont"/>
    <w:link w:val="Quote"/>
    <w:uiPriority w:val="29"/>
    <w:rsid w:val="00613F05"/>
    <w:rPr>
      <w:i/>
      <w:iCs/>
      <w:color w:val="404040" w:themeColor="text1" w:themeTint="BF"/>
    </w:rPr>
  </w:style>
  <w:style w:type="paragraph" w:styleId="ListParagraph">
    <w:name w:val="List Paragraph"/>
    <w:basedOn w:val="Normal"/>
    <w:uiPriority w:val="34"/>
    <w:qFormat/>
    <w:rsid w:val="00613F05"/>
    <w:pPr>
      <w:ind w:left="720"/>
      <w:contextualSpacing/>
    </w:pPr>
  </w:style>
  <w:style w:type="character" w:styleId="IntenseEmphasis">
    <w:name w:val="Intense Emphasis"/>
    <w:basedOn w:val="DefaultParagraphFont"/>
    <w:uiPriority w:val="21"/>
    <w:qFormat/>
    <w:rsid w:val="00613F05"/>
    <w:rPr>
      <w:i/>
      <w:iCs/>
      <w:color w:val="2F5496" w:themeColor="accent1" w:themeShade="BF"/>
    </w:rPr>
  </w:style>
  <w:style w:type="paragraph" w:styleId="IntenseQuote">
    <w:name w:val="Intense Quote"/>
    <w:basedOn w:val="Normal"/>
    <w:next w:val="Normal"/>
    <w:link w:val="IntenseQuoteChar"/>
    <w:uiPriority w:val="30"/>
    <w:qFormat/>
    <w:rsid w:val="00613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F05"/>
    <w:rPr>
      <w:i/>
      <w:iCs/>
      <w:color w:val="2F5496" w:themeColor="accent1" w:themeShade="BF"/>
    </w:rPr>
  </w:style>
  <w:style w:type="character" w:styleId="IntenseReference">
    <w:name w:val="Intense Reference"/>
    <w:basedOn w:val="DefaultParagraphFont"/>
    <w:uiPriority w:val="32"/>
    <w:qFormat/>
    <w:rsid w:val="00613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5936</Words>
  <Characters>33838</Characters>
  <Application>Microsoft Office Word</Application>
  <DocSecurity>0</DocSecurity>
  <Lines>281</Lines>
  <Paragraphs>79</Paragraphs>
  <ScaleCrop>false</ScaleCrop>
  <Company/>
  <LinksUpToDate>false</LinksUpToDate>
  <CharactersWithSpaces>39695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3</cp:revision>
  <dcterms:created xsi:type="dcterms:W3CDTF">2026-08-24T14:12:00Z</dcterms:created>
  <dcterms:modified xsi:type="dcterms:W3CDTF">2026-08-24T14:53:00Z</dcterms:modified>
</cp:coreProperties>
</file>