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B7A9C" w14:textId="77777777" w:rsidR="00DE3B35" w:rsidRPr="00DE3B35" w:rsidRDefault="00DE3B35" w:rsidP="00DE3B35">
      <w:pPr>
        <w:rPr>
          <w:b/>
          <w:bCs/>
        </w:rPr>
      </w:pPr>
      <w:r w:rsidRPr="00DE3B35">
        <w:rPr>
          <w:b/>
          <w:bCs/>
        </w:rPr>
        <w:t>Rigorous Scientific and Risk Audit of the Professional Document Reading Framework (PDRF)</w:t>
      </w:r>
    </w:p>
    <w:p w14:paraId="373B72F6" w14:textId="77777777" w:rsidR="00DE3B35" w:rsidRPr="00DE3B35" w:rsidRDefault="00DE3B35" w:rsidP="00DE3B35">
      <w:pPr>
        <w:rPr>
          <w:b/>
          <w:bCs/>
        </w:rPr>
      </w:pPr>
      <w:r w:rsidRPr="00DE3B35">
        <w:rPr>
          <w:b/>
          <w:bCs/>
        </w:rPr>
        <w:t>1. Executive Conclusion</w:t>
      </w:r>
    </w:p>
    <w:p w14:paraId="7EB61B5C" w14:textId="77777777" w:rsidR="00DE3B35" w:rsidRPr="00DE3B35" w:rsidRDefault="00DE3B35" w:rsidP="00DE3B35">
      <w:r w:rsidRPr="00DE3B35">
        <w:t>The Professional Document Reading Framework (PDRF) represents an innovative, methodologically necessary approach to optimizing human interaction with highly complex, decision-relevant text. By transitioning the concept of reading from a passive, automated consumption of words into an active, cognitively regulated professional skill, the framework successfully targets critical bottlenecks in human information processing. A thorough review of the current draft and its preceding technical audit reveals that the foundational principles of the PDRF rest upon well-documented phenomena within cognitive psychology, vision science, and human factors engineering. Specifically, the framework accurately leverages the finite capacity of working memory, the distinction between visual decoding and semantic comprehension, and the impact of environmental presentation on cognitive resource depletion.</w:t>
      </w:r>
    </w:p>
    <w:p w14:paraId="2B448A04" w14:textId="77777777" w:rsidR="00DE3B35" w:rsidRPr="00DE3B35" w:rsidRDefault="00DE3B35" w:rsidP="00DE3B35">
      <w:r w:rsidRPr="00DE3B35">
        <w:t>However, in its current state, the framework is not yet suitable for direct client education without major revision. The document presently blurs the boundary between established cognitive science, framework-specific operational heuristics, and overarching pedagogical philosophies. Furthermore, the nomenclature utilized in the current draft—most notably the "White Paper Test Theory"—conflicts with established scientific terminology, which risks immediate rejection by scientifically literate clients or corporate stakeholders.</w:t>
      </w:r>
    </w:p>
    <w:p w14:paraId="7F6F7D03" w14:textId="77777777" w:rsidR="00DE3B35" w:rsidRPr="00DE3B35" w:rsidRDefault="00DE3B35" w:rsidP="00DE3B35">
      <w:r w:rsidRPr="00DE3B35">
        <w:t>Most critically, the current iteration carries inherent commercial, regulatory, and legal liabilities. By failing to explicitly demarcate what the framework educates consumers about versus what the corresponding paid professional service executes and guarantees, the text risks violating modern consumer protection standards regarding misleading claims and deficiency in services. To evolve from a conceptual draft into a professionally defensible, scientifically rigorous, and legally insulated client-facing educational document, the PDRF must undergo a comprehensive structural reorganization, a strict terminology audit, the removal of absolute performance guarantees, and the integration of explicit boundary statements. Once these revisions are implemented, the PDRF will serve as a highly credible educational precursor to professional consulting services.</w:t>
      </w:r>
    </w:p>
    <w:p w14:paraId="731BD9D1" w14:textId="77777777" w:rsidR="00DE3B35" w:rsidRPr="00DE3B35" w:rsidRDefault="00DE3B35" w:rsidP="00DE3B35">
      <w:pPr>
        <w:rPr>
          <w:b/>
          <w:bCs/>
        </w:rPr>
      </w:pPr>
      <w:r w:rsidRPr="00DE3B35">
        <w:rPr>
          <w:b/>
          <w:bCs/>
        </w:rPr>
        <w:t>2. Client-Liability and Credibility Risk Assessment</w:t>
      </w:r>
    </w:p>
    <w:p w14:paraId="0E801F57" w14:textId="77777777" w:rsidR="00DE3B35" w:rsidRPr="00DE3B35" w:rsidRDefault="00DE3B35" w:rsidP="00DE3B35">
      <w:r w:rsidRPr="00DE3B35">
        <w:t>When presenting educational frameworks that serve as precursors to paid professional services, organizations face substantial regulatory and civil liability risks if educational statements are misconstrued as guarantees of performance, cognitive enhancement, or diagnostic assessments. The boundary between educating a client on the biological limits of reading and claiming to measure or fix an individual's cognitive capacity must be rigidly maintained.</w:t>
      </w:r>
    </w:p>
    <w:p w14:paraId="643EFC2F" w14:textId="77777777" w:rsidR="00DE3B35" w:rsidRPr="00DE3B35" w:rsidRDefault="00DE3B35" w:rsidP="00DE3B35">
      <w:pPr>
        <w:rPr>
          <w:b/>
          <w:bCs/>
        </w:rPr>
      </w:pPr>
      <w:r w:rsidRPr="00DE3B35">
        <w:rPr>
          <w:b/>
          <w:bCs/>
        </w:rPr>
        <w:t>Consumer Protection and Deficiency in Service</w:t>
      </w:r>
    </w:p>
    <w:p w14:paraId="5F5D7E06" w14:textId="77777777" w:rsidR="00DE3B35" w:rsidRPr="00DE3B35" w:rsidRDefault="00DE3B35" w:rsidP="00DE3B35">
      <w:r w:rsidRPr="00DE3B35">
        <w:lastRenderedPageBreak/>
        <w:t>Under modern consumer protection paradigms, regulatory scrutiny on educational services and consulting claims is exceptionally high. For instance, under the Consumer Protection Act of 2019 (CPA 2019) and the corresponding Central Consumer Protection Authority (CCPA) guidelines formulated in 2022 and 2024, authorities actively prosecute educational service providers for "misleading advertisements" and "deficiency in service". Section 2(11) of the CPA 2019 defines "deficiency" as any fault, imperfection, shortcoming, or inadequacy in the quality, nature, and manner of performance required to be maintained by a service provider.</w:t>
      </w:r>
    </w:p>
    <w:p w14:paraId="20B89C0D" w14:textId="77777777" w:rsidR="00DE3B35" w:rsidRPr="00DE3B35" w:rsidRDefault="00DE3B35" w:rsidP="00DE3B35">
      <w:r w:rsidRPr="00DE3B35">
        <w:t>If the PDRF implies that applying its rules will "guarantee understanding," "ensure comprehension," or "eliminate cognitive overload," a client who fails to comprehend a high-stakes document—such as a dense legal contract or a complex financial disclosure—after purchasing the professional service could successfully claim a deficiency in service. Recent regulatory actions have levied severe penalties against coaching and educational institutions for utilizing absolute metrics, guaranteeing success, or concealing the specific limitations of their methodologies. To mitigate this risk, the PDRF must strictly avoid absolute language. Words such as "guarantee," "ensure," "cure," "fix," "definitely," or "eliminate" must be completely scrubbed from the framework. The framework must position itself as a tool for optimization, not a guarantee of absolute comprehension.</w:t>
      </w:r>
    </w:p>
    <w:p w14:paraId="65475977" w14:textId="77777777" w:rsidR="00DE3B35" w:rsidRPr="00DE3B35" w:rsidRDefault="00DE3B35" w:rsidP="00DE3B35">
      <w:pPr>
        <w:rPr>
          <w:b/>
          <w:bCs/>
        </w:rPr>
      </w:pPr>
      <w:r w:rsidRPr="00DE3B35">
        <w:rPr>
          <w:b/>
          <w:bCs/>
        </w:rPr>
        <w:t>Medicalization and Diagnostic Risk</w:t>
      </w:r>
    </w:p>
    <w:p w14:paraId="7D4013A7" w14:textId="77777777" w:rsidR="00DE3B35" w:rsidRPr="00DE3B35" w:rsidRDefault="00DE3B35" w:rsidP="00DE3B35">
      <w:r w:rsidRPr="00DE3B35">
        <w:t>The current framework frequently references psychological and neurological terms such as "cognitive load," "working memory," "attention," and "visual processing." While these are accurate psychological constructs, they are also standardized diagnostic parameters used in clinical neuropsychology and cognitive assessments to evaluate learning disabilities, attention deficit disorders, and cognitive decline. If the framework implies that an ordinary reader's struggles are due to a "defective" cognitive process that the framework can "diagnose" or that the paid service will "treat," the service provider risks crossing the line into unlicensed psychological assessment.</w:t>
      </w:r>
    </w:p>
    <w:p w14:paraId="1E3EDD50" w14:textId="77777777" w:rsidR="00DE3B35" w:rsidRPr="00DE3B35" w:rsidRDefault="00DE3B35" w:rsidP="00DE3B35">
      <w:r w:rsidRPr="00DE3B35">
        <w:t xml:space="preserve">Furthermore, language that implies the framework can </w:t>
      </w:r>
      <w:r w:rsidRPr="00DE3B35">
        <w:rPr>
          <w:i/>
          <w:iCs/>
        </w:rPr>
        <w:t>measure</w:t>
      </w:r>
      <w:r w:rsidRPr="00DE3B35">
        <w:t xml:space="preserve"> a person's cognitive load or visual processing ability creates the false impression that the service provider utilizes biometric or psychometric testing. The liability is neutralized by framing the problem strictly as a universal interaction between document design and standard human biology, not as an individual deficit in the reader's neurological state. The framework educates clients on the biological laws of the human brain when interacting with poor document design. It does not, and cannot, assess the individual cognitive capacity of the client.</w:t>
      </w:r>
    </w:p>
    <w:p w14:paraId="6CBD1269" w14:textId="77777777" w:rsidR="00DE3B35" w:rsidRPr="00DE3B35" w:rsidRDefault="00DE3B35" w:rsidP="00DE3B35">
      <w:pPr>
        <w:rPr>
          <w:b/>
          <w:bCs/>
        </w:rPr>
      </w:pPr>
      <w:r w:rsidRPr="00DE3B35">
        <w:rPr>
          <w:b/>
          <w:bCs/>
        </w:rPr>
        <w:t>3. Claim-by-Claim Risk Table</w:t>
      </w:r>
    </w:p>
    <w:p w14:paraId="2C7849DF" w14:textId="77777777" w:rsidR="00DE3B35" w:rsidRPr="00DE3B35" w:rsidRDefault="00DE3B35" w:rsidP="00DE3B35">
      <w:r w:rsidRPr="00DE3B35">
        <w:lastRenderedPageBreak/>
        <w:t>The following table evaluates the specific risks associated with the core claims of the current PDRF draft, detailing the scientific validity, potential liabilities, and required adjustments to ensure consumer safety and professional credibility.</w:t>
      </w:r>
    </w:p>
    <w:tbl>
      <w:tblPr>
        <w:tblW w:w="0" w:type="auto"/>
        <w:tblCellSpacing w:w="15" w:type="dxa"/>
        <w:tblCellMar>
          <w:left w:w="0" w:type="dxa"/>
          <w:right w:w="0" w:type="dxa"/>
        </w:tblCellMar>
        <w:tblLook w:val="04A0" w:firstRow="1" w:lastRow="0" w:firstColumn="1" w:lastColumn="0" w:noHBand="0" w:noVBand="1"/>
      </w:tblPr>
      <w:tblGrid>
        <w:gridCol w:w="2071"/>
        <w:gridCol w:w="2688"/>
        <w:gridCol w:w="2330"/>
        <w:gridCol w:w="2255"/>
      </w:tblGrid>
      <w:tr w:rsidR="00DE3B35" w:rsidRPr="00DE3B35" w14:paraId="1DE468B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6B014" w14:textId="77777777" w:rsidR="00DE3B35" w:rsidRPr="00DE3B35" w:rsidRDefault="00DE3B35" w:rsidP="00DE3B35">
            <w:r w:rsidRPr="00DE3B35">
              <w:rPr>
                <w:b/>
                <w:bCs/>
              </w:rPr>
              <w:t>Current PDRF Claim or Concept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DAE5C" w14:textId="77777777" w:rsidR="00DE3B35" w:rsidRPr="00DE3B35" w:rsidRDefault="00DE3B35" w:rsidP="00DE3B35">
            <w:r w:rsidRPr="00DE3B35">
              <w:rPr>
                <w:b/>
                <w:bCs/>
              </w:rPr>
              <w:t>Scientific Validity &amp; Classification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6B0A6" w14:textId="77777777" w:rsidR="00DE3B35" w:rsidRPr="00DE3B35" w:rsidRDefault="00DE3B35" w:rsidP="00DE3B35">
            <w:r w:rsidRPr="00DE3B35">
              <w:rPr>
                <w:b/>
                <w:bCs/>
              </w:rPr>
              <w:t>Liability / Credibility Risk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3B71B" w14:textId="77777777" w:rsidR="00DE3B35" w:rsidRPr="00DE3B35" w:rsidRDefault="00DE3B35" w:rsidP="00DE3B35">
            <w:r w:rsidRPr="00DE3B35">
              <w:rPr>
                <w:b/>
                <w:bCs/>
              </w:rPr>
              <w:t>Required Action for Final Version</w:t>
            </w:r>
          </w:p>
        </w:tc>
      </w:tr>
      <w:tr w:rsidR="00DE3B35" w:rsidRPr="00DE3B35" w14:paraId="22BB90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30402" w14:textId="77777777" w:rsidR="00DE3B35" w:rsidRPr="00DE3B35" w:rsidRDefault="00DE3B35" w:rsidP="00DE3B35">
            <w:r w:rsidRPr="00DE3B35">
              <w:rPr>
                <w:b/>
                <w:bCs/>
              </w:rPr>
              <w:t>"White Paper Test Theory"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DA967" w14:textId="77777777" w:rsidR="00DE3B35" w:rsidRPr="00DE3B35" w:rsidRDefault="00DE3B35" w:rsidP="00DE3B35">
            <w:r w:rsidRPr="00DE3B35">
              <w:t xml:space="preserve">Unsupported Nomenclature. The theory as described (focusing on a red circle while missing background shapes) perfectly aligns with </w:t>
            </w:r>
            <w:r w:rsidRPr="00DE3B35">
              <w:rPr>
                <w:i/>
                <w:iCs/>
              </w:rPr>
              <w:t>Inattentional Blindness</w:t>
            </w:r>
            <w:r w:rsidRPr="00DE3B35">
              <w:t>. The term "White Paper Test" colloquially refers to a cosmetic color-analysis technique.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8A4BE" w14:textId="77777777" w:rsidR="00DE3B35" w:rsidRPr="00DE3B35" w:rsidRDefault="00DE3B35" w:rsidP="00DE3B35">
            <w:r w:rsidRPr="00DE3B35">
              <w:rPr>
                <w:b/>
                <w:bCs/>
              </w:rPr>
              <w:t>High Credibility Risk.</w:t>
            </w:r>
            <w:r w:rsidRPr="00DE3B35">
              <w:t xml:space="preserve"> Scientifically literate clients will recognize this as misapplied terminology, severely damaging the intellectual authority of the entire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4DC13" w14:textId="77777777" w:rsidR="00DE3B35" w:rsidRPr="00DE3B35" w:rsidRDefault="00DE3B35" w:rsidP="00DE3B35">
            <w:r w:rsidRPr="00DE3B35">
              <w:rPr>
                <w:b/>
                <w:bCs/>
              </w:rPr>
              <w:t>Rename and Reframe.</w:t>
            </w:r>
            <w:r w:rsidRPr="00DE3B35">
              <w:t xml:space="preserve"> Classify the phenomenon accurately as </w:t>
            </w:r>
            <w:r w:rsidRPr="00DE3B35">
              <w:rPr>
                <w:i/>
                <w:iCs/>
              </w:rPr>
              <w:t>Inattentional Blindness</w:t>
            </w:r>
            <w:r w:rsidRPr="00DE3B35">
              <w:t xml:space="preserve"> or </w:t>
            </w:r>
            <w:r w:rsidRPr="00DE3B35">
              <w:rPr>
                <w:i/>
                <w:iCs/>
              </w:rPr>
              <w:t>Selective Attention</w:t>
            </w:r>
            <w:r w:rsidRPr="00DE3B35">
              <w:t xml:space="preserve"> based on foundational research by Mack and Rock (1998).</w:t>
            </w:r>
          </w:p>
        </w:tc>
      </w:tr>
      <w:tr w:rsidR="00DE3B35" w:rsidRPr="00DE3B35" w14:paraId="7D460D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66924" w14:textId="77777777" w:rsidR="00DE3B35" w:rsidRPr="00DE3B35" w:rsidRDefault="00DE3B35" w:rsidP="00DE3B35">
            <w:r w:rsidRPr="00DE3B35">
              <w:rPr>
                <w:b/>
                <w:bCs/>
              </w:rPr>
              <w:t>Rule 001: Load is Not Directly Reported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C48B8" w14:textId="77777777" w:rsidR="00DE3B35" w:rsidRPr="00DE3B35" w:rsidRDefault="00DE3B35" w:rsidP="00DE3B35">
            <w:r w:rsidRPr="00DE3B35">
              <w:t>Strongly Established. Intersects with the limits of conscious introspection and metacognitive monitoring failures.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E8EFC" w14:textId="77777777" w:rsidR="00DE3B35" w:rsidRPr="00DE3B35" w:rsidRDefault="00DE3B35" w:rsidP="00DE3B35">
            <w:r w:rsidRPr="00DE3B35">
              <w:rPr>
                <w:b/>
                <w:bCs/>
              </w:rPr>
              <w:t>Moderate Liability Risk.</w:t>
            </w:r>
            <w:r w:rsidRPr="00DE3B35">
              <w:t xml:space="preserve"> The phrasing is scientifically imprecise; humans </w:t>
            </w:r>
            <w:r w:rsidRPr="00DE3B35">
              <w:rPr>
                <w:i/>
                <w:iCs/>
              </w:rPr>
              <w:t>do</w:t>
            </w:r>
            <w:r w:rsidRPr="00DE3B35">
              <w:t xml:space="preserve"> feel mental effort, they simply misattribute its source (document structure vs. subject 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05914" w14:textId="77777777" w:rsidR="00DE3B35" w:rsidRPr="00DE3B35" w:rsidRDefault="00DE3B35" w:rsidP="00DE3B35">
            <w:r w:rsidRPr="00DE3B35">
              <w:rPr>
                <w:b/>
                <w:bCs/>
              </w:rPr>
              <w:t>Qualify and Reword.</w:t>
            </w:r>
            <w:r w:rsidRPr="00DE3B35">
              <w:t xml:space="preserve"> Refocus the claim on "Metacognitive Misattribution" and the "Illusion of Knowing." Clarify that readers feel strain but often misdiagnose the cause.</w:t>
            </w:r>
          </w:p>
        </w:tc>
      </w:tr>
      <w:tr w:rsidR="00DE3B35" w:rsidRPr="00DE3B35" w14:paraId="5532CA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40B9D" w14:textId="77777777" w:rsidR="00DE3B35" w:rsidRPr="00DE3B35" w:rsidRDefault="00DE3B35" w:rsidP="00DE3B35">
            <w:r w:rsidRPr="00DE3B35">
              <w:rPr>
                <w:b/>
                <w:bCs/>
              </w:rPr>
              <w:lastRenderedPageBreak/>
              <w:t>Rule 002: Unconscious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E2A86" w14:textId="77777777" w:rsidR="00DE3B35" w:rsidRPr="00DE3B35" w:rsidRDefault="00DE3B35" w:rsidP="00DE3B35">
            <w:r w:rsidRPr="00DE3B35">
              <w:t>Strongly Established. Eye movements (saccades, fixations, parafoveal processing) are largely automated and subconscious.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24220" w14:textId="77777777" w:rsidR="00DE3B35" w:rsidRPr="00DE3B35" w:rsidRDefault="00DE3B35" w:rsidP="00DE3B35">
            <w:r w:rsidRPr="00DE3B35">
              <w:rPr>
                <w:b/>
                <w:bCs/>
              </w:rPr>
              <w:t>Low Risk.</w:t>
            </w:r>
            <w:r w:rsidRPr="00DE3B35">
              <w:t xml:space="preserve"> This is a purely educational, biological fact.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FB1BF" w14:textId="77777777" w:rsidR="00DE3B35" w:rsidRPr="00DE3B35" w:rsidRDefault="00DE3B35" w:rsidP="00DE3B35">
            <w:r w:rsidRPr="00DE3B35">
              <w:rPr>
                <w:b/>
                <w:bCs/>
              </w:rPr>
              <w:t>Merge.</w:t>
            </w:r>
            <w:r w:rsidRPr="00DE3B35">
              <w:t xml:space="preserve"> Combine with Rule 001 to form a general foundational principle regarding the limits of conscious awareness during reading.</w:t>
            </w:r>
          </w:p>
        </w:tc>
      </w:tr>
      <w:tr w:rsidR="00DE3B35" w:rsidRPr="00DE3B35" w14:paraId="0A5750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989A2" w14:textId="77777777" w:rsidR="00DE3B35" w:rsidRPr="00DE3B35" w:rsidRDefault="00DE3B35" w:rsidP="00DE3B35">
            <w:r w:rsidRPr="00DE3B35">
              <w:rPr>
                <w:b/>
                <w:bCs/>
              </w:rPr>
              <w:t>Rule 003: Visual Access vs. Comprehension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1C266" w14:textId="77777777" w:rsidR="00DE3B35" w:rsidRPr="00DE3B35" w:rsidRDefault="00DE3B35" w:rsidP="00DE3B35">
            <w:r w:rsidRPr="00DE3B35">
              <w:t>Strongly Established. Information present in the visual field does not guarantee attentional processing or working memory encoding.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BA5E2" w14:textId="77777777" w:rsidR="00DE3B35" w:rsidRPr="00DE3B35" w:rsidRDefault="00DE3B35" w:rsidP="00DE3B35">
            <w:r w:rsidRPr="00DE3B35">
              <w:rPr>
                <w:b/>
                <w:bCs/>
              </w:rPr>
              <w:t>Low Risk.</w:t>
            </w:r>
            <w:r w:rsidRPr="00DE3B35">
              <w:t xml:space="preserve"> Conceptually sound and operationally highly useful for professionals.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7BF6B" w14:textId="77777777" w:rsidR="00DE3B35" w:rsidRPr="00DE3B35" w:rsidRDefault="00DE3B35" w:rsidP="00DE3B35">
            <w:r w:rsidRPr="00DE3B35">
              <w:rPr>
                <w:b/>
                <w:bCs/>
              </w:rPr>
              <w:t>Remain.</w:t>
            </w:r>
            <w:r w:rsidRPr="00DE3B35">
              <w:t xml:space="preserve"> Shift the narrative emphasis slightly to highlight the bottleneck of selective attention, reinforcing that seeing is not understanding.</w:t>
            </w:r>
          </w:p>
        </w:tc>
      </w:tr>
      <w:tr w:rsidR="00DE3B35" w:rsidRPr="00DE3B35" w14:paraId="5892C9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8162A" w14:textId="77777777" w:rsidR="00DE3B35" w:rsidRPr="00DE3B35" w:rsidRDefault="00DE3B35" w:rsidP="00DE3B35">
            <w:r w:rsidRPr="00DE3B35">
              <w:rPr>
                <w:b/>
                <w:bCs/>
              </w:rPr>
              <w:t>Rule 004: Ability vs. Cognitive Efficiency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73706" w14:textId="77777777" w:rsidR="00DE3B35" w:rsidRPr="00DE3B35" w:rsidRDefault="00DE3B35" w:rsidP="00DE3B35">
            <w:r w:rsidRPr="00DE3B35">
              <w:t>Strongly Established. Rooted directly in Cognitive Load Theory's distinction between capability and resource depletion.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6E55B" w14:textId="77777777" w:rsidR="00DE3B35" w:rsidRPr="00DE3B35" w:rsidRDefault="00DE3B35" w:rsidP="00DE3B35">
            <w:r w:rsidRPr="00DE3B35">
              <w:rPr>
                <w:b/>
                <w:bCs/>
              </w:rPr>
              <w:t>Moderate Credibility Risk.</w:t>
            </w:r>
            <w:r w:rsidRPr="00DE3B35">
              <w:t xml:space="preserve"> The use of "Cognitive Friction" as an unclarified metric sounds pseudoscientific if presented as a standardized </w:t>
            </w:r>
            <w:r w:rsidRPr="00DE3B35">
              <w:lastRenderedPageBreak/>
              <w:t>neurological measurement.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9976C" w14:textId="77777777" w:rsidR="00DE3B35" w:rsidRPr="00DE3B35" w:rsidRDefault="00DE3B35" w:rsidP="00DE3B35">
            <w:r w:rsidRPr="00DE3B35">
              <w:rPr>
                <w:b/>
                <w:bCs/>
              </w:rPr>
              <w:lastRenderedPageBreak/>
              <w:t>Qualify.</w:t>
            </w:r>
            <w:r w:rsidRPr="00DE3B35">
              <w:t xml:space="preserve"> Explicitly define "Cognitive Friction" as a framework-specific operational term representing </w:t>
            </w:r>
            <w:r w:rsidRPr="00DE3B35">
              <w:rPr>
                <w:i/>
                <w:iCs/>
              </w:rPr>
              <w:t>Extraneous Cognitive Load</w:t>
            </w:r>
            <w:r w:rsidRPr="00DE3B35">
              <w:t>.</w:t>
            </w:r>
          </w:p>
        </w:tc>
      </w:tr>
      <w:tr w:rsidR="00DE3B35" w:rsidRPr="00DE3B35" w14:paraId="7C8CB5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6CD44" w14:textId="77777777" w:rsidR="00DE3B35" w:rsidRPr="00DE3B35" w:rsidRDefault="00DE3B35" w:rsidP="00DE3B35">
            <w:r w:rsidRPr="00DE3B35">
              <w:rPr>
                <w:b/>
                <w:bCs/>
              </w:rPr>
              <w:t>Rules 005 &amp; 006: Environmental Adaptation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D5443" w14:textId="77777777" w:rsidR="00DE3B35" w:rsidRPr="00DE3B35" w:rsidRDefault="00DE3B35" w:rsidP="00DE3B35">
            <w:r w:rsidRPr="00DE3B35">
              <w:t xml:space="preserve">Evidence-Supported Practical Recommendation. Supported by the </w:t>
            </w:r>
            <w:r w:rsidRPr="00DE3B35">
              <w:rPr>
                <w:i/>
                <w:iCs/>
              </w:rPr>
              <w:t>screen inferiority effect</w:t>
            </w:r>
            <w:r w:rsidRPr="00DE3B35">
              <w:t xml:space="preserve"> and human factors engineering.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66EC7" w14:textId="77777777" w:rsidR="00DE3B35" w:rsidRPr="00DE3B35" w:rsidRDefault="00DE3B35" w:rsidP="00DE3B35">
            <w:r w:rsidRPr="00DE3B35">
              <w:rPr>
                <w:b/>
                <w:bCs/>
              </w:rPr>
              <w:t>Low Risk.</w:t>
            </w:r>
            <w:r w:rsidRPr="00DE3B35">
              <w:t xml:space="preserve"> Highly actionable and practical for the client.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47302" w14:textId="77777777" w:rsidR="00DE3B35" w:rsidRPr="00DE3B35" w:rsidRDefault="00DE3B35" w:rsidP="00DE3B35">
            <w:r w:rsidRPr="00DE3B35">
              <w:rPr>
                <w:b/>
                <w:bCs/>
              </w:rPr>
              <w:t>Merge and Move.</w:t>
            </w:r>
            <w:r w:rsidRPr="00DE3B35">
              <w:t xml:space="preserve"> Combine into a single "Operational Procedure" regarding the configuration of physical and digital reading environments.</w:t>
            </w:r>
          </w:p>
        </w:tc>
      </w:tr>
      <w:tr w:rsidR="00DE3B35" w:rsidRPr="00DE3B35" w14:paraId="58405C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6C658" w14:textId="77777777" w:rsidR="00DE3B35" w:rsidRPr="00DE3B35" w:rsidRDefault="00DE3B35" w:rsidP="00DE3B35">
            <w:r w:rsidRPr="00DE3B35">
              <w:rPr>
                <w:b/>
                <w:bCs/>
              </w:rPr>
              <w:t>Rule 007: Read to Understand, Not Finish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3E6BA" w14:textId="77777777" w:rsidR="00DE3B35" w:rsidRPr="00DE3B35" w:rsidRDefault="00DE3B35" w:rsidP="00DE3B35">
            <w:r w:rsidRPr="00DE3B35">
              <w:t>Evidence-Supported Practical Recommendation. Aligns with psychological models of task-dependent reading strategies.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72F5B" w14:textId="77777777" w:rsidR="00DE3B35" w:rsidRPr="00DE3B35" w:rsidRDefault="00DE3B35" w:rsidP="00DE3B35">
            <w:r w:rsidRPr="00DE3B35">
              <w:rPr>
                <w:b/>
                <w:bCs/>
              </w:rPr>
              <w:t>Low Risk.</w:t>
            </w:r>
            <w:r w:rsidRPr="00DE3B35">
              <w:t xml:space="preserve"> Represents sound pedagogical and professional advice.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0A255" w14:textId="77777777" w:rsidR="00DE3B35" w:rsidRPr="00DE3B35" w:rsidRDefault="00DE3B35" w:rsidP="00DE3B35">
            <w:r w:rsidRPr="00DE3B35">
              <w:rPr>
                <w:b/>
                <w:bCs/>
              </w:rPr>
              <w:t>Rename and Move.</w:t>
            </w:r>
            <w:r w:rsidRPr="00DE3B35">
              <w:t xml:space="preserve"> Reclassify as a foundational prerequisite titled "Task-Oriented Strategy."</w:t>
            </w:r>
          </w:p>
        </w:tc>
      </w:tr>
      <w:tr w:rsidR="00DE3B35" w:rsidRPr="00DE3B35" w14:paraId="149A9B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61790" w14:textId="77777777" w:rsidR="00DE3B35" w:rsidRPr="00DE3B35" w:rsidRDefault="00DE3B35" w:rsidP="00DE3B35">
            <w:r w:rsidRPr="00DE3B35">
              <w:rPr>
                <w:b/>
                <w:bCs/>
              </w:rPr>
              <w:t>Rule 008: Professional Standard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2CCFA" w14:textId="77777777" w:rsidR="00DE3B35" w:rsidRPr="00DE3B35" w:rsidRDefault="00DE3B35" w:rsidP="00DE3B35">
            <w:r w:rsidRPr="00DE3B35">
              <w:t>Framework-Specific Interpretation. Represents the synthesis of the author's methodology.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E483E" w14:textId="77777777" w:rsidR="00DE3B35" w:rsidRPr="00DE3B35" w:rsidRDefault="00DE3B35" w:rsidP="00DE3B35">
            <w:r w:rsidRPr="00DE3B35">
              <w:rPr>
                <w:b/>
                <w:bCs/>
              </w:rPr>
              <w:t>Low Risk.</w:t>
            </w:r>
            <w:r w:rsidRPr="00DE3B35">
              <w:t xml:space="preserve"> Serves as a strong philosophical anchor.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65FEB" w14:textId="77777777" w:rsidR="00DE3B35" w:rsidRPr="00DE3B35" w:rsidRDefault="00DE3B35" w:rsidP="00DE3B35">
            <w:r w:rsidRPr="00DE3B35">
              <w:rPr>
                <w:b/>
                <w:bCs/>
              </w:rPr>
              <w:t>Move.</w:t>
            </w:r>
            <w:r w:rsidRPr="00DE3B35">
              <w:t xml:space="preserve"> Elevate from a numbered rule to the overarching objective or thesis statement of the entire framework.</w:t>
            </w:r>
          </w:p>
        </w:tc>
      </w:tr>
    </w:tbl>
    <w:p w14:paraId="0A54205C" w14:textId="77777777" w:rsidR="00DE3B35" w:rsidRPr="00DE3B35" w:rsidRDefault="00DE3B35" w:rsidP="00DE3B35">
      <w:pPr>
        <w:rPr>
          <w:b/>
          <w:bCs/>
        </w:rPr>
      </w:pPr>
      <w:r w:rsidRPr="00DE3B35">
        <w:rPr>
          <w:b/>
          <w:bCs/>
        </w:rPr>
        <w:t>4. Terminology Audit</w:t>
      </w:r>
    </w:p>
    <w:p w14:paraId="586A2656" w14:textId="77777777" w:rsidR="00DE3B35" w:rsidRPr="00DE3B35" w:rsidRDefault="00DE3B35" w:rsidP="00DE3B35">
      <w:r w:rsidRPr="00DE3B35">
        <w:lastRenderedPageBreak/>
        <w:t>To ensure the framework is professionally defensible and resistant to scrutiny from technical audiences, the terminology must strictly align with established literature in cognitive psychology, vision science, and human factors. Utilizing approximate, colloquial, or borrowed terminology risks alienating sophisticated corporate clients and diluting the framework's intellectual rigor.</w:t>
      </w:r>
    </w:p>
    <w:p w14:paraId="7B4DA4EE" w14:textId="77777777" w:rsidR="00DE3B35" w:rsidRPr="00DE3B35" w:rsidRDefault="00DE3B35" w:rsidP="00DE3B35">
      <w:pPr>
        <w:numPr>
          <w:ilvl w:val="0"/>
          <w:numId w:val="1"/>
        </w:numPr>
      </w:pPr>
      <w:r w:rsidRPr="00DE3B35">
        <w:rPr>
          <w:b/>
          <w:bCs/>
        </w:rPr>
        <w:t>Cognitive Load:</w:t>
      </w:r>
      <w:r w:rsidRPr="00DE3B35">
        <w:t xml:space="preserve"> This term is scientifically valid and stems directly from Cognitive Load Theory (CLT), pioneered by John Sweller in the 1980s. However, the current draft of the PDRF uses it somewhat generically to mean "mental strain." In the final version, the framework must explicitly distinguish between the types of load. It must differentiate </w:t>
      </w:r>
      <w:r w:rsidRPr="00DE3B35">
        <w:rPr>
          <w:i/>
          <w:iCs/>
        </w:rPr>
        <w:t>Intrinsic Load</w:t>
      </w:r>
      <w:r w:rsidRPr="00DE3B35">
        <w:t xml:space="preserve"> (the inherent, unavoidable complexity of the subject matter) from </w:t>
      </w:r>
      <w:r w:rsidRPr="00DE3B35">
        <w:rPr>
          <w:i/>
          <w:iCs/>
        </w:rPr>
        <w:t>Extraneous Load</w:t>
      </w:r>
      <w:r w:rsidRPr="00DE3B35">
        <w:t xml:space="preserve"> (the unnecessary effort imposed by poor document design, convoluted syntax, or a suboptimal reading environment). The framework's entire value proposition rests on reducing extraneous load so that working memory can be devoted to intrinsic load.</w:t>
      </w:r>
    </w:p>
    <w:p w14:paraId="6CBD29AE" w14:textId="77777777" w:rsidR="00DE3B35" w:rsidRPr="00DE3B35" w:rsidRDefault="00DE3B35" w:rsidP="00DE3B35">
      <w:pPr>
        <w:numPr>
          <w:ilvl w:val="0"/>
          <w:numId w:val="1"/>
        </w:numPr>
      </w:pPr>
      <w:r w:rsidRPr="00DE3B35">
        <w:rPr>
          <w:b/>
          <w:bCs/>
        </w:rPr>
        <w:t>Cognitive Efficiency:</w:t>
      </w:r>
      <w:r w:rsidRPr="00DE3B35">
        <w:t xml:space="preserve"> This is a scientifically sound and professionally resonant concept. It accurately represents the optimization of working memory resources, achieved by minimizing extraneous load to maximize actual comprehension and learning. The term is safe to use and should feature prominently.</w:t>
      </w:r>
    </w:p>
    <w:p w14:paraId="2FF4F5B8" w14:textId="77777777" w:rsidR="00DE3B35" w:rsidRPr="00DE3B35" w:rsidRDefault="00DE3B35" w:rsidP="00DE3B35">
      <w:pPr>
        <w:numPr>
          <w:ilvl w:val="0"/>
          <w:numId w:val="1"/>
        </w:numPr>
      </w:pPr>
      <w:r w:rsidRPr="00DE3B35">
        <w:rPr>
          <w:b/>
          <w:bCs/>
        </w:rPr>
        <w:t>Working Memory:</w:t>
      </w:r>
      <w:r w:rsidRPr="00DE3B35">
        <w:t xml:space="preserve"> This term is scientifically valid and indispensable. The framework must accurately reflect the consensus in cognitive architecture that working memory is strictly limited in both capacity (historically quantified as a very small number of novel informational chunks) and duration. It is the primary biological bottleneck in human information processing and the reason document design matters.</w:t>
      </w:r>
    </w:p>
    <w:p w14:paraId="638350E9" w14:textId="77777777" w:rsidR="00DE3B35" w:rsidRPr="00DE3B35" w:rsidRDefault="00DE3B35" w:rsidP="00DE3B35">
      <w:pPr>
        <w:numPr>
          <w:ilvl w:val="0"/>
          <w:numId w:val="1"/>
        </w:numPr>
      </w:pPr>
      <w:r w:rsidRPr="00DE3B35">
        <w:rPr>
          <w:b/>
          <w:bCs/>
        </w:rPr>
        <w:t>Attention:</w:t>
      </w:r>
      <w:r w:rsidRPr="00DE3B35">
        <w:t xml:space="preserve"> While biologically valid, the term is currently used too broadly. The final framework should specify </w:t>
      </w:r>
      <w:r w:rsidRPr="00DE3B35">
        <w:rPr>
          <w:i/>
          <w:iCs/>
        </w:rPr>
        <w:t>selective attention</w:t>
      </w:r>
      <w:r w:rsidRPr="00DE3B35">
        <w:t xml:space="preserve"> (the ability to focus on specific document targets while filtering out visual noise) and </w:t>
      </w:r>
      <w:r w:rsidRPr="00DE3B35">
        <w:rPr>
          <w:i/>
          <w:iCs/>
        </w:rPr>
        <w:t>sustained attention</w:t>
      </w:r>
      <w:r w:rsidRPr="00DE3B35">
        <w:t xml:space="preserve"> (the ability to maintain executive focus over extended periods, which depletes cognitive resources over time).</w:t>
      </w:r>
    </w:p>
    <w:p w14:paraId="3FC3D5E8" w14:textId="77777777" w:rsidR="00DE3B35" w:rsidRPr="00DE3B35" w:rsidRDefault="00DE3B35" w:rsidP="00DE3B35">
      <w:pPr>
        <w:numPr>
          <w:ilvl w:val="0"/>
          <w:numId w:val="1"/>
        </w:numPr>
      </w:pPr>
      <w:r w:rsidRPr="00DE3B35">
        <w:rPr>
          <w:b/>
          <w:bCs/>
        </w:rPr>
        <w:t>Visual Access:</w:t>
      </w:r>
      <w:r w:rsidRPr="00DE3B35">
        <w:t xml:space="preserve"> This functions exceptionally well as a framework-specific operational definition. It cleanly distinguishes the mere physical visibility of a stimulus from the cognitive processing of that stimulus, setting up the transition into deeper comprehension principles.</w:t>
      </w:r>
    </w:p>
    <w:p w14:paraId="56F20843" w14:textId="77777777" w:rsidR="00DE3B35" w:rsidRPr="00DE3B35" w:rsidRDefault="00DE3B35" w:rsidP="00DE3B35">
      <w:pPr>
        <w:numPr>
          <w:ilvl w:val="0"/>
          <w:numId w:val="1"/>
        </w:numPr>
      </w:pPr>
      <w:r w:rsidRPr="00DE3B35">
        <w:rPr>
          <w:b/>
          <w:bCs/>
        </w:rPr>
        <w:t>Comprehension:</w:t>
      </w:r>
      <w:r w:rsidRPr="00DE3B35">
        <w:t xml:space="preserve"> This term is scientifically valid, but the framework should avoid treating it as a binary state (i.e., merely "understood" or "not understood"). Cognitive psychology treats comprehension as a multi-layered spectrum involving lexical access, the construction of a textbase, and the formation of a deep situational model.</w:t>
      </w:r>
    </w:p>
    <w:p w14:paraId="1E33CA28" w14:textId="77777777" w:rsidR="00DE3B35" w:rsidRPr="00DE3B35" w:rsidRDefault="00DE3B35" w:rsidP="00DE3B35">
      <w:pPr>
        <w:numPr>
          <w:ilvl w:val="0"/>
          <w:numId w:val="1"/>
        </w:numPr>
      </w:pPr>
      <w:r w:rsidRPr="00DE3B35">
        <w:rPr>
          <w:b/>
          <w:bCs/>
        </w:rPr>
        <w:lastRenderedPageBreak/>
        <w:t>Cognitive Friction:</w:t>
      </w:r>
      <w:r w:rsidRPr="00DE3B35">
        <w:t xml:space="preserve"> This term poses a high credibility risk. "Cognitive friction" does not have an established, standardized mathematical meaning in mainstream cognitive psychology; it is an operational term largely borrowed from Human-Computer Interaction (HCI) and User Experience (UX) design to describe interface resistance. To avoid appearing pseudoscientific, the final document must explicitly define this term in the introduction as a </w:t>
      </w:r>
      <w:r w:rsidRPr="00DE3B35">
        <w:rPr>
          <w:i/>
          <w:iCs/>
        </w:rPr>
        <w:t>framework-specific operational heuristic</w:t>
      </w:r>
      <w:r w:rsidRPr="00DE3B35">
        <w:t xml:space="preserve"> representing Extraneous Cognitive Load within the context of document layout. It must not be presented as a metric that the service can neurologically measure.</w:t>
      </w:r>
    </w:p>
    <w:p w14:paraId="43DF35E0" w14:textId="77777777" w:rsidR="00DE3B35" w:rsidRPr="00DE3B35" w:rsidRDefault="00DE3B35" w:rsidP="00DE3B35">
      <w:pPr>
        <w:numPr>
          <w:ilvl w:val="0"/>
          <w:numId w:val="1"/>
        </w:numPr>
      </w:pPr>
      <w:r w:rsidRPr="00DE3B35">
        <w:rPr>
          <w:b/>
          <w:bCs/>
        </w:rPr>
        <w:t>Visual Processing:</w:t>
      </w:r>
      <w:r w:rsidRPr="00DE3B35">
        <w:t xml:space="preserve"> This is scientifically valid. The references to saccades (rapid eye movements), fixations (pauses to extract visual data), and the perceptual span align perfectly with decades of exhaustive vision science research by Keith Rayner and his contemporaries.</w:t>
      </w:r>
    </w:p>
    <w:p w14:paraId="6522A7F1" w14:textId="77777777" w:rsidR="00DE3B35" w:rsidRPr="00DE3B35" w:rsidRDefault="00DE3B35" w:rsidP="00DE3B35">
      <w:pPr>
        <w:numPr>
          <w:ilvl w:val="0"/>
          <w:numId w:val="1"/>
        </w:numPr>
      </w:pPr>
      <w:r w:rsidRPr="00DE3B35">
        <w:rPr>
          <w:b/>
          <w:bCs/>
        </w:rPr>
        <w:t>Professional Reading:</w:t>
      </w:r>
      <w:r w:rsidRPr="00DE3B35">
        <w:t xml:space="preserve"> This is a framework-specific construct. It is safe and effective to use, provided it is clearly defined as the methodology's target behavioral standard rather than a universally recognized scientific classification.</w:t>
      </w:r>
    </w:p>
    <w:p w14:paraId="7D91B305" w14:textId="77777777" w:rsidR="00DE3B35" w:rsidRPr="00DE3B35" w:rsidRDefault="00DE3B35" w:rsidP="00DE3B35">
      <w:pPr>
        <w:rPr>
          <w:b/>
          <w:bCs/>
        </w:rPr>
      </w:pPr>
      <w:r w:rsidRPr="00DE3B35">
        <w:rPr>
          <w:b/>
          <w:bCs/>
        </w:rPr>
        <w:t>5. Scientific Evidence Classification</w:t>
      </w:r>
    </w:p>
    <w:p w14:paraId="598DCB4A" w14:textId="77777777" w:rsidR="00DE3B35" w:rsidRPr="00DE3B35" w:rsidRDefault="00DE3B35" w:rsidP="00DE3B35">
      <w:r w:rsidRPr="00DE3B35">
        <w:t>For complete intellectual honesty and to defend against potential challenges from knowledgeable readers, every major claim in the client-facing document must map to a specific classification of evidence. The final architecture should clearly distinguish what science has definitively proven, what depends on context, and what the PDRF simply recommends as a best practice.</w:t>
      </w:r>
    </w:p>
    <w:p w14:paraId="2FBCB51E" w14:textId="77777777" w:rsidR="00DE3B35" w:rsidRPr="00DE3B35" w:rsidRDefault="00DE3B35" w:rsidP="00DE3B35">
      <w:pPr>
        <w:rPr>
          <w:b/>
          <w:bCs/>
        </w:rPr>
      </w:pPr>
      <w:r w:rsidRPr="00DE3B35">
        <w:rPr>
          <w:b/>
          <w:bCs/>
        </w:rPr>
        <w:t>Strongly Established Scientific Findings</w:t>
      </w:r>
    </w:p>
    <w:p w14:paraId="757D1491" w14:textId="77777777" w:rsidR="00DE3B35" w:rsidRPr="00DE3B35" w:rsidRDefault="00DE3B35" w:rsidP="00DE3B35">
      <w:r w:rsidRPr="00DE3B35">
        <w:t>These represent biological and psychological realities that are universally accepted in the scientific community. They require no qualification and form the bedrock of the framework. The strict limitation of working memory is an incontrovertible fact of cognitive architecture. The human brain can only hold and process a severely limited number of novel elements simultaneously, making it highly susceptible to overload when presented with unstructured information. Furthermore, the mechanics of reading are overwhelmingly driven by automated visual routines. Reading relies on rapid, subconscious eye movements—saccades and fixations—that are highly sensitive to visual formatting and typographical layout. If a document is poorly structured, these automated systems break down, draining energy.</w:t>
      </w:r>
    </w:p>
    <w:p w14:paraId="5A8AE241" w14:textId="77777777" w:rsidR="00DE3B35" w:rsidRPr="00DE3B35" w:rsidRDefault="00DE3B35" w:rsidP="00DE3B35">
      <w:r w:rsidRPr="00DE3B35">
        <w:t xml:space="preserve">Equally established is the phenomenon of </w:t>
      </w:r>
      <w:r w:rsidRPr="00DE3B35">
        <w:rPr>
          <w:i/>
          <w:iCs/>
        </w:rPr>
        <w:t>Inattentional Blindness</w:t>
      </w:r>
      <w:r w:rsidRPr="00DE3B35">
        <w:t xml:space="preserve">, extensively researched by Mack and Rock (1998). Their studies prove that visual exposure to a stimulus does not guarantee conscious perception or cognitive processing if selective attention is deployed elsewhere or overwhelmed. Simply putting data on a page does not mean the brain will see it. </w:t>
      </w:r>
      <w:r w:rsidRPr="00DE3B35">
        <w:lastRenderedPageBreak/>
        <w:t xml:space="preserve">Finally, the </w:t>
      </w:r>
      <w:r w:rsidRPr="00DE3B35">
        <w:rPr>
          <w:i/>
          <w:iCs/>
        </w:rPr>
        <w:t>Expertise Reversal Effect</w:t>
      </w:r>
      <w:r w:rsidRPr="00DE3B35">
        <w:t xml:space="preserve"> is a robust finding within Cognitive Load Theory demonstrating that prior domain knowledge fundamentally alters how a document is processed. Structural aids, redundant explanations, and heavy formatting that assist novices can actually overwhelm the working memory of subject-matter experts, proving that reading strategy must adapt to the reader's baseline knowledge.</w:t>
      </w:r>
    </w:p>
    <w:p w14:paraId="1D16C0E4" w14:textId="77777777" w:rsidR="00DE3B35" w:rsidRPr="00DE3B35" w:rsidRDefault="00DE3B35" w:rsidP="00DE3B35">
      <w:pPr>
        <w:rPr>
          <w:b/>
          <w:bCs/>
        </w:rPr>
      </w:pPr>
      <w:r w:rsidRPr="00DE3B35">
        <w:rPr>
          <w:b/>
          <w:bCs/>
        </w:rPr>
        <w:t>Well-Supported but Context-Dependent Findings</w:t>
      </w:r>
    </w:p>
    <w:p w14:paraId="0CF2A62D" w14:textId="77777777" w:rsidR="00DE3B35" w:rsidRPr="00DE3B35" w:rsidRDefault="00DE3B35" w:rsidP="00DE3B35">
      <w:r w:rsidRPr="00DE3B35">
        <w:t xml:space="preserve">Certain phenomena are heavily supported by data but fluctuate based on the specific reading environment or task. The </w:t>
      </w:r>
      <w:r w:rsidRPr="00DE3B35">
        <w:rPr>
          <w:i/>
          <w:iCs/>
        </w:rPr>
        <w:t>Screen Inferiority Effect</w:t>
      </w:r>
      <w:r w:rsidRPr="00DE3B35">
        <w:t xml:space="preserve"> is a well-documented phenomenon showing that reading complex, expository texts on digital screens yields slightly lower comprehension and poorer metacognitive accuracy than reading the same text on printed paper. However, this effect is highly context-dependent; meta-analyses reveal that the digital penalty largely disappears when readers are consuming simple narrative fiction or when they are not under strict time pressure.</w:t>
      </w:r>
    </w:p>
    <w:p w14:paraId="53DDBA6D" w14:textId="77777777" w:rsidR="00DE3B35" w:rsidRPr="00DE3B35" w:rsidRDefault="00DE3B35" w:rsidP="00DE3B35">
      <w:r w:rsidRPr="00DE3B35">
        <w:t xml:space="preserve">Similarly, the </w:t>
      </w:r>
      <w:r w:rsidRPr="00DE3B35">
        <w:rPr>
          <w:i/>
          <w:iCs/>
        </w:rPr>
        <w:t>Illusion of Knowing</w:t>
      </w:r>
      <w:r w:rsidRPr="00DE3B35">
        <w:t>, or metacognitive failure, demonstrates that readers frequently suffer from a fluency heuristic. When a text is visually easy to read or syntactically simple, readers falsely assume they have deeply comprehended the underlying abstract concepts, leading to high confidence but low actual comprehension. This proves that a reader's subjective feeling of understanding is often completely miscalibrated from their empirical performance.</w:t>
      </w:r>
    </w:p>
    <w:p w14:paraId="7C45DCA2" w14:textId="77777777" w:rsidR="00DE3B35" w:rsidRPr="00DE3B35" w:rsidRDefault="00DE3B35" w:rsidP="00DE3B35">
      <w:pPr>
        <w:rPr>
          <w:b/>
          <w:bCs/>
        </w:rPr>
      </w:pPr>
      <w:r w:rsidRPr="00DE3B35">
        <w:rPr>
          <w:b/>
          <w:bCs/>
        </w:rPr>
        <w:t>Evidence-Supported Practical Recommendations</w:t>
      </w:r>
    </w:p>
    <w:p w14:paraId="1F2E286B" w14:textId="77777777" w:rsidR="00DE3B35" w:rsidRPr="00DE3B35" w:rsidRDefault="00DE3B35" w:rsidP="00DE3B35">
      <w:r w:rsidRPr="00DE3B35">
        <w:t>These are operational actions the client can take that are supported by ergonomics and cognitive science, even if they are not rigid biological laws. Environmental optimization—such as consciously adjusting screen zoom levels, altering contrast, managing ambient lighting, and selecting the appropriate medium (digital versus print) based on the document's density—serves to reduce baseline visual strain and lower extraneous cognitive load. Furthermore, cognitive offloading—the act of using external tools like structured notes, highlighters, or mapping software to bypass internal working memory limitations—is a highly supported strategy for managing complex cognitive tasks.</w:t>
      </w:r>
    </w:p>
    <w:p w14:paraId="48D14432" w14:textId="77777777" w:rsidR="00DE3B35" w:rsidRPr="00DE3B35" w:rsidRDefault="00DE3B35" w:rsidP="00DE3B35">
      <w:pPr>
        <w:rPr>
          <w:b/>
          <w:bCs/>
        </w:rPr>
      </w:pPr>
      <w:r w:rsidRPr="00DE3B35">
        <w:rPr>
          <w:b/>
          <w:bCs/>
        </w:rPr>
        <w:t>Framework-Specific Interpretations</w:t>
      </w:r>
    </w:p>
    <w:p w14:paraId="1F321C44" w14:textId="77777777" w:rsidR="00DE3B35" w:rsidRPr="00DE3B35" w:rsidRDefault="00DE3B35" w:rsidP="00DE3B35">
      <w:r w:rsidRPr="00DE3B35">
        <w:t>The term "Cognitive Friction," used to describe document-induced extraneous cognitive load, and the concept of the "Professional Reading Standard," which elevates reading from passive consumption to active, metacognitively regulated document interaction, belong entirely to the PDRF. They organize the scientific findings into a proprietary, actionable methodology.</w:t>
      </w:r>
    </w:p>
    <w:p w14:paraId="607317F8" w14:textId="77777777" w:rsidR="00DE3B35" w:rsidRPr="00DE3B35" w:rsidRDefault="00DE3B35" w:rsidP="00DE3B35">
      <w:pPr>
        <w:rPr>
          <w:b/>
          <w:bCs/>
        </w:rPr>
      </w:pPr>
      <w:r w:rsidRPr="00DE3B35">
        <w:rPr>
          <w:b/>
          <w:bCs/>
        </w:rPr>
        <w:t>6. Evaluation of Current Rules and the Previous Scientific Audit</w:t>
      </w:r>
    </w:p>
    <w:p w14:paraId="3A6B78EF" w14:textId="77777777" w:rsidR="00DE3B35" w:rsidRPr="00DE3B35" w:rsidRDefault="00DE3B35" w:rsidP="00DE3B35">
      <w:r w:rsidRPr="00DE3B35">
        <w:lastRenderedPageBreak/>
        <w:t>The previous scientific audit provided an essential critique, correctly identifying that the PDRF must incorporate concepts like working memory limitations, attention bottlenecks, and metacognitive calibration. However, the previous audit itself leaned heavily into academic theorizing, occasionally prescribing concepts that are overly technical for an ordinary corporate client. For instance, delving deeply into the mechanics of "schema construction" in long-term memory is vital for educational psychologists but unnecessary for a business professional trying to read a contract efficiently. The final client-facing framework must extract the practical utility of these cognitive concepts without bogging the client down in academic minutiae.</w:t>
      </w:r>
    </w:p>
    <w:p w14:paraId="480B3B9F" w14:textId="77777777" w:rsidR="00DE3B35" w:rsidRPr="00DE3B35" w:rsidRDefault="00DE3B35" w:rsidP="00DE3B35">
      <w:r w:rsidRPr="00DE3B35">
        <w:t>The current "8 Rules" structure utilizes a flat hierarchy that artificially treats strict biological constraints, psychological theories, and physical desk setups as mathematically equivalent rules. This flat structure fails pedagogical logic. The material must be reorganized into a layered architecture.</w:t>
      </w:r>
    </w:p>
    <w:p w14:paraId="71FB1195" w14:textId="77777777" w:rsidR="00DE3B35" w:rsidRPr="00DE3B35" w:rsidRDefault="00DE3B35" w:rsidP="00DE3B35">
      <w:r w:rsidRPr="00DE3B35">
        <w:t xml:space="preserve">Rule 001, which posits that cognitive load is not directly reported, must be renamed and modified. It should transition from the imprecise concept of "not directly reported" to the established psychological concept of the </w:t>
      </w:r>
      <w:r w:rsidRPr="00DE3B35">
        <w:rPr>
          <w:i/>
          <w:iCs/>
        </w:rPr>
        <w:t>Illusion of Knowing</w:t>
      </w:r>
      <w:r w:rsidRPr="00DE3B35">
        <w:t xml:space="preserve"> and metacognitive misattribution. Humans do feel effort, but they misattribute it to the subject rather than the document structure. Rule 002, regarding unconscious processing, should be merged with Rule 001 into a unified foundational principle concerning the limits of conscious awareness during reading.</w:t>
      </w:r>
    </w:p>
    <w:p w14:paraId="47DE84A1" w14:textId="77777777" w:rsidR="00DE3B35" w:rsidRPr="00DE3B35" w:rsidRDefault="00DE3B35" w:rsidP="00DE3B35">
      <w:r w:rsidRPr="00DE3B35">
        <w:t xml:space="preserve">Rule 003, distinguishing visual access from comprehension, is highly effective and should remain, but it must explicitly utilize the concepts of selective attention and inattentional blindness. Rule 004, distinguishing ability from efficiency, must also remain, but it requires the formalization of "Cognitive Friction" as an operational term for extraneous load. Rules 005 and 006, which deal with establishing and experimenting with the reading environment, are behavioral actions, not cognitive laws. They should be merged and reclassified as an </w:t>
      </w:r>
      <w:r w:rsidRPr="00DE3B35">
        <w:rPr>
          <w:i/>
          <w:iCs/>
        </w:rPr>
        <w:t>Operational Procedure</w:t>
      </w:r>
      <w:r w:rsidRPr="00DE3B35">
        <w:t>. Rule 007, which advises reading to understand rather than simply to finish, is excellent pedagogical advice but belongs at the very beginning as a foundational prerequisite titled "Task-Oriented Strategy." Finally, Rule 008, the Professional Standard, should be removed from the sequential rules entirely and elevated to the apex objective of the entire framework.</w:t>
      </w:r>
    </w:p>
    <w:p w14:paraId="3E92E5F0" w14:textId="77777777" w:rsidR="00DE3B35" w:rsidRPr="00DE3B35" w:rsidRDefault="00DE3B35" w:rsidP="00DE3B35">
      <w:r w:rsidRPr="00DE3B35">
        <w:t xml:space="preserve">Crucially, the "White Paper Test Theory" must be removed. As noted in the terminology audit, referring to the failure to notice unexpected visual stimuli as a "White Paper Test" conflates cognitive psychology with cosmetic color analysis. The phenomenon being described is </w:t>
      </w:r>
      <w:r w:rsidRPr="00DE3B35">
        <w:rPr>
          <w:i/>
          <w:iCs/>
        </w:rPr>
        <w:t>Inattentional Blindness</w:t>
      </w:r>
      <w:r w:rsidRPr="00DE3B35">
        <w:t>, and it must be titled as such to maintain credibility.</w:t>
      </w:r>
    </w:p>
    <w:p w14:paraId="248BECAD" w14:textId="77777777" w:rsidR="00DE3B35" w:rsidRPr="00DE3B35" w:rsidRDefault="00DE3B35" w:rsidP="00DE3B35">
      <w:pPr>
        <w:rPr>
          <w:b/>
          <w:bCs/>
        </w:rPr>
      </w:pPr>
      <w:r w:rsidRPr="00DE3B35">
        <w:rPr>
          <w:b/>
          <w:bCs/>
        </w:rPr>
        <w:t>7. Integration of New Principles</w:t>
      </w:r>
    </w:p>
    <w:p w14:paraId="27035D13" w14:textId="77777777" w:rsidR="00DE3B35" w:rsidRPr="00DE3B35" w:rsidRDefault="00DE3B35" w:rsidP="00DE3B35">
      <w:r w:rsidRPr="00DE3B35">
        <w:lastRenderedPageBreak/>
        <w:t>To ensure the framework is scientifically exhaustive and addresses the dynamic nature of professional reading, specific new principles must be integrated into the final architecture.</w:t>
      </w:r>
    </w:p>
    <w:p w14:paraId="47166C88" w14:textId="77777777" w:rsidR="00DE3B35" w:rsidRPr="00DE3B35" w:rsidRDefault="00DE3B35" w:rsidP="00DE3B35">
      <w:r w:rsidRPr="00DE3B35">
        <w:t xml:space="preserve">The first addition must be the </w:t>
      </w:r>
      <w:r w:rsidRPr="00DE3B35">
        <w:rPr>
          <w:i/>
          <w:iCs/>
        </w:rPr>
        <w:t>Expertise Reversal Effect</w:t>
      </w:r>
      <w:r w:rsidRPr="00DE3B35">
        <w:t>. Established extensively in cognitive load research by Kalyuga and colleagues, this effect demonstrates that instructional structures, redundant text, and integrated diagrams that heavily assist novices actually increase cognitive load and hinder the performance of domain experts. The framework currently treats all readers as blank slates facing a static text. By adding this principle, the framework teaches clients that prior domain knowledge radically alters how a document should be processed. An expert must navigate a document differently than a novice to prevent unnecessary cognitive friction.</w:t>
      </w:r>
    </w:p>
    <w:p w14:paraId="424E73F3" w14:textId="77777777" w:rsidR="00DE3B35" w:rsidRPr="00DE3B35" w:rsidRDefault="00DE3B35" w:rsidP="00DE3B35">
      <w:r w:rsidRPr="00DE3B35">
        <w:t xml:space="preserve">The second addition must address the </w:t>
      </w:r>
      <w:r w:rsidRPr="00DE3B35">
        <w:rPr>
          <w:i/>
          <w:iCs/>
        </w:rPr>
        <w:t>Illusion of Knowing</w:t>
      </w:r>
      <w:r w:rsidRPr="00DE3B35">
        <w:t xml:space="preserve"> and metacognitive calibration. Metacognitive monitoring is the mechanism by which individuals assess their own comprehension. Literature establishes that humans are notoriously poor at this, suffering from fluency heuristics where they equate the physical ease of reading a text with deep semantic understanding. The framework must incorporate the necessity of actively verifying comprehension to prevent the professional from making confident errors based on a false feeling of knowing.</w:t>
      </w:r>
    </w:p>
    <w:p w14:paraId="56C3033F" w14:textId="77777777" w:rsidR="00DE3B35" w:rsidRPr="00DE3B35" w:rsidRDefault="00DE3B35" w:rsidP="00DE3B35">
      <w:r w:rsidRPr="00DE3B35">
        <w:t xml:space="preserve">The third addition is </w:t>
      </w:r>
      <w:r w:rsidRPr="00DE3B35">
        <w:rPr>
          <w:i/>
          <w:iCs/>
        </w:rPr>
        <w:t>Cognitive Offloading</w:t>
      </w:r>
      <w:r w:rsidRPr="00DE3B35">
        <w:t>. Given the severe limitations of short-term working memory, the professional reading of complex, multi-variable documents quickly overwhelms internal cognitive capacity. The framework must incorporate cognitive offloading—using physical action to alter information processing requirements, such as structured note-taking or using external mapping software—not as optional study aids, but as required professional tools necessary to expand processing capacity.</w:t>
      </w:r>
    </w:p>
    <w:p w14:paraId="12607D27" w14:textId="77777777" w:rsidR="00DE3B35" w:rsidRPr="00DE3B35" w:rsidRDefault="00DE3B35" w:rsidP="00DE3B35">
      <w:pPr>
        <w:rPr>
          <w:b/>
          <w:bCs/>
        </w:rPr>
      </w:pPr>
      <w:r w:rsidRPr="00DE3B35">
        <w:rPr>
          <w:b/>
          <w:bCs/>
        </w:rPr>
        <w:t>8. Recommended Final Architecture for the Client Education Document</w:t>
      </w:r>
    </w:p>
    <w:p w14:paraId="1AADFEE9" w14:textId="77777777" w:rsidR="00DE3B35" w:rsidRPr="00DE3B35" w:rsidRDefault="00DE3B35" w:rsidP="00DE3B35">
      <w:r w:rsidRPr="00DE3B35">
        <w:t>The flat, sequential list of the original draft must be replaced with a layered, chronological architecture that naturally guides the client from understanding the foundational problem, to recognizing the biological constraints, and finally to executing operational solutions.</w:t>
      </w:r>
    </w:p>
    <w:p w14:paraId="2018FDE6" w14:textId="77777777" w:rsidR="00DE3B35" w:rsidRPr="00DE3B35" w:rsidRDefault="00DE3B35" w:rsidP="00DE3B35">
      <w:r w:rsidRPr="00DE3B35">
        <w:rPr>
          <w:b/>
          <w:bCs/>
        </w:rPr>
        <w:t>Phase I: The Foundation (Purpose and Mindset)</w:t>
      </w:r>
      <w:r w:rsidRPr="00DE3B35">
        <w:t xml:space="preserve"> This section establishes the objective of the framework and sets the parameters for the client. It introduces the </w:t>
      </w:r>
      <w:r w:rsidRPr="00DE3B35">
        <w:rPr>
          <w:i/>
          <w:iCs/>
        </w:rPr>
        <w:t>Professional Reading Standard</w:t>
      </w:r>
      <w:r w:rsidRPr="00DE3B35">
        <w:t xml:space="preserve">, elevating reading from a passive consumption of text to the active management of human cognitive and visual processing. It then introduces the </w:t>
      </w:r>
      <w:r w:rsidRPr="00DE3B35">
        <w:rPr>
          <w:i/>
          <w:iCs/>
        </w:rPr>
        <w:t>Task-Dependent Strategy</w:t>
      </w:r>
      <w:r w:rsidRPr="00DE3B35">
        <w:t xml:space="preserve">, codifying that the explicit purpose of the document dictates the reading strategy, and linearity is not automatically assumed. Finally, it provides the </w:t>
      </w:r>
      <w:r w:rsidRPr="00DE3B35">
        <w:rPr>
          <w:i/>
          <w:iCs/>
        </w:rPr>
        <w:t>Boundary Statement</w:t>
      </w:r>
      <w:r w:rsidRPr="00DE3B35">
        <w:t>, explicitly separating the educational context of the framework from the diagnostic boundaries and the paid professional service.</w:t>
      </w:r>
    </w:p>
    <w:p w14:paraId="79D11E71" w14:textId="77777777" w:rsidR="00DE3B35" w:rsidRPr="00DE3B35" w:rsidRDefault="00DE3B35" w:rsidP="00DE3B35">
      <w:r w:rsidRPr="00DE3B35">
        <w:rPr>
          <w:b/>
          <w:bCs/>
        </w:rPr>
        <w:lastRenderedPageBreak/>
        <w:t>Phase II: The Biological and Cognitive Constraints (The Science)</w:t>
      </w:r>
      <w:r w:rsidRPr="00DE3B35">
        <w:t xml:space="preserve"> This section educates the client on the universal laws of human information processing. It begins with </w:t>
      </w:r>
      <w:r w:rsidRPr="00DE3B35">
        <w:rPr>
          <w:i/>
          <w:iCs/>
        </w:rPr>
        <w:t>The Bottleneck of Attention and Inattentional Blindness</w:t>
      </w:r>
      <w:r w:rsidRPr="00DE3B35">
        <w:t xml:space="preserve">, replacing the flawed "White Paper Test Theory" to explain that visual exposure does not equal cognitive processing. It then introduces </w:t>
      </w:r>
      <w:r w:rsidRPr="00DE3B35">
        <w:rPr>
          <w:i/>
          <w:iCs/>
        </w:rPr>
        <w:t>The Limits of Working Memory and Extraneous Load</w:t>
      </w:r>
      <w:r w:rsidRPr="00DE3B35">
        <w:t xml:space="preserve">, utilizing Cognitive Load Theory to contrast mere decoding ability with true cognitive efficiency. Next, it details </w:t>
      </w:r>
      <w:r w:rsidRPr="00DE3B35">
        <w:rPr>
          <w:i/>
          <w:iCs/>
        </w:rPr>
        <w:t>The Metacognitive Illusion</w:t>
      </w:r>
      <w:r w:rsidRPr="00DE3B35">
        <w:t xml:space="preserve">, addressing the limits of introspection and the danger of the fluency heuristic. It concludes with </w:t>
      </w:r>
      <w:r w:rsidRPr="00DE3B35">
        <w:rPr>
          <w:i/>
          <w:iCs/>
        </w:rPr>
        <w:t>The Expertise Reversal Effect</w:t>
      </w:r>
      <w:r w:rsidRPr="00DE3B35">
        <w:t>, explaining how prior knowledge fundamentally alters necessary document structure.</w:t>
      </w:r>
    </w:p>
    <w:p w14:paraId="6689D69A" w14:textId="77777777" w:rsidR="00DE3B35" w:rsidRPr="00DE3B35" w:rsidRDefault="00DE3B35" w:rsidP="00DE3B35">
      <w:r w:rsidRPr="00DE3B35">
        <w:rPr>
          <w:b/>
          <w:bCs/>
        </w:rPr>
        <w:t>Phase III: Operational Procedures (The Execution)</w:t>
      </w:r>
      <w:r w:rsidRPr="00DE3B35">
        <w:t xml:space="preserve"> This section transitions from theory to actionable client behavior. It outlines </w:t>
      </w:r>
      <w:r w:rsidRPr="00DE3B35">
        <w:rPr>
          <w:i/>
          <w:iCs/>
        </w:rPr>
        <w:t>Environmental and Medium Optimization</w:t>
      </w:r>
      <w:r w:rsidRPr="00DE3B35">
        <w:t xml:space="preserve">, merging the old Rules 005 and 006 to address physical setup and the Screen Inferiority Effect. It then mandates </w:t>
      </w:r>
      <w:r w:rsidRPr="00DE3B35">
        <w:rPr>
          <w:i/>
          <w:iCs/>
        </w:rPr>
        <w:t>Cognitive Offloading</w:t>
      </w:r>
      <w:r w:rsidRPr="00DE3B35">
        <w:t xml:space="preserve">, teaching the client to externalize working memory to handle high element interactivity. Finally, it requires </w:t>
      </w:r>
      <w:r w:rsidRPr="00DE3B35">
        <w:rPr>
          <w:i/>
          <w:iCs/>
        </w:rPr>
        <w:t>Comprehension Verification</w:t>
      </w:r>
      <w:r w:rsidRPr="00DE3B35">
        <w:t>, providing practical steps to actively test understanding during reading to defeat the illusion of fluency.</w:t>
      </w:r>
    </w:p>
    <w:p w14:paraId="50FAAE08" w14:textId="77777777" w:rsidR="00DE3B35" w:rsidRPr="00DE3B35" w:rsidRDefault="00DE3B35" w:rsidP="00DE3B35">
      <w:pPr>
        <w:rPr>
          <w:b/>
          <w:bCs/>
        </w:rPr>
      </w:pPr>
      <w:r w:rsidRPr="00DE3B35">
        <w:rPr>
          <w:b/>
          <w:bCs/>
        </w:rPr>
        <w:t>9. Recommended Disclaimer and Scope Language</w:t>
      </w:r>
    </w:p>
    <w:p w14:paraId="3BF34BD0" w14:textId="77777777" w:rsidR="00DE3B35" w:rsidRPr="00DE3B35" w:rsidRDefault="00DE3B35" w:rsidP="00DE3B35">
      <w:r w:rsidRPr="00DE3B35">
        <w:t>To neutralize liability under consumer protection regulations regarding deficiency in services and misleading claims, the document must feature a precise, highly visible scope statement. This statement protects the service provider from claims of guaranteed performance while managing client expectations.</w:t>
      </w:r>
    </w:p>
    <w:p w14:paraId="7FB03B68" w14:textId="77777777" w:rsidR="00DE3B35" w:rsidRPr="00DE3B35" w:rsidRDefault="00DE3B35" w:rsidP="00DE3B35">
      <w:r w:rsidRPr="00DE3B35">
        <w:rPr>
          <w:i/>
          <w:iCs/>
        </w:rPr>
        <w:t>Recommended Verbiage:</w:t>
      </w:r>
      <w:r w:rsidRPr="00DE3B35">
        <w:t xml:space="preserve"> "The Professional Document Reading Framework (PDRF) is an educational model designed to illustrate how human cognitive limitations interact with document structure and presentation. It is not intended to serve as a medical, psychological, clinical, diagnostic, or therapeutic tool. The concepts presented within this framework—such as cognitive load, selective attention, and working memory—are universally established scientific principles applied here solely for general educational purposes in a professional context. The PDRF does not assess, diagnose, or treat individual neurological or cognitive conditions. Furthermore, the application of these principles does not guarantee complete comprehension, absolute memory retention, or the total elimination of cognitive fatigue. Reading outcomes are highly variable and depend entirely on an individual's prior domain knowledge, the inherent intrinsic complexity of the text, and external environmental factors."</w:t>
      </w:r>
    </w:p>
    <w:p w14:paraId="26E4049C" w14:textId="77777777" w:rsidR="00DE3B35" w:rsidRPr="00DE3B35" w:rsidRDefault="00DE3B35" w:rsidP="00DE3B35">
      <w:pPr>
        <w:rPr>
          <w:b/>
          <w:bCs/>
        </w:rPr>
      </w:pPr>
      <w:r w:rsidRPr="00DE3B35">
        <w:rPr>
          <w:b/>
          <w:bCs/>
        </w:rPr>
        <w:t>10. Recommended Language for Explaining Educational vs. Diagnostic Context</w:t>
      </w:r>
    </w:p>
    <w:p w14:paraId="1491AA05" w14:textId="77777777" w:rsidR="00DE3B35" w:rsidRPr="00DE3B35" w:rsidRDefault="00DE3B35" w:rsidP="00DE3B35">
      <w:r w:rsidRPr="00DE3B35">
        <w:t>The document must aggressively prevent the client from internalizing document-struggle as a personal neurological deficit, thereby ensuring the service provider is not perceived as offering a psychological intervention.</w:t>
      </w:r>
    </w:p>
    <w:p w14:paraId="33343106" w14:textId="77777777" w:rsidR="00DE3B35" w:rsidRPr="00DE3B35" w:rsidRDefault="00DE3B35" w:rsidP="00DE3B35">
      <w:r w:rsidRPr="00DE3B35">
        <w:rPr>
          <w:i/>
          <w:iCs/>
        </w:rPr>
        <w:lastRenderedPageBreak/>
        <w:t>Recommended Verbiage:</w:t>
      </w:r>
      <w:r w:rsidRPr="00DE3B35">
        <w:t xml:space="preserve"> "When a professional struggles to extract accurate information from a dense, highly technical document, the default assumption is often a lack of personal focus, discipline, or intelligence. Modern cognitive science suggests otherwise. Human reading is not an isolated function of the brain; rather, it is a highly complex interaction between the reader's finite working memory, the specific goal of the task, the physical reading environment, and the visual design of the document itself. The PDRF operates on the foundational premise that ordinary human reading is biologically functioning exactly as it should. The mental friction experienced during complex document review is rarely a cognitive defect; rather, it is the predictable biological result of exposing a strictly limited working memory system to highly unstructured, overwhelming visual data. The goal of this framework is to educate you on how to optimize that interaction by managing the document and your environment, not to diagnose or fix your brain."</w:t>
      </w:r>
    </w:p>
    <w:p w14:paraId="74497749" w14:textId="77777777" w:rsidR="00DE3B35" w:rsidRPr="00DE3B35" w:rsidRDefault="00DE3B35" w:rsidP="00DE3B35">
      <w:pPr>
        <w:rPr>
          <w:b/>
          <w:bCs/>
        </w:rPr>
      </w:pPr>
      <w:r w:rsidRPr="00DE3B35">
        <w:rPr>
          <w:b/>
          <w:bCs/>
        </w:rPr>
        <w:t>11. Distinction Between the Educational Framework and the Paid Service</w:t>
      </w:r>
    </w:p>
    <w:p w14:paraId="41722FFE" w14:textId="77777777" w:rsidR="00DE3B35" w:rsidRPr="00DE3B35" w:rsidRDefault="00DE3B35" w:rsidP="00DE3B35">
      <w:r w:rsidRPr="00DE3B35">
        <w:t>To avoid creating unreasonable expectations about the consulting service and to define exactly what the client is purchasing, the boundary between education and execution must be explicitly drawn.</w:t>
      </w:r>
    </w:p>
    <w:p w14:paraId="54A80282" w14:textId="77777777" w:rsidR="00DE3B35" w:rsidRPr="00DE3B35" w:rsidRDefault="00DE3B35" w:rsidP="00DE3B35">
      <w:r w:rsidRPr="00DE3B35">
        <w:rPr>
          <w:i/>
          <w:iCs/>
        </w:rPr>
        <w:t>Recommended Verbiage:</w:t>
      </w:r>
      <w:r w:rsidRPr="00DE3B35">
        <w:t xml:space="preserve"> "This framework represents the underlying philosophy of our approach—it outlines what cognitive science tells us about how humans process text. You are encouraged to apply these educational principles independently to improve your daily reading efficiency and reduce unnecessary cognitive friction. However, knowing the science of cognitive load is profoundly different from executing the restructuring of a 500-page technical disclosure under intense time pressure. Our paid professional service does not simply teach you how to read better; it takes on the burden of operational execution. We apply these principles on your behalf—auditing, restructuring, and formatting high-stakes documents so that the extraneous cognitive load is actively removed before the document ever reaches your desk. The PDRF is the education; our professional service is the execution."</w:t>
      </w:r>
    </w:p>
    <w:p w14:paraId="4C7509E5" w14:textId="77777777" w:rsidR="00DE3B35" w:rsidRPr="00DE3B35" w:rsidRDefault="00DE3B35" w:rsidP="00DE3B35">
      <w:pPr>
        <w:rPr>
          <w:b/>
          <w:bCs/>
        </w:rPr>
      </w:pPr>
      <w:r w:rsidRPr="00DE3B35">
        <w:rPr>
          <w:b/>
          <w:bCs/>
        </w:rPr>
        <w:t>12. Detailed Blueprint for Rewriting the PDRF into the Final Client Education Version</w:t>
      </w:r>
    </w:p>
    <w:p w14:paraId="410979C5" w14:textId="77777777" w:rsidR="00DE3B35" w:rsidRPr="00DE3B35" w:rsidRDefault="00DE3B35" w:rsidP="00DE3B35">
      <w:r w:rsidRPr="00DE3B35">
        <w:t>This blueprint provides the precise structural and narrative roadmap for authoring the final client-facing document. The rewriting process should strictly follow this sequence, utilizing continuous narrative prose rather than fragmented bullet points to convey qualitative reasoning.</w:t>
      </w:r>
    </w:p>
    <w:p w14:paraId="239163C5" w14:textId="77777777" w:rsidR="00DE3B35" w:rsidRPr="00DE3B35" w:rsidRDefault="00DE3B35" w:rsidP="00DE3B35">
      <w:r w:rsidRPr="00DE3B35">
        <w:rPr>
          <w:b/>
          <w:bCs/>
        </w:rPr>
        <w:t>Section 1: Introduction and The Professional Standard</w:t>
      </w:r>
      <w:r w:rsidRPr="00DE3B35">
        <w:t xml:space="preserve"> The document must open by establishing a profound mindset shift, transitioning the client from viewing reading as a passive consumption of words to viewing it as the active management of cognitive resources. Retain the highly effective cooking analogy—comparing a home cook to a professional chef—to explain </w:t>
      </w:r>
      <w:r w:rsidRPr="00DE3B35">
        <w:lastRenderedPageBreak/>
        <w:t>that the exact same activity can be performed with vastly different levels of strategic intention. Define "Professional Reading" as the deliberate management of the conditions under which information is processed, explicitly differentiating it from the superficial goal of simply reaching the end of a page. Immediately following this introduction, insert the recommended scope and disclaimer language. This placement ensures that the client clearly understands that this is an educational synthesis of cognitive psychology, vision science, and human factors, not a diagnostic tool or a guaranteed clinical treatment.</w:t>
      </w:r>
    </w:p>
    <w:p w14:paraId="1BAD30F2" w14:textId="77777777" w:rsidR="00DE3B35" w:rsidRPr="00DE3B35" w:rsidRDefault="00DE3B35" w:rsidP="00DE3B35">
      <w:r w:rsidRPr="00DE3B35">
        <w:rPr>
          <w:b/>
          <w:bCs/>
        </w:rPr>
        <w:t>Section 2: Foundational Prerequisite: Task-Dependent Strategy</w:t>
      </w:r>
      <w:r w:rsidRPr="00DE3B35">
        <w:t xml:space="preserve"> Before discussing biological limitations, the framework must establish how to approach a document. Replace the original Rule 007 and place it here. Explain through fluid narrative that reading strategy must be dictated entirely by the specific output required by the professional task. Reading a dense legal contract to isolate a specific liability clause requires a completely different visual and cognitive approach—such as scanning and keyword filtering—than reading a theoretical scientific paper, which requires linear schema construction. The primary takeaway for the client is that they must rigorously define the exact purpose of their reading session before their eyes ever touch the text. Linearity is a choice, not a default requirement.</w:t>
      </w:r>
    </w:p>
    <w:p w14:paraId="5E3B661D" w14:textId="77777777" w:rsidR="00DE3B35" w:rsidRPr="00DE3B35" w:rsidRDefault="00DE3B35" w:rsidP="00DE3B35">
      <w:r w:rsidRPr="00DE3B35">
        <w:rPr>
          <w:b/>
          <w:bCs/>
        </w:rPr>
        <w:t>Section 3: The Science of the Human Bottleneck (Core Principles)</w:t>
      </w:r>
      <w:r w:rsidRPr="00DE3B35">
        <w:t xml:space="preserve"> This section groups all biological and psychological limitations into one cohesive narrative, discarding the flat, mathematically equivalent "Rule 1, Rule 2" structure.</w:t>
      </w:r>
    </w:p>
    <w:p w14:paraId="27C95B33" w14:textId="77777777" w:rsidR="00DE3B35" w:rsidRPr="00DE3B35" w:rsidRDefault="00DE3B35" w:rsidP="00DE3B35">
      <w:r w:rsidRPr="00DE3B35">
        <w:t xml:space="preserve">Begin with </w:t>
      </w:r>
      <w:r w:rsidRPr="00DE3B35">
        <w:rPr>
          <w:i/>
          <w:iCs/>
        </w:rPr>
        <w:t>Inattentional Blindness and the Attention Bottleneck</w:t>
      </w:r>
      <w:r w:rsidRPr="00DE3B35">
        <w:t>. Completely discard the "White Paper Test Theory" nomenclature. Instead, explain the concept of Inattentional Blindness based on Mack and Rock's foundational research. Use classic visual paradigms to prove that physical visibility does not equal cognitive awareness. Explain that in a dense document, the eyes may physically scan over critical data, but if selective attention is exhausted or misdirected by poor formatting, the brain will literally fail to perceive the information.</w:t>
      </w:r>
    </w:p>
    <w:p w14:paraId="72BC863F" w14:textId="77777777" w:rsidR="00DE3B35" w:rsidRPr="00DE3B35" w:rsidRDefault="00DE3B35" w:rsidP="00DE3B35">
      <w:r w:rsidRPr="00DE3B35">
        <w:t xml:space="preserve">Transition into </w:t>
      </w:r>
      <w:r w:rsidRPr="00DE3B35">
        <w:rPr>
          <w:i/>
          <w:iCs/>
        </w:rPr>
        <w:t>Working Memory and Cognitive Efficiency</w:t>
      </w:r>
      <w:r w:rsidRPr="00DE3B35">
        <w:t>. Define the basics of Cognitive Load Theory. Explain that working memory can only hold a few novel items at a time. Introduce the crucial distinction between Intrinsic Load (the subject is genuinely difficult) and Extraneous Load (the document is badly formatted). Here, introduce the term "Cognitive Friction" explicitly as the framework's operational term for Extraneous Load. Teach the client that being able to physically decode the words does not mean the reading process is cognitively efficient.</w:t>
      </w:r>
    </w:p>
    <w:p w14:paraId="45770D1B" w14:textId="77777777" w:rsidR="00DE3B35" w:rsidRPr="00DE3B35" w:rsidRDefault="00DE3B35" w:rsidP="00DE3B35">
      <w:r w:rsidRPr="00DE3B35">
        <w:t xml:space="preserve">Next, address </w:t>
      </w:r>
      <w:r w:rsidRPr="00DE3B35">
        <w:rPr>
          <w:i/>
          <w:iCs/>
        </w:rPr>
        <w:t>The Limits of Introspection and the Illusion of Knowing</w:t>
      </w:r>
      <w:r w:rsidRPr="00DE3B35">
        <w:t xml:space="preserve">. Merge the original Rules 001 and 002 here. Explain that visual processing mechanics, such as saccades and fixations, are largely unconscious. Because these mechanics operate beneath executive awareness, readers cannot directly "feel" what is draining their cognitive energy. Incorporate Glenberg's research on </w:t>
      </w:r>
      <w:r w:rsidRPr="00DE3B35">
        <w:lastRenderedPageBreak/>
        <w:t>the Illusion of Knowing. Explain the "fluency heuristic"—the dangerous phenomenon where a beautifully formatted but logically flawed document tricks the reader into a false sense of comprehension. Readers must realize that subjective feelings of "ease" or "difficulty" are highly unreliable and often misattributed.</w:t>
      </w:r>
    </w:p>
    <w:p w14:paraId="033EA625" w14:textId="77777777" w:rsidR="00DE3B35" w:rsidRPr="00DE3B35" w:rsidRDefault="00DE3B35" w:rsidP="00DE3B35">
      <w:r w:rsidRPr="00DE3B35">
        <w:t xml:space="preserve">Conclude the science section with </w:t>
      </w:r>
      <w:r w:rsidRPr="00DE3B35">
        <w:rPr>
          <w:i/>
          <w:iCs/>
        </w:rPr>
        <w:t>The Expertise Reversal Effect</w:t>
      </w:r>
      <w:r w:rsidRPr="00DE3B35">
        <w:t>. Explain Kalyuga's research showing that instructional aids, redundant text, and structural formatting that heavily assist novices actually overwhelm the working memory of domain experts. Teach the client that they must actively assess their own prior knowledge before reading; an expert should not process a document the same way a novice does, as doing so generates unnecessary cognitive friction.</w:t>
      </w:r>
    </w:p>
    <w:p w14:paraId="15788B0C" w14:textId="77777777" w:rsidR="00DE3B35" w:rsidRPr="00DE3B35" w:rsidRDefault="00DE3B35" w:rsidP="00DE3B35">
      <w:r w:rsidRPr="00DE3B35">
        <w:rPr>
          <w:b/>
          <w:bCs/>
        </w:rPr>
        <w:t>Section 4: Operational Procedures (The Execution)</w:t>
      </w:r>
      <w:r w:rsidRPr="00DE3B35">
        <w:t xml:space="preserve"> This section transitions the narrative from "how the brain works" to "what the client can physically do about it," providing actionable procedures.</w:t>
      </w:r>
    </w:p>
    <w:p w14:paraId="4C7B0847" w14:textId="77777777" w:rsidR="00DE3B35" w:rsidRPr="00DE3B35" w:rsidRDefault="00DE3B35" w:rsidP="00DE3B35">
      <w:r w:rsidRPr="00DE3B35">
        <w:t xml:space="preserve">Begin with </w:t>
      </w:r>
      <w:r w:rsidRPr="00DE3B35">
        <w:rPr>
          <w:i/>
          <w:iCs/>
        </w:rPr>
        <w:t>Environmental and Medium Optimization</w:t>
      </w:r>
      <w:r w:rsidRPr="00DE3B35">
        <w:t>. Merge the original Rules 005 and 006. Discuss the Screen Inferiority Effect, noting that extensive research demonstrates a slight but highly consistent drop in comprehension and metacognitive accuracy when reading dense, expository text on digital screens versus printed paper. Instruct the client to consciously manipulate their environment to combat this. If reading digitally, they must experiment with zoom levels, contrast, and viewing distance to reduce baseline visual strain, thereby freeing up precious working memory resources for deep semantic comprehension.</w:t>
      </w:r>
    </w:p>
    <w:p w14:paraId="26F97020" w14:textId="77777777" w:rsidR="00DE3B35" w:rsidRPr="00DE3B35" w:rsidRDefault="00DE3B35" w:rsidP="00DE3B35">
      <w:r w:rsidRPr="00DE3B35">
        <w:t xml:space="preserve">Follow this with </w:t>
      </w:r>
      <w:r w:rsidRPr="00DE3B35">
        <w:rPr>
          <w:i/>
          <w:iCs/>
        </w:rPr>
        <w:t>Cognitive Offloading</w:t>
      </w:r>
      <w:r w:rsidRPr="00DE3B35">
        <w:t>. Explain that because working memory is severely limited, keeping track of multi-variable logic trees entirely inside the head is biologically impossible. Legitimize the use of physical and digital space. Teach the client that highlighting, writing marginalia, and using concept-mapping software are not signs of poor intelligence or a weak memory; they are mandatory professional tools required for expanding cognitive capacity and managing high element interactivity.</w:t>
      </w:r>
    </w:p>
    <w:p w14:paraId="4A4F376B" w14:textId="77777777" w:rsidR="00DE3B35" w:rsidRPr="00DE3B35" w:rsidRDefault="00DE3B35" w:rsidP="00DE3B35">
      <w:r w:rsidRPr="00DE3B35">
        <w:t xml:space="preserve">Conclude the procedures with </w:t>
      </w:r>
      <w:r w:rsidRPr="00DE3B35">
        <w:rPr>
          <w:i/>
          <w:iCs/>
        </w:rPr>
        <w:t>Comprehension Verification</w:t>
      </w:r>
      <w:r w:rsidRPr="00DE3B35">
        <w:t>. Introduce this procedure as the direct countermeasure to the Illusion of Knowing discussed in the science section. Explain that professional reading must involve active friction points where the reader tests their own situational model. Instruct the client to periodically look away from the document and attempt to summarize the logic structure. If they cannot synthesize the information, they have experienced an illusion of fluency and must immediately adjust their reading speed or strategy.</w:t>
      </w:r>
    </w:p>
    <w:p w14:paraId="5C0DDBC3" w14:textId="77777777" w:rsidR="00DE3B35" w:rsidRPr="00DE3B35" w:rsidRDefault="00DE3B35" w:rsidP="00DE3B35">
      <w:r w:rsidRPr="00DE3B35">
        <w:rPr>
          <w:b/>
          <w:bCs/>
        </w:rPr>
        <w:t>Section 5: Conclusion and The Value Proposition</w:t>
      </w:r>
      <w:r w:rsidRPr="00DE3B35">
        <w:t xml:space="preserve"> The final section synthesizes the educational framework and softly introduces the paid professional service. Reiterate the core thesis: professional reading is the active minimization of extraneous cognitive load, allowing the brain to focus its finite resources entirely on the intrinsic difficulty of the subject matter. Finally, insert </w:t>
      </w:r>
      <w:r w:rsidRPr="00DE3B35">
        <w:lastRenderedPageBreak/>
        <w:t>the recommended language distinguishing the framework from the service. Explain that while the client is now empowered to manage their own reading conditions, the paid service specializes in restructuring the informational environment on their behalf. The service allows the client to operate at peak cognitive efficiency without bearing the heavy burden of pre-processing the documents themselves.</w:t>
      </w:r>
    </w:p>
    <w:p w14:paraId="5FD44205" w14:textId="77777777" w:rsidR="00D81021" w:rsidRDefault="00D81021"/>
    <w:sectPr w:rsidR="00D8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B257A"/>
    <w:multiLevelType w:val="multilevel"/>
    <w:tmpl w:val="E822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6768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D4"/>
    <w:rsid w:val="00031621"/>
    <w:rsid w:val="009701BC"/>
    <w:rsid w:val="00D81021"/>
    <w:rsid w:val="00DE3B35"/>
    <w:rsid w:val="00F42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7145DB-D82C-49C1-BEB7-9B3F50F7A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8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28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28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28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28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28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8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8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8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8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28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28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28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28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28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8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8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8D4"/>
    <w:rPr>
      <w:rFonts w:eastAsiaTheme="majorEastAsia" w:cstheme="majorBidi"/>
      <w:color w:val="272727" w:themeColor="text1" w:themeTint="D8"/>
    </w:rPr>
  </w:style>
  <w:style w:type="paragraph" w:styleId="Title">
    <w:name w:val="Title"/>
    <w:basedOn w:val="Normal"/>
    <w:next w:val="Normal"/>
    <w:link w:val="TitleChar"/>
    <w:uiPriority w:val="10"/>
    <w:qFormat/>
    <w:rsid w:val="00F428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8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8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8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8D4"/>
    <w:pPr>
      <w:spacing w:before="160"/>
      <w:jc w:val="center"/>
    </w:pPr>
    <w:rPr>
      <w:i/>
      <w:iCs/>
      <w:color w:val="404040" w:themeColor="text1" w:themeTint="BF"/>
    </w:rPr>
  </w:style>
  <w:style w:type="character" w:customStyle="1" w:styleId="QuoteChar">
    <w:name w:val="Quote Char"/>
    <w:basedOn w:val="DefaultParagraphFont"/>
    <w:link w:val="Quote"/>
    <w:uiPriority w:val="29"/>
    <w:rsid w:val="00F428D4"/>
    <w:rPr>
      <w:i/>
      <w:iCs/>
      <w:color w:val="404040" w:themeColor="text1" w:themeTint="BF"/>
    </w:rPr>
  </w:style>
  <w:style w:type="paragraph" w:styleId="ListParagraph">
    <w:name w:val="List Paragraph"/>
    <w:basedOn w:val="Normal"/>
    <w:uiPriority w:val="34"/>
    <w:qFormat/>
    <w:rsid w:val="00F428D4"/>
    <w:pPr>
      <w:ind w:left="720"/>
      <w:contextualSpacing/>
    </w:pPr>
  </w:style>
  <w:style w:type="character" w:styleId="IntenseEmphasis">
    <w:name w:val="Intense Emphasis"/>
    <w:basedOn w:val="DefaultParagraphFont"/>
    <w:uiPriority w:val="21"/>
    <w:qFormat/>
    <w:rsid w:val="00F428D4"/>
    <w:rPr>
      <w:i/>
      <w:iCs/>
      <w:color w:val="2F5496" w:themeColor="accent1" w:themeShade="BF"/>
    </w:rPr>
  </w:style>
  <w:style w:type="paragraph" w:styleId="IntenseQuote">
    <w:name w:val="Intense Quote"/>
    <w:basedOn w:val="Normal"/>
    <w:next w:val="Normal"/>
    <w:link w:val="IntenseQuoteChar"/>
    <w:uiPriority w:val="30"/>
    <w:qFormat/>
    <w:rsid w:val="00F428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28D4"/>
    <w:rPr>
      <w:i/>
      <w:iCs/>
      <w:color w:val="2F5496" w:themeColor="accent1" w:themeShade="BF"/>
    </w:rPr>
  </w:style>
  <w:style w:type="character" w:styleId="IntenseReference">
    <w:name w:val="Intense Reference"/>
    <w:basedOn w:val="DefaultParagraphFont"/>
    <w:uiPriority w:val="32"/>
    <w:qFormat/>
    <w:rsid w:val="00F428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5370</Words>
  <Characters>30610</Characters>
  <Application>Microsoft Office Word</Application>
  <DocSecurity>0</DocSecurity>
  <Lines>255</Lines>
  <Paragraphs>71</Paragraphs>
  <ScaleCrop>false</ScaleCrop>
  <Company/>
  <LinksUpToDate>false</LinksUpToDate>
  <CharactersWithSpaces>35909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Haldankar</dc:creator>
  <cp:keywords/>
  <dc:description/>
  <cp:lastModifiedBy>Suraj Haldankar</cp:lastModifiedBy>
  <cp:revision>3</cp:revision>
  <dcterms:created xsi:type="dcterms:W3CDTF">2026-08-24T08:33:00Z</dcterms:created>
  <dcterms:modified xsi:type="dcterms:W3CDTF">2026-08-24T08:33:00Z</dcterms:modified>
</cp:coreProperties>
</file>