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color w:val="1B365D"/>
          <w:sz w:val="44"/>
        </w:rPr>
        <w:t>2026 Global Study of Digital-Screen vs Physical-Document Dependence in Financial and Professional Information Work</w:t>
      </w:r>
    </w:p>
    <w:p>
      <w:pPr>
        <w:spacing w:before="0" w:after="280" w:line="276" w:lineRule="auto"/>
      </w:pPr>
      <w:r>
        <w:rPr>
          <w:rFonts w:ascii="Calibri" w:hAnsi="Calibri"/>
          <w:i/>
          <w:color w:val="4A607A"/>
          <w:sz w:val="24"/>
        </w:rPr>
        <w:t>Comprehensive Cognitive Learning Edition: Systematic Pedagogical Decomposition, Neurobiological Foundations, Sectoral Workflows, and Empirical Assessment of the Professional Document Reading Framework (PDRF)</w:t>
      </w:r>
    </w:p>
    <w:p>
      <w:pPr>
        <w:keepNext/>
        <w:spacing w:before="400" w:after="120"/>
      </w:pPr>
      <w:r>
        <w:rPr>
          <w:rFonts w:ascii="Calibri" w:hAnsi="Calibri"/>
          <w:b/>
          <w:color w:val="1B365D"/>
          <w:sz w:val="31"/>
        </w:rPr>
        <w:t>Document Orientation &amp; Cognitive Navigation Roadmap</w:t>
      </w:r>
    </w:p>
    <w:p>
      <w:pPr>
        <w:spacing w:before="40" w:after="100" w:line="276" w:lineRule="auto"/>
      </w:pPr>
      <w:r>
        <w:rPr>
          <w:rFonts w:ascii="Calibri" w:hAnsi="Calibri"/>
          <w:color w:val="222222"/>
          <w:sz w:val="20"/>
        </w:rPr>
        <w:t xml:space="preserve">Welcome to the transformed cognitive edition of the 2026 Global Study. This document is structured specifically to eliminate cognitive friction and make complex financial and scientific concepts effortless to learn. It follows a strict </w:t>
      </w:r>
      <w:r>
        <w:rPr>
          <w:rFonts w:ascii="Calibri" w:hAnsi="Calibri"/>
          <w:b/>
          <w:color w:val="0F172A"/>
          <w:sz w:val="20"/>
        </w:rPr>
        <w:t>Simple -&gt; Complex</w:t>
      </w:r>
      <w:r>
        <w:rPr>
          <w:rFonts w:ascii="Calibri" w:hAnsi="Calibri"/>
          <w:color w:val="222222"/>
          <w:sz w:val="20"/>
        </w:rPr>
        <w:t xml:space="preserve"> progression, beginning with real-life observations, advancing through institutional mechanisms, and culminating in neurobiological and strategic frameworks.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3120"/>
        <w:gridCol w:w="3120"/>
        <w:gridCol w:w="3120"/>
      </w:tblGrid>
      <w:tr>
        <w:tc>
          <w:tcPr>
            <w:tcW w:type="dxa" w:w="3120"/>
            <w:shd w:fill="1B365D"/>
            <w:tcMar>
              <w:top w:w="100" w:type="dxa"/>
              <w:bottom w:w="100" w:type="dxa"/>
              <w:left w:w="120" w:type="dxa"/>
              <w:right w:w="120" w:type="dxa"/>
            </w:tcMar>
          </w:tcPr>
          <w:p>
            <w:r>
              <w:rPr>
                <w:rFonts w:ascii="Calibri" w:hAnsi="Calibri"/>
                <w:b/>
                <w:color w:val="FFFFFF"/>
                <w:sz w:val="19"/>
              </w:rPr>
              <w:t>Part / Module</w:t>
            </w:r>
          </w:p>
        </w:tc>
        <w:tc>
          <w:tcPr>
            <w:tcW w:type="dxa" w:w="3120"/>
            <w:shd w:fill="1B365D"/>
            <w:tcMar>
              <w:top w:w="100" w:type="dxa"/>
              <w:bottom w:w="100" w:type="dxa"/>
              <w:left w:w="120" w:type="dxa"/>
              <w:right w:w="120" w:type="dxa"/>
            </w:tcMar>
          </w:tcPr>
          <w:p>
            <w:r>
              <w:rPr>
                <w:rFonts w:ascii="Calibri" w:hAnsi="Calibri"/>
                <w:b/>
                <w:color w:val="FFFFFF"/>
                <w:sz w:val="19"/>
              </w:rPr>
              <w:t>Core Subject Matter &amp; Themes</w:t>
            </w:r>
          </w:p>
        </w:tc>
        <w:tc>
          <w:tcPr>
            <w:tcW w:type="dxa" w:w="3120"/>
            <w:shd w:fill="1B365D"/>
            <w:tcMar>
              <w:top w:w="100" w:type="dxa"/>
              <w:bottom w:w="100" w:type="dxa"/>
              <w:left w:w="120" w:type="dxa"/>
              <w:right w:w="120" w:type="dxa"/>
            </w:tcMar>
          </w:tcPr>
          <w:p>
            <w:r>
              <w:rPr>
                <w:rFonts w:ascii="Calibri" w:hAnsi="Calibri"/>
                <w:b/>
                <w:color w:val="FFFFFF"/>
                <w:sz w:val="19"/>
              </w:rPr>
              <w:t>Primary Cognitive Learning Objective</w:t>
            </w:r>
          </w:p>
        </w:tc>
      </w:tr>
      <w:tr>
        <w:tc>
          <w:tcPr>
            <w:tcW w:type="dxa" w:w="3120"/>
            <w:shd w:fill="FFFFFF"/>
            <w:tcMar>
              <w:top w:w="80" w:type="dxa"/>
              <w:bottom w:w="80" w:type="dxa"/>
              <w:left w:w="100" w:type="dxa"/>
              <w:right w:w="100" w:type="dxa"/>
            </w:tcMar>
          </w:tcPr>
          <w:p>
            <w:pPr>
              <w:spacing w:before="20" w:after="40" w:line="264" w:lineRule="auto"/>
            </w:pPr>
            <w:r>
              <w:rPr>
                <w:rFonts w:ascii="Calibri" w:hAnsi="Calibri"/>
                <w:b/>
                <w:color w:val="1B365D"/>
                <w:sz w:val="17"/>
              </w:rPr>
              <w:t>Executive Glossary of Core Technical Terms</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Definitions and mechanisms for 16 core terms (WORM, MiFID II, CAATTs, Saccades, Hedges' g, DES, PDRF, etc.).</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Establish the complete foundational vocabulary before encountering advanced concepts.</w:t>
            </w:r>
          </w:p>
        </w:tc>
      </w:tr>
      <w:tr>
        <w:tc>
          <w:tcPr>
            <w:tcW w:type="dxa" w:w="3120"/>
            <w:shd w:fill="F8FAFC"/>
            <w:tcMar>
              <w:top w:w="80" w:type="dxa"/>
              <w:bottom w:w="80" w:type="dxa"/>
              <w:left w:w="100" w:type="dxa"/>
              <w:right w:w="100" w:type="dxa"/>
            </w:tcMar>
          </w:tcPr>
          <w:p>
            <w:pPr>
              <w:spacing w:before="20" w:after="40" w:line="264" w:lineRule="auto"/>
            </w:pPr>
            <w:r>
              <w:rPr>
                <w:rFonts w:ascii="Calibri" w:hAnsi="Calibri"/>
                <w:b/>
                <w:color w:val="1B365D"/>
                <w:sz w:val="17"/>
              </w:rPr>
              <w:t>Part 1: Foundational Framework &amp; Core Definitions</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The central research question, 4 digital modalities, 4 physical indicators, and the $62B-$77B vs $117.5B MPS market paradox.</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Understand what 'dependence' actually means and why the modern workplace is 'paper-optimized' rather than 'paperless'.</w:t>
            </w:r>
          </w:p>
        </w:tc>
      </w:tr>
      <w:tr>
        <w:tc>
          <w:tcPr>
            <w:tcW w:type="dxa" w:w="3120"/>
            <w:shd w:fill="FFFFFF"/>
            <w:tcMar>
              <w:top w:w="80" w:type="dxa"/>
              <w:bottom w:w="80" w:type="dxa"/>
              <w:left w:w="100" w:type="dxa"/>
              <w:right w:w="100" w:type="dxa"/>
            </w:tcMar>
          </w:tcPr>
          <w:p>
            <w:pPr>
              <w:spacing w:before="20" w:after="40" w:line="264" w:lineRule="auto"/>
            </w:pPr>
            <w:r>
              <w:rPr>
                <w:rFonts w:ascii="Calibri" w:hAnsi="Calibri"/>
                <w:b/>
                <w:color w:val="1B365D"/>
                <w:sz w:val="17"/>
              </w:rPr>
              <w:t>Part 2: Research Methodology &amp; Evidence Hierarchy</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Separation of technology availability from behavioral usage, and the rigorous 6-Tier Evidence Framework.</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Learn how empirical claims are scientifically validated and why minute-by-minute global task percentages cannot be fabricated.</w:t>
            </w:r>
          </w:p>
        </w:tc>
      </w:tr>
      <w:tr>
        <w:tc>
          <w:tcPr>
            <w:tcW w:type="dxa" w:w="3120"/>
            <w:shd w:fill="F8FAFC"/>
            <w:tcMar>
              <w:top w:w="80" w:type="dxa"/>
              <w:bottom w:w="80" w:type="dxa"/>
              <w:left w:w="100" w:type="dxa"/>
              <w:right w:w="100" w:type="dxa"/>
            </w:tcMar>
          </w:tcPr>
          <w:p>
            <w:pPr>
              <w:spacing w:before="20" w:after="40" w:line="264" w:lineRule="auto"/>
            </w:pPr>
            <w:r>
              <w:rPr>
                <w:rFonts w:ascii="Calibri" w:hAnsi="Calibri"/>
                <w:b/>
                <w:color w:val="1B365D"/>
                <w:sz w:val="17"/>
              </w:rPr>
              <w:t>Part 3: Professional Sector Analysis (9 Populations)</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Granular workflow case studies: Retail/Corporate Banking, Investment Banking, Equity Research, Quants, Traders, Asset Managers, Auditors, Compliance, Legal.</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Examine exactly where, how, and why each financial profession switches between screens and physical paper.</w:t>
            </w:r>
          </w:p>
        </w:tc>
      </w:tr>
      <w:tr>
        <w:tc>
          <w:tcPr>
            <w:tcW w:type="dxa" w:w="3120"/>
            <w:shd w:fill="FFFFFF"/>
            <w:tcMar>
              <w:top w:w="80" w:type="dxa"/>
              <w:bottom w:w="80" w:type="dxa"/>
              <w:left w:w="100" w:type="dxa"/>
              <w:right w:w="100" w:type="dxa"/>
            </w:tcMar>
          </w:tcPr>
          <w:p>
            <w:pPr>
              <w:spacing w:before="20" w:after="40" w:line="264" w:lineRule="auto"/>
            </w:pPr>
            <w:r>
              <w:rPr>
                <w:rFonts w:ascii="Calibri" w:hAnsi="Calibri"/>
                <w:b/>
                <w:color w:val="1B365D"/>
                <w:sz w:val="17"/>
              </w:rPr>
              <w:t>Part 4: Geographic &amp; Jurisdictional Comparisons</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US/EU cryptographic WORM &amp; MiFID II/BaFin vs India's UPI/Video-KYC, Section 65B Evidence Act certificates, and SHCIL e-stamping.</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Discover how national laws of evidence and regulatory statutes dictate physical paper retention across borders.</w:t>
            </w:r>
          </w:p>
        </w:tc>
      </w:tr>
      <w:tr>
        <w:tc>
          <w:tcPr>
            <w:tcW w:type="dxa" w:w="3120"/>
            <w:shd w:fill="F8FAFC"/>
            <w:tcMar>
              <w:top w:w="80" w:type="dxa"/>
              <w:bottom w:w="80" w:type="dxa"/>
              <w:left w:w="100" w:type="dxa"/>
              <w:right w:w="100" w:type="dxa"/>
            </w:tcMar>
          </w:tcPr>
          <w:p>
            <w:pPr>
              <w:spacing w:before="20" w:after="40" w:line="264" w:lineRule="auto"/>
            </w:pPr>
            <w:r>
              <w:rPr>
                <w:rFonts w:ascii="Calibri" w:hAnsi="Calibri"/>
                <w:b/>
                <w:color w:val="1B365D"/>
                <w:sz w:val="17"/>
              </w:rPr>
              <w:t>Part 5: Master Digital vs Physical Usage Matrix</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10-Row comprehensive comparative matrix synthesizing dependence ratings, primary mediums, use cases, and evidence strength.</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Consolidate the complete sectoral comparison into a single unified analytical reference table.</w:t>
            </w:r>
          </w:p>
        </w:tc>
      </w:tr>
      <w:tr>
        <w:tc>
          <w:tcPr>
            <w:tcW w:type="dxa" w:w="3120"/>
            <w:shd w:fill="FFFFFF"/>
            <w:tcMar>
              <w:top w:w="80" w:type="dxa"/>
              <w:bottom w:w="80" w:type="dxa"/>
              <w:left w:w="100" w:type="dxa"/>
              <w:right w:w="100" w:type="dxa"/>
            </w:tcMar>
          </w:tcPr>
          <w:p>
            <w:pPr>
              <w:spacing w:before="20" w:after="40" w:line="264" w:lineRule="auto"/>
            </w:pPr>
            <w:r>
              <w:rPr>
                <w:rFonts w:ascii="Calibri" w:hAnsi="Calibri"/>
                <w:b/>
                <w:color w:val="1B365D"/>
                <w:sz w:val="17"/>
              </w:rPr>
              <w:t>Part 6: Cognitive Science, Neurobiology &amp; Ergonomics</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The Screen Inferiority Effect (Hedges' g -0.113 to -0.26), saccadic disruption, spatial topology loss, and Digital Eye Strain (69% prevalence).</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Master the biological mechanisms explaining why human working memory degrades on screens and thrives on paper.</w:t>
            </w:r>
          </w:p>
        </w:tc>
      </w:tr>
      <w:tr>
        <w:tc>
          <w:tcPr>
            <w:tcW w:type="dxa" w:w="3120"/>
            <w:shd w:fill="F8FAFC"/>
            <w:tcMar>
              <w:top w:w="80" w:type="dxa"/>
              <w:bottom w:w="80" w:type="dxa"/>
              <w:left w:w="100" w:type="dxa"/>
              <w:right w:w="100" w:type="dxa"/>
            </w:tcMar>
          </w:tcPr>
          <w:p>
            <w:pPr>
              <w:spacing w:before="20" w:after="40" w:line="264" w:lineRule="auto"/>
            </w:pPr>
            <w:r>
              <w:rPr>
                <w:rFonts w:ascii="Calibri" w:hAnsi="Calibri"/>
                <w:b/>
                <w:color w:val="1B365D"/>
                <w:sz w:val="17"/>
              </w:rPr>
              <w:t>Part 7: Strategic Implications for the PDRF Framework</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Medium-independent framework design, Findings A through E, dual-medium optimization, and strict scientific validation boundaries.</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Understand how reading frameworks must adapt to modern hybrid workflows without overstepping empirical evidence.</w:t>
            </w:r>
          </w:p>
        </w:tc>
      </w:tr>
      <w:tr>
        <w:tc>
          <w:tcPr>
            <w:tcW w:type="dxa" w:w="3120"/>
            <w:shd w:fill="FFFFFF"/>
            <w:tcMar>
              <w:top w:w="80" w:type="dxa"/>
              <w:bottom w:w="80" w:type="dxa"/>
              <w:left w:w="100" w:type="dxa"/>
              <w:right w:w="100" w:type="dxa"/>
            </w:tcMar>
          </w:tcPr>
          <w:p>
            <w:pPr>
              <w:spacing w:before="20" w:after="40" w:line="264" w:lineRule="auto"/>
            </w:pPr>
            <w:r>
              <w:rPr>
                <w:rFonts w:ascii="Calibri" w:hAnsi="Calibri"/>
                <w:b/>
                <w:color w:val="1B365D"/>
                <w:sz w:val="17"/>
              </w:rPr>
              <w:t>Part 8: Synthesis, Evidence Gaps &amp; Final Conclusions</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Assessment of macro trends, identification of 2026 ethnographic time-tracking gaps, and final synthesis on structural hybridity.</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Integrate all findings into a definitive, evidence-backed perspective on the future of professional reading.</w:t>
            </w:r>
          </w:p>
        </w:tc>
      </w:tr>
    </w:tbl>
    <w:p>
      <w:pPr>
        <w:spacing w:before="40" w:after="100" w:line="276" w:lineRule="auto"/>
      </w:pPr>
      <w:r>
        <w:rPr>
          <w:rFonts w:ascii="Calibri" w:hAnsi="Calibri"/>
          <w:color w:val="222222"/>
          <w:sz w:val="20"/>
        </w:rPr>
      </w:r>
    </w:p>
    <w:p>
      <w:pPr>
        <w:keepNext/>
        <w:spacing w:before="400" w:after="120"/>
      </w:pPr>
      <w:r>
        <w:rPr>
          <w:rFonts w:ascii="Calibri" w:hAnsi="Calibri"/>
          <w:b/>
          <w:color w:val="1B365D"/>
          <w:sz w:val="31"/>
        </w:rPr>
        <w:t>Executive Glossary: Core Technical Terms, Formulas, and Frameworks</w:t>
      </w:r>
    </w:p>
    <w:p>
      <w:pPr>
        <w:spacing w:before="40" w:after="100" w:line="276" w:lineRule="auto"/>
      </w:pPr>
      <w:r>
        <w:rPr>
          <w:rFonts w:ascii="Calibri" w:hAnsi="Calibri"/>
          <w:color w:val="222222"/>
          <w:sz w:val="20"/>
        </w:rPr>
        <w:t>To ensure a frictionless learning path, all key technical terms, statutory regulations, and cognitive metrics appearing in this report are formally introduced below with simple language, operational mechanisms, practical importance, and source specifications.</w:t>
      </w:r>
    </w:p>
    <w:p>
      <w:pPr>
        <w:keepNext/>
        <w:spacing w:before="200" w:after="60"/>
      </w:pPr>
      <w:r>
        <w:rPr>
          <w:rFonts w:ascii="Calibri" w:hAnsi="Calibri"/>
          <w:b/>
          <w:color w:val="4A607A"/>
          <w:sz w:val="22"/>
        </w:rPr>
        <w:t>Professional Document Reading Framework (PDRF)</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A structured methodology designed to help professional knowledge workers (analysts, lawyers, auditors) read, comprehend, analyze, and retain information from dense technical documents efficiently across different media.</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Provides cognitive strategies, navigation protocols, and annotation workflows to minimize mental fatigue and prevent comprehension errors during analytical reading.</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In high-stakes finance, missing a single sentence in a 300-page contract can cost millions of dollars. PDRF provides a repeatable system to ensure complete comprehension.</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An analytical, medium-independent metacognitive framework evaluated in this empirical study for its scope and applicability to digital vs. physical media.</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Write-Once-Read-Many (WORM) Storage</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A digital storage technology where data, once written, can never be modified, overwritten, or deleted by anyone (including system administrators) for a legally mandated time period.</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Uses cryptographic write-locking, immutable file systems, and optical or cloud-based WORM buckets to guarantee that compliance archives cannot be altered after the fact.</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Financial regulators require WORM storage so that broker-dealers cannot secretly tamper with or delete suspicious communications or accounting records during fraud investigations.</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SEC Rule 17a-4 and FINRA Rule 4511 regulatory compliance standard for electronic record preservation in non-rewriteable, non-erasable format.</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SEC Rule 17a-4 &amp; FINRA Rule 4511</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United States federal securities regulations that require broker-dealers and financial institutions to preserve all electronic business communications, trade records, and customer accounts for 3 to 6 years in immutable (WORM) format.</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Mandates automatic indexing, immediate accessibility for regulatory inspections, duplicate offsite storage, and tamper-proof audit trails.</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Violating these rules results in multi-million-dollar regulatory fines and severe corporate sanctions.</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Statutory electronic archiving mandates enforced by the US Securities and Exchange Commission and Financial Industry Regulatory Authority.</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MiFID II &amp; WpHG (European Union / Germany)</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Markets in Financial Instruments Directive II (EU) and Securities Trading Act (Wertpapierhandelsgesetz - WpHG, Germany enforced by BaFin).</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Requires all European investment firms to record and retain all phone calls, emails, and chat messages intended to lead to financial transactions for 5 to 7 years in tamper-proof digital archives.</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Ensures transparent post-trade market surveillance and consumer protection across the European Union single market.</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European statutory framework for financial market transparency and electronic transaction record retention.</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Section 65B of the Indian Evidence Act</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A mandatory statutory rule in Indian legal jurisprudence governing the admissibility of electronic records (emails, WhatsApp messages, digital ledgers, server logs) in judicial courts.</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Requires that any electronic document presented as evidence must be accompanied by a physical paper certificate physically signed by a responsible corporate officer certifying the device operated properly without tampering.</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Without this physical certificate, Indian Supreme Court precedent dictates that electronic evidence is completely inadmissible, rendering digital contracts legally vulnerable.</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Section 65B, Indian Evidence Act, 1872; Supreme Court of India precedent establishing mandatory condition precedent for electronic evidence admissibility.</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Computer Assisted Audit Tools and Techniques (CAATTs)</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Specialized enterprise software programs that enable auditors to process, test, and analyze massive volumes of corporate financial data automatically.</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Extracts entire transaction ledgers from ERP databases (like SAP or Oracle) and runs algorithmic checks across 100% of transactions rather than manual random sampling.</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Allows auditors to detect fraudulent transactions, duplicate invoices, and accounting anomalies across millions of data rows in seconds.</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Automated data extraction, population testing, and analytics software utilized in modern accounting and external audit workflows.</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Managed Print Services (MPS)</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Outsourced corporate services where specialized providers (e.g., HP, Xerox, Canon) manage, monitor, secure, and optimize an organization's entire document printing fleet.</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Combines cloud-native print queues, badge-authenticated printing (Zero-Trust), automated supplies management, and GDPR-compliant print security tracking.</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Prevents sensitive corporate documents from being left unattended on printer trays and tracks print expenditure across global corporate offices.</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Global enterprise print infrastructure market ($50.18B in 2025 -&gt; $117.52B in 2035 at 9.62% CAGR).</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Screen Inferiority Effect</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The scientifically documented cognitive phenomenon where human comprehension and information retention are systematically worse when reading on digital screens compared to printed paper.</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Caused by scrolling disruptions, loss of physical spatial cues, optical glare, and subconscious scanning heuristics that drain working memory.</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Explains why professionals miss critical details when reviewing dense contracts or financial filings on monitors.</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Tier 1 peer-reviewed meta-analytic finding quantified via Hedges' g effect size metric (-0.113 to -0.26).</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Hedges' g Metric</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A standardized statistical metric used in meta-analyses to measure the size of the difference (effect size) between two experimental conditions (e.g., screen reading vs. paper reading).</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Calculates the difference between two sample means divided by the pooled standard deviation, corrected for sample size bias (Formula: g = (M1 - M2) / SD*pooled).</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Allows researchers to combine dozens of scientific studies into a single definitive numerical measure of reading performance degradation.</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Statistically quantified disadvantage of -0.113 to -0.26 for digital screen reading comprehension vs. paper reading.</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Saccades and Fixations</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The physiological eye movements that occur during human reading.</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Saccades are rapid, ballistic eye jumps (lasting 20–30 milliseconds) that move the eye forward. Fixations are brief pauses (lasting 200–300 milliseconds) where the eye rests on a word to process its meaning.</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Smooth, uninterrupted saccades are required for reading comprehension; continuous scrolling disrupts saccadic planning, causing higher regression rates (jumping backward).</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Core ophthalmological and cognitive metric measured in Tier 1 eye-tracking reading studies.</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Construction-Integration Model</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A prominent cognitive psychology model (developed by Walter Kintsch) explaining how human beings comprehend and remember written text.</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The brain first decodes individual words ('construction') and then integrates them into a coherent mental representation of the overall topic ('integration'), heavily utilizing spatial memory landmarks.</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Explains why physical paper (which provides fixed spatial layout landmarks) supports deeper comprehension than scrolling screens (which destroy spatial cues).</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Theoretical framework explaining text comprehension and spatial mental mapping in cognitive science.</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Digital Eye Strain (DES) / Computer Vision Syndrome</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A collection of ocular and visual vision problems resulting from prolonged screen viewing.</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Staring at emissive, pixelated light reduces human blink rates from 15-20 blinks/min down to 4-7 blinks/min, causing tear film evaporation, optical muscle fatigue, blurred vision, and headaches.</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Creates a physiological wall that prevents financial analysts from sustaining intense analytical reading on monitors for extended hours.</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Ophthalmic condition with a documented global prevalence of approximately 69% among modern office workers.</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Straight-Through Processing (STP)</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An automated financial workflow where transactions are processed from start to finish electronically without any manual human intervention or physical paper handling.</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Integrates customer front-end apps directly with back-end banking ledgers and automated risk scoring engines.</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Dramatically lowers banking operational costs and provides instantaneous transaction completion for retail customers.</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Core operational architecture of modern retail banking and automated electronic trading.</w:t>
      </w:r>
    </w:p>
    <w:p>
      <w:pPr>
        <w:spacing w:before="40" w:after="100" w:line="276" w:lineRule="auto"/>
      </w:pPr>
      <w:r>
        <w:rPr>
          <w:rFonts w:ascii="Calibri" w:hAnsi="Calibri"/>
          <w:color w:val="222222"/>
          <w:sz w:val="20"/>
        </w:rPr>
      </w:r>
    </w:p>
    <w:p>
      <w:pPr>
        <w:keepNext/>
        <w:spacing w:before="200" w:after="60"/>
      </w:pPr>
      <w:r>
        <w:rPr>
          <w:rFonts w:ascii="Calibri" w:hAnsi="Calibri"/>
          <w:b/>
          <w:color w:val="4A607A"/>
          <w:sz w:val="22"/>
        </w:rPr>
        <w:t>Discounted Cash Flow (DCF) Modeling</w:t>
      </w:r>
    </w:p>
    <w:p>
      <w:pPr>
        <w:spacing w:before="40" w:after="100" w:line="276" w:lineRule="auto"/>
      </w:pPr>
      <w:r>
        <w:rPr>
          <w:rFonts w:ascii="Calibri" w:hAnsi="Calibri"/>
          <w:color w:val="222222"/>
          <w:sz w:val="20"/>
        </w:rPr>
      </w:r>
      <w:r>
        <w:rPr>
          <w:rFonts w:ascii="Calibri" w:hAnsi="Calibri"/>
          <w:b/>
          <w:color w:val="0F172A"/>
          <w:sz w:val="20"/>
        </w:rPr>
        <w:t>Simple Meaning:</w:t>
      </w:r>
      <w:r>
        <w:rPr>
          <w:rFonts w:ascii="Calibri" w:hAnsi="Calibri"/>
          <w:color w:val="222222"/>
          <w:sz w:val="20"/>
        </w:rPr>
        <w:t xml:space="preserve"> A core valuation method in corporate finance that estimates the value of an investment based on its expected future cash flows, discounted back to present value using a required rate of return.</w:t>
      </w:r>
    </w:p>
    <w:p>
      <w:pPr>
        <w:spacing w:before="40" w:after="100" w:line="276" w:lineRule="auto"/>
      </w:pPr>
      <w:r>
        <w:rPr>
          <w:rFonts w:ascii="Calibri" w:hAnsi="Calibri"/>
          <w:color w:val="222222"/>
          <w:sz w:val="20"/>
        </w:rPr>
      </w:r>
      <w:r>
        <w:rPr>
          <w:rFonts w:ascii="Calibri" w:hAnsi="Calibri"/>
          <w:b/>
          <w:color w:val="0F172A"/>
          <w:sz w:val="20"/>
        </w:rPr>
        <w:t>How It Works (Mechanism):</w:t>
      </w:r>
      <w:r>
        <w:rPr>
          <w:rFonts w:ascii="Calibri" w:hAnsi="Calibri"/>
          <w:color w:val="222222"/>
          <w:sz w:val="20"/>
        </w:rPr>
        <w:t xml:space="preserve"> Built dynamically in screen-based spreadsheets (Excel) with complex formula interdependencies across revenue, operating costs, working capital, and weighted average cost of capital (WACC).</w:t>
      </w:r>
    </w:p>
    <w:p>
      <w:pPr>
        <w:spacing w:before="40" w:after="100" w:line="276" w:lineRule="auto"/>
      </w:pPr>
      <w:r>
        <w:rPr>
          <w:rFonts w:ascii="Calibri" w:hAnsi="Calibri"/>
          <w:color w:val="222222"/>
          <w:sz w:val="20"/>
        </w:rPr>
      </w:r>
      <w:r>
        <w:rPr>
          <w:rFonts w:ascii="Calibri" w:hAnsi="Calibri"/>
          <w:b/>
          <w:color w:val="0F172A"/>
          <w:sz w:val="20"/>
        </w:rPr>
        <w:t>Why It Matters:</w:t>
      </w:r>
      <w:r>
        <w:rPr>
          <w:rFonts w:ascii="Calibri" w:hAnsi="Calibri"/>
          <w:color w:val="222222"/>
          <w:sz w:val="20"/>
        </w:rPr>
        <w:t xml:space="preserve"> Serves as the foundation for multi-million-dollar M&amp;A valuations, corporate debt issuance, and equity price targets.</w:t>
      </w:r>
    </w:p>
    <w:p>
      <w:pPr>
        <w:spacing w:before="40" w:after="100" w:line="276" w:lineRule="auto"/>
      </w:pPr>
      <w:r>
        <w:rPr>
          <w:rFonts w:ascii="Calibri" w:hAnsi="Calibri"/>
          <w:color w:val="222222"/>
          <w:sz w:val="20"/>
        </w:rPr>
      </w:r>
      <w:r>
        <w:rPr>
          <w:rFonts w:ascii="Calibri" w:hAnsi="Calibri"/>
          <w:b/>
          <w:color w:val="0F172A"/>
          <w:sz w:val="20"/>
        </w:rPr>
        <w:t>Technical / Source Definition:</w:t>
      </w:r>
      <w:r>
        <w:rPr>
          <w:rFonts w:ascii="Calibri" w:hAnsi="Calibri"/>
          <w:color w:val="222222"/>
          <w:sz w:val="20"/>
        </w:rPr>
        <w:t xml:space="preserve"> Generative, screen-based computational modeling workflow in Investment Banking and Equity Research.</w:t>
      </w:r>
    </w:p>
    <w:p>
      <w:pPr>
        <w:spacing w:before="40" w:after="100" w:line="276" w:lineRule="auto"/>
      </w:pPr>
      <w:r>
        <w:rPr>
          <w:rFonts w:ascii="Calibri" w:hAnsi="Calibri"/>
          <w:color w:val="222222"/>
          <w:sz w:val="20"/>
        </w:rPr>
      </w:r>
    </w:p>
    <w:p>
      <w:pPr>
        <w:keepNext/>
        <w:spacing w:before="400" w:after="120"/>
      </w:pPr>
      <w:r>
        <w:rPr>
          <w:rFonts w:ascii="Calibri" w:hAnsi="Calibri"/>
          <w:b/>
          <w:color w:val="1B365D"/>
          <w:sz w:val="31"/>
        </w:rPr>
        <w:t>Part 1: Foundational Framework, Executive Orientation, and Core Definitions</w:t>
      </w:r>
    </w:p>
    <w:p>
      <w:pPr>
        <w:keepNext/>
        <w:spacing w:before="280" w:after="80"/>
      </w:pPr>
      <w:r>
        <w:rPr>
          <w:rFonts w:ascii="Calibri" w:hAnsi="Calibri"/>
          <w:b/>
          <w:color w:val="2C5E8A"/>
          <w:sz w:val="26"/>
        </w:rPr>
        <w:t>1.1 Executive Overview and The Core Research Question</w:t>
      </w:r>
    </w:p>
    <w:tbl>
      <w:tblPr>
        <w:tblW w:type="auto" w:w="0"/>
        <w:jc w:val="center"/>
        <w:tblLayout w:type="fixed"/>
        <w:tblLook w:firstColumn="1" w:firstRow="1" w:lastColumn="0" w:lastRow="0" w:noHBand="0" w:noVBand="1" w:val="04A0"/>
      </w:tblPr>
      <w:tblGrid>
        <w:gridCol w:w="9360"/>
      </w:tblGrid>
      <w:tr>
        <w:tc>
          <w:tcPr>
            <w:tcW w:type="dxa" w:w="9360"/>
            <w:shd w:fill="FAF5FF"/>
            <w:tcBorders>
              <w:top w:val="none"/>
              <w:left w:val="single" w:sz="32" w:space="0" w:color="7E22CE"/>
              <w:bottom w:val="none"/>
              <w:right w:val="none"/>
            </w:tcBorders>
            <w:tcMar>
              <w:top w:w="100" w:type="dxa"/>
              <w:bottom w:w="100" w:type="dxa"/>
              <w:left w:w="160" w:type="dxa"/>
              <w:right w:w="160" w:type="dxa"/>
            </w:tcMar>
          </w:tcPr>
          <w:p>
            <w:pPr>
              <w:spacing w:before="40" w:after="80" w:line="276" w:lineRule="auto"/>
            </w:pPr>
            <w:r>
              <w:rPr>
                <w:rFonts w:ascii="Calibri" w:hAnsi="Calibri"/>
                <w:b/>
                <w:color w:val="7E22CE"/>
                <w:sz w:val="19"/>
              </w:rPr>
              <w:t xml:space="preserve">[🧠 COGNITIVE MENTAL MODEL] </w:t>
            </w:r>
            <w:r>
              <w:rPr>
                <w:rFonts w:ascii="Calibri" w:hAnsi="Calibri"/>
                <w:b/>
                <w:color w:val="141414"/>
                <w:sz w:val="20"/>
              </w:rPr>
              <w:t>The Dual-Desk Reality of Modern Financial Work</w:t>
            </w:r>
          </w:p>
          <w:p>
            <w:pPr>
              <w:spacing w:before="20" w:after="60" w:line="276" w:lineRule="auto"/>
            </w:pPr>
            <w:r>
              <w:rPr>
                <w:rFonts w:ascii="Calibri" w:hAnsi="Calibri"/>
                <w:color w:val="334155"/>
                <w:sz w:val="19"/>
              </w:rPr>
            </w:r>
            <w:r>
              <w:rPr>
                <w:rFonts w:ascii="Calibri" w:hAnsi="Calibri"/>
                <w:b/>
                <w:color w:val="0F172A"/>
                <w:sz w:val="19"/>
              </w:rPr>
              <w:t>Familiar Idea:</w:t>
            </w:r>
            <w:r>
              <w:rPr>
                <w:rFonts w:ascii="Calibri" w:hAnsi="Calibri"/>
                <w:color w:val="334155"/>
                <w:sz w:val="19"/>
              </w:rPr>
              <w:t xml:space="preserve"> Picture a senior financial analyst sitting at their workstation. On one hand, they have three ultra-wide, high-resolution curved monitors displaying real-time Bloomberg tickers, complex Excel financial models, and corporate email threads. On the other hand, spread across the mahogany desk, are printed copies of a 250-page annual report, marked with yellow highlighters, red pens, and adhesive tabs flagging specific debt covenants.</w:t>
            </w:r>
          </w:p>
          <w:p>
            <w:pPr>
              <w:spacing w:before="20" w:after="20" w:line="276" w:lineRule="auto"/>
            </w:pPr>
            <w:r>
              <w:rPr>
                <w:rFonts w:ascii="Calibri" w:hAnsi="Calibri"/>
                <w:color w:val="334155"/>
                <w:sz w:val="19"/>
              </w:rPr>
            </w:r>
            <w:r>
              <w:rPr>
                <w:rFonts w:ascii="Calibri" w:hAnsi="Calibri"/>
                <w:b/>
                <w:color w:val="0F172A"/>
                <w:sz w:val="19"/>
              </w:rPr>
              <w:t>The Core Question:</w:t>
            </w:r>
            <w:r>
              <w:rPr>
                <w:rFonts w:ascii="Calibri" w:hAnsi="Calibri"/>
                <w:color w:val="334155"/>
                <w:sz w:val="19"/>
              </w:rPr>
              <w:t xml:space="preserve"> Why does an analyst surrounded by $10,000 worth of state-of-the-art digital displays still spend money and effort printing physical paper? This report investigates the exact empirical balance between digital screens and physical documents in professional knowledge work.</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Executive Summary &amp; Empirical Scope of PDRF</w:t>
            </w:r>
          </w:p>
          <w:p>
            <w:pPr>
              <w:spacing w:before="20" w:after="60" w:line="276" w:lineRule="auto"/>
            </w:pPr>
            <w:r>
              <w:rPr>
                <w:rFonts w:ascii="Calibri" w:hAnsi="Calibri"/>
                <w:color w:val="334155"/>
                <w:sz w:val="19"/>
              </w:rPr>
            </w:r>
            <w:r>
              <w:rPr>
                <w:rFonts w:ascii="Calibri" w:hAnsi="Calibri"/>
                <w:b/>
                <w:color w:val="0F172A"/>
                <w:sz w:val="19"/>
              </w:rPr>
              <w:t>Source Background:</w:t>
            </w:r>
            <w:r>
              <w:rPr>
                <w:rFonts w:ascii="Calibri" w:hAnsi="Calibri"/>
                <w:color w:val="334155"/>
                <w:sz w:val="19"/>
              </w:rPr>
              <w:t xml:space="preserve"> The contemporary financial and professional services landscape of 2026 operates within a highly complex, multidimensional information ecosystem. This comprehensive research report investigates the true extent of digital-screen versus physical-document dependence among professionals in finance, banking, investment, law, and accounting.</w:t>
            </w:r>
          </w:p>
          <w:p>
            <w:pPr>
              <w:spacing w:before="20" w:after="60" w:line="276" w:lineRule="auto"/>
            </w:pPr>
            <w:r>
              <w:rPr>
                <w:rFonts w:ascii="Calibri" w:hAnsi="Calibri"/>
                <w:color w:val="334155"/>
                <w:sz w:val="19"/>
              </w:rPr>
            </w:r>
            <w:r>
              <w:rPr>
                <w:rFonts w:ascii="Calibri" w:hAnsi="Calibri"/>
                <w:b/>
                <w:color w:val="0F172A"/>
                <w:sz w:val="19"/>
              </w:rPr>
              <w:t>Central Empirical Objective:</w:t>
            </w:r>
            <w:r>
              <w:rPr>
                <w:rFonts w:ascii="Calibri" w:hAnsi="Calibri"/>
                <w:color w:val="334155"/>
                <w:sz w:val="19"/>
              </w:rPr>
              <w:t xml:space="preserve"> Evaluate the real-world applicability and scope of the </w:t>
            </w:r>
            <w:r>
              <w:rPr>
                <w:rFonts w:ascii="Calibri" w:hAnsi="Calibri"/>
                <w:b/>
                <w:color w:val="0F172A"/>
                <w:sz w:val="19"/>
              </w:rPr>
              <w:t>Professional Document Reading Framework (PDRF)</w:t>
            </w:r>
            <w:r>
              <w:rPr>
                <w:rFonts w:ascii="Calibri" w:hAnsi="Calibri"/>
                <w:color w:val="334155"/>
                <w:sz w:val="19"/>
              </w:rPr>
              <w:t xml:space="preserve"> by answering a critical empirical question: </w:t>
            </w:r>
            <w:r>
              <w:rPr>
                <w:rFonts w:ascii="Calibri" w:hAnsi="Calibri"/>
                <w:b/>
                <w:color w:val="0F172A"/>
                <w:sz w:val="19"/>
              </w:rPr>
              <w:t>What proportion of information-processing activity depends primarily on digital screens, and what proportion materially depends on physical documents?</w:t>
            </w: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The Core Empirical Finding:</w:t>
            </w:r>
            <w:r>
              <w:rPr>
                <w:rFonts w:ascii="Calibri" w:hAnsi="Calibri"/>
                <w:color w:val="334155"/>
                <w:sz w:val="19"/>
              </w:rPr>
              <w:t xml:space="preserve"> The corporate narrative of a 'paperless' transition is contradicted by 2024–2026 empirical data. While digital platforms dominate data aggregation, algorithmic processing, and high-velocity communications, physical paper remains deeply entrenched for deep cognitive reading, complex comparative analysis, and regulatory enforceability.</w:t>
            </w:r>
          </w:p>
          <w:p>
            <w:pPr>
              <w:spacing w:before="20" w:after="20" w:line="276" w:lineRule="auto"/>
            </w:pPr>
            <w:r>
              <w:rPr>
                <w:rFonts w:ascii="Calibri" w:hAnsi="Calibri"/>
                <w:color w:val="334155"/>
                <w:sz w:val="19"/>
              </w:rPr>
            </w:r>
            <w:r>
              <w:rPr>
                <w:rFonts w:ascii="Calibri" w:hAnsi="Calibri"/>
                <w:b/>
                <w:color w:val="0F172A"/>
                <w:sz w:val="19"/>
              </w:rPr>
              <w:t>Neurobiological Driver:</w:t>
            </w:r>
            <w:r>
              <w:rPr>
                <w:rFonts w:ascii="Calibri" w:hAnsi="Calibri"/>
                <w:color w:val="334155"/>
                <w:sz w:val="19"/>
              </w:rPr>
              <w:t xml:space="preserve"> Scientific consensus confirms a 'screen inferiority effect' (comprehension and retention degraded on screens) and an epidemic of Digital Eye Strain (DES) affecting ~69% of office workers. Therefore, the 2026 financial environment is structurally hybrid, requiring PDRF to be conceptualized as a medium-independent framework.</w:t>
            </w:r>
          </w:p>
        </w:tc>
      </w:tr>
    </w:tbl>
    <w:p>
      <w:pPr>
        <w:spacing w:before="0" w:after="60"/>
      </w:pPr>
    </w:p>
    <w:p>
      <w:pPr>
        <w:keepNext/>
        <w:spacing w:before="280" w:after="80"/>
      </w:pPr>
      <w:r>
        <w:rPr>
          <w:rFonts w:ascii="Calibri" w:hAnsi="Calibri"/>
          <w:b/>
          <w:color w:val="2C5E8A"/>
          <w:sz w:val="26"/>
        </w:rPr>
        <w:t>1.2 Deconstructing Digital Screen Dependence: The 4 Operational Modalities</w:t>
      </w:r>
    </w:p>
    <w:p>
      <w:pPr>
        <w:spacing w:before="40" w:after="100" w:line="276" w:lineRule="auto"/>
      </w:pPr>
      <w:r>
        <w:rPr>
          <w:rFonts w:ascii="Calibri" w:hAnsi="Calibri"/>
          <w:color w:val="222222"/>
          <w:sz w:val="20"/>
        </w:rPr>
        <w:t>To understand digital dependence, we must avoid viewing computer use as a single generic activity. Modern financial professionals interact with screens in four distinct functional ways:</w:t>
      </w:r>
    </w:p>
    <w:p>
      <w:pPr>
        <w:keepNext/>
        <w:spacing w:before="200" w:after="60"/>
      </w:pPr>
      <w:r>
        <w:rPr>
          <w:rFonts w:ascii="Calibri" w:hAnsi="Calibri"/>
          <w:b/>
          <w:color w:val="4A607A"/>
          <w:sz w:val="22"/>
        </w:rPr>
        <w:t>Modality 1: Screen-Based Work (Active &amp; Generative Creation)</w:t>
      </w:r>
    </w:p>
    <w:p>
      <w:pPr>
        <w:spacing w:before="40" w:after="100" w:line="276" w:lineRule="auto"/>
      </w:pPr>
      <w:r>
        <w:rPr>
          <w:rFonts w:ascii="Calibri" w:hAnsi="Calibri"/>
          <w:color w:val="222222"/>
          <w:sz w:val="20"/>
        </w:rPr>
      </w:r>
      <w:r>
        <w:rPr>
          <w:rFonts w:ascii="Calibri" w:hAnsi="Calibri"/>
          <w:b/>
          <w:color w:val="0F172A"/>
          <w:sz w:val="20"/>
        </w:rPr>
        <w:t>What It Is:</w:t>
      </w:r>
      <w:r>
        <w:rPr>
          <w:rFonts w:ascii="Calibri" w:hAnsi="Calibri"/>
          <w:color w:val="222222"/>
          <w:sz w:val="20"/>
        </w:rPr>
        <w:t xml:space="preserve"> Active, generative tasks requiring continuous digital manipulation, algorithmic computation, and data entry.</w:t>
      </w:r>
    </w:p>
    <w:p>
      <w:pPr>
        <w:pStyle w:val="ListBullet"/>
        <w:spacing w:before="20" w:after="60" w:line="276" w:lineRule="auto"/>
        <w:ind w:left="360"/>
      </w:pPr>
      <w:r>
        <w:rPr>
          <w:rFonts w:ascii="Calibri" w:hAnsi="Calibri"/>
          <w:color w:val="222222"/>
          <w:sz w:val="20"/>
        </w:rPr>
      </w:r>
      <w:r>
        <w:rPr>
          <w:rFonts w:ascii="Calibri" w:hAnsi="Calibri"/>
          <w:b/>
          <w:color w:val="0F172A"/>
          <w:sz w:val="20"/>
        </w:rPr>
        <w:t>Real-World Tasks:</w:t>
      </w:r>
      <w:r>
        <w:rPr>
          <w:rFonts w:ascii="Calibri" w:hAnsi="Calibri"/>
          <w:color w:val="222222"/>
          <w:sz w:val="20"/>
        </w:rPr>
        <w:t xml:space="preserve"> Building dynamic discounted cash flow (DCF) models in Excel, writing quantitative trading algorithms in Python/C++, running statistical backtests in Jupyter notebooks, and operating enterprise accounting systems (SAP/Oracle).</w:t>
      </w:r>
    </w:p>
    <w:p>
      <w:pPr>
        <w:pStyle w:val="ListBullet"/>
        <w:spacing w:before="20" w:after="60" w:line="276" w:lineRule="auto"/>
        <w:ind w:left="360"/>
      </w:pPr>
      <w:r>
        <w:rPr>
          <w:rFonts w:ascii="Calibri" w:hAnsi="Calibri"/>
          <w:color w:val="222222"/>
          <w:sz w:val="20"/>
        </w:rPr>
      </w:r>
      <w:r>
        <w:rPr>
          <w:rFonts w:ascii="Calibri" w:hAnsi="Calibri"/>
          <w:b/>
          <w:color w:val="0F172A"/>
          <w:sz w:val="20"/>
        </w:rPr>
        <w:t>Underlying Mechanism:</w:t>
      </w:r>
      <w:r>
        <w:rPr>
          <w:rFonts w:ascii="Calibri" w:hAnsi="Calibri"/>
          <w:color w:val="222222"/>
          <w:sz w:val="20"/>
        </w:rPr>
        <w:t xml:space="preserve"> The computer is not merely displaying text; it is actively calculating math, executing logic, and maintaining complex database states that cannot exist on static paper.</w:t>
      </w:r>
    </w:p>
    <w:p>
      <w:pPr>
        <w:keepNext/>
        <w:spacing w:before="200" w:after="60"/>
      </w:pPr>
      <w:r>
        <w:rPr>
          <w:rFonts w:ascii="Calibri" w:hAnsi="Calibri"/>
          <w:b/>
          <w:color w:val="4A607A"/>
          <w:sz w:val="22"/>
        </w:rPr>
        <w:t>Modality 2: Screen-Based Document Reading (Static Electronic Consumption)</w:t>
      </w:r>
    </w:p>
    <w:p>
      <w:pPr>
        <w:spacing w:before="40" w:after="100" w:line="276" w:lineRule="auto"/>
      </w:pPr>
      <w:r>
        <w:rPr>
          <w:rFonts w:ascii="Calibri" w:hAnsi="Calibri"/>
          <w:color w:val="222222"/>
          <w:sz w:val="20"/>
        </w:rPr>
      </w:r>
      <w:r>
        <w:rPr>
          <w:rFonts w:ascii="Calibri" w:hAnsi="Calibri"/>
          <w:b/>
          <w:color w:val="0F172A"/>
          <w:sz w:val="20"/>
        </w:rPr>
        <w:t>What It Is:</w:t>
      </w:r>
      <w:r>
        <w:rPr>
          <w:rFonts w:ascii="Calibri" w:hAnsi="Calibri"/>
          <w:color w:val="222222"/>
          <w:sz w:val="20"/>
        </w:rPr>
        <w:t xml:space="preserve"> The consumption of static electronic text and documents rendered on digital displays.</w:t>
      </w:r>
    </w:p>
    <w:p>
      <w:pPr>
        <w:pStyle w:val="ListBullet"/>
        <w:spacing w:before="20" w:after="60" w:line="276" w:lineRule="auto"/>
        <w:ind w:left="360"/>
      </w:pPr>
      <w:r>
        <w:rPr>
          <w:rFonts w:ascii="Calibri" w:hAnsi="Calibri"/>
          <w:color w:val="222222"/>
          <w:sz w:val="20"/>
        </w:rPr>
      </w:r>
      <w:r>
        <w:rPr>
          <w:rFonts w:ascii="Calibri" w:hAnsi="Calibri"/>
          <w:b/>
          <w:color w:val="0F172A"/>
          <w:sz w:val="20"/>
        </w:rPr>
        <w:t>Real-World Tasks:</w:t>
      </w:r>
      <w:r>
        <w:rPr>
          <w:rFonts w:ascii="Calibri" w:hAnsi="Calibri"/>
          <w:color w:val="222222"/>
          <w:sz w:val="20"/>
        </w:rPr>
        <w:t xml:space="preserve"> Reading PDF versions of SEC filings (10-K, 10-Q), equity research reports, corporate legal contracts, bond indentures, and internal PowerPoint presentations.</w:t>
      </w:r>
    </w:p>
    <w:p>
      <w:pPr>
        <w:pStyle w:val="ListBullet"/>
        <w:spacing w:before="20" w:after="60" w:line="276" w:lineRule="auto"/>
        <w:ind w:left="360"/>
      </w:pPr>
      <w:r>
        <w:rPr>
          <w:rFonts w:ascii="Calibri" w:hAnsi="Calibri"/>
          <w:color w:val="222222"/>
          <w:sz w:val="20"/>
        </w:rPr>
      </w:r>
      <w:r>
        <w:rPr>
          <w:rFonts w:ascii="Calibri" w:hAnsi="Calibri"/>
          <w:b/>
          <w:color w:val="0F172A"/>
          <w:sz w:val="20"/>
        </w:rPr>
        <w:t>Underlying Mechanism:</w:t>
      </w:r>
      <w:r>
        <w:rPr>
          <w:rFonts w:ascii="Calibri" w:hAnsi="Calibri"/>
          <w:color w:val="222222"/>
          <w:sz w:val="20"/>
        </w:rPr>
        <w:t xml:space="preserve"> The computer acts as an electronic document viewer, providing instant keyword searchability (Ctrl+F) and global distribution without physical printing costs.</w:t>
      </w:r>
    </w:p>
    <w:p>
      <w:pPr>
        <w:keepNext/>
        <w:spacing w:before="200" w:after="60"/>
      </w:pPr>
      <w:r>
        <w:rPr>
          <w:rFonts w:ascii="Calibri" w:hAnsi="Calibri"/>
          <w:b/>
          <w:color w:val="4A607A"/>
          <w:sz w:val="22"/>
        </w:rPr>
        <w:t>Modality 3: Screen-Based Information Monitoring (High-Velocity Surveillance)</w:t>
      </w:r>
    </w:p>
    <w:p>
      <w:pPr>
        <w:spacing w:before="40" w:after="100" w:line="276" w:lineRule="auto"/>
      </w:pPr>
      <w:r>
        <w:rPr>
          <w:rFonts w:ascii="Calibri" w:hAnsi="Calibri"/>
          <w:color w:val="222222"/>
          <w:sz w:val="20"/>
        </w:rPr>
      </w:r>
      <w:r>
        <w:rPr>
          <w:rFonts w:ascii="Calibri" w:hAnsi="Calibri"/>
          <w:b/>
          <w:color w:val="0F172A"/>
          <w:sz w:val="20"/>
        </w:rPr>
        <w:t>What It Is:</w:t>
      </w:r>
      <w:r>
        <w:rPr>
          <w:rFonts w:ascii="Calibri" w:hAnsi="Calibri"/>
          <w:color w:val="222222"/>
          <w:sz w:val="20"/>
        </w:rPr>
        <w:t xml:space="preserve"> The passive or semi-active surveillance of rapid, live data feeds where information changes second-by-second.</w:t>
      </w:r>
    </w:p>
    <w:p>
      <w:pPr>
        <w:pStyle w:val="ListBullet"/>
        <w:spacing w:before="20" w:after="60" w:line="276" w:lineRule="auto"/>
        <w:ind w:left="360"/>
      </w:pPr>
      <w:r>
        <w:rPr>
          <w:rFonts w:ascii="Calibri" w:hAnsi="Calibri"/>
          <w:color w:val="222222"/>
          <w:sz w:val="20"/>
        </w:rPr>
      </w:r>
      <w:r>
        <w:rPr>
          <w:rFonts w:ascii="Calibri" w:hAnsi="Calibri"/>
          <w:b/>
          <w:color w:val="0F172A"/>
          <w:sz w:val="20"/>
        </w:rPr>
        <w:t>Real-World Tasks:</w:t>
      </w:r>
      <w:r>
        <w:rPr>
          <w:rFonts w:ascii="Calibri" w:hAnsi="Calibri"/>
          <w:color w:val="222222"/>
          <w:sz w:val="20"/>
        </w:rPr>
        <w:t xml:space="preserve"> Monitoring Bloomberg Professional terminals, Reuters/LSEG market feeds, real-time risk dashboards, algorithmic order queues, and breaking financial news wires.</w:t>
      </w:r>
    </w:p>
    <w:p>
      <w:pPr>
        <w:pStyle w:val="ListBullet"/>
        <w:spacing w:before="20" w:after="60" w:line="276" w:lineRule="auto"/>
        <w:ind w:left="360"/>
      </w:pPr>
      <w:r>
        <w:rPr>
          <w:rFonts w:ascii="Calibri" w:hAnsi="Calibri"/>
          <w:color w:val="222222"/>
          <w:sz w:val="20"/>
        </w:rPr>
      </w:r>
      <w:r>
        <w:rPr>
          <w:rFonts w:ascii="Calibri" w:hAnsi="Calibri"/>
          <w:b/>
          <w:color w:val="0F172A"/>
          <w:sz w:val="20"/>
        </w:rPr>
        <w:t>Underlying Mechanism:</w:t>
      </w:r>
      <w:r>
        <w:rPr>
          <w:rFonts w:ascii="Calibri" w:hAnsi="Calibri"/>
          <w:color w:val="222222"/>
          <w:sz w:val="20"/>
        </w:rPr>
        <w:t xml:space="preserve"> Information velocity is so high that physical printing is physically impossible; any printed page would be obsolete seconds after leaving the printer.</w:t>
      </w:r>
    </w:p>
    <w:p>
      <w:pPr>
        <w:keepNext/>
        <w:spacing w:before="200" w:after="60"/>
      </w:pPr>
      <w:r>
        <w:rPr>
          <w:rFonts w:ascii="Calibri" w:hAnsi="Calibri"/>
          <w:b/>
          <w:color w:val="4A607A"/>
          <w:sz w:val="22"/>
        </w:rPr>
        <w:t>Modality 4: Screen-Based Communication (Institutional Collaboration)</w:t>
      </w:r>
    </w:p>
    <w:p>
      <w:pPr>
        <w:spacing w:before="40" w:after="100" w:line="276" w:lineRule="auto"/>
      </w:pPr>
      <w:r>
        <w:rPr>
          <w:rFonts w:ascii="Calibri" w:hAnsi="Calibri"/>
          <w:color w:val="222222"/>
          <w:sz w:val="20"/>
        </w:rPr>
      </w:r>
      <w:r>
        <w:rPr>
          <w:rFonts w:ascii="Calibri" w:hAnsi="Calibri"/>
          <w:b/>
          <w:color w:val="0F172A"/>
          <w:sz w:val="20"/>
        </w:rPr>
        <w:t>What It Is:</w:t>
      </w:r>
      <w:r>
        <w:rPr>
          <w:rFonts w:ascii="Calibri" w:hAnsi="Calibri"/>
          <w:color w:val="222222"/>
          <w:sz w:val="20"/>
        </w:rPr>
        <w:t xml:space="preserve"> Digital channels that facilitate interpersonal, team, client, and regulatory collaboration across distributed teams.</w:t>
      </w:r>
    </w:p>
    <w:p>
      <w:pPr>
        <w:pStyle w:val="ListBullet"/>
        <w:spacing w:before="20" w:after="60" w:line="276" w:lineRule="auto"/>
        <w:ind w:left="360"/>
      </w:pPr>
      <w:r>
        <w:rPr>
          <w:rFonts w:ascii="Calibri" w:hAnsi="Calibri"/>
          <w:color w:val="222222"/>
          <w:sz w:val="20"/>
        </w:rPr>
      </w:r>
      <w:r>
        <w:rPr>
          <w:rFonts w:ascii="Calibri" w:hAnsi="Calibri"/>
          <w:b/>
          <w:color w:val="0F172A"/>
          <w:sz w:val="20"/>
        </w:rPr>
        <w:t>Real-World Tasks:</w:t>
      </w:r>
      <w:r>
        <w:rPr>
          <w:rFonts w:ascii="Calibri" w:hAnsi="Calibri"/>
          <w:color w:val="222222"/>
          <w:sz w:val="20"/>
        </w:rPr>
        <w:t xml:space="preserve"> Exchanging corporate emails, collaborating in Microsoft Teams channels, messaging on Slack, and conducting high-definition video conferences.</w:t>
      </w:r>
    </w:p>
    <w:p>
      <w:pPr>
        <w:pStyle w:val="ListBullet"/>
        <w:spacing w:before="20" w:after="60" w:line="276" w:lineRule="auto"/>
        <w:ind w:left="360"/>
      </w:pPr>
      <w:r>
        <w:rPr>
          <w:rFonts w:ascii="Calibri" w:hAnsi="Calibri"/>
          <w:color w:val="222222"/>
          <w:sz w:val="20"/>
        </w:rPr>
      </w:r>
      <w:r>
        <w:rPr>
          <w:rFonts w:ascii="Calibri" w:hAnsi="Calibri"/>
          <w:b/>
          <w:color w:val="0F172A"/>
          <w:sz w:val="20"/>
        </w:rPr>
        <w:t>Underlying Mechanism:</w:t>
      </w:r>
      <w:r>
        <w:rPr>
          <w:rFonts w:ascii="Calibri" w:hAnsi="Calibri"/>
          <w:color w:val="222222"/>
          <w:sz w:val="20"/>
        </w:rPr>
        <w:t xml:space="preserve"> Enables real-time synchronization and document sharing across distributed global financial hubs (New York, London, Tokyo, Mumbai, Singapore).</w:t>
      </w:r>
    </w:p>
    <w:p>
      <w:pPr>
        <w:keepNext/>
        <w:spacing w:before="280" w:after="80"/>
      </w:pPr>
      <w:r>
        <w:rPr>
          <w:rFonts w:ascii="Calibri" w:hAnsi="Calibri"/>
          <w:b/>
          <w:color w:val="2C5E8A"/>
          <w:sz w:val="26"/>
        </w:rPr>
        <w:t>1.3 Deconstructing Physical Document Dependence: The 4 Key Indicators</w:t>
      </w:r>
    </w:p>
    <w:p>
      <w:pPr>
        <w:spacing w:before="40" w:after="100" w:line="276" w:lineRule="auto"/>
      </w:pPr>
      <w:r>
        <w:rPr>
          <w:rFonts w:ascii="Calibri" w:hAnsi="Calibri"/>
          <w:color w:val="222222"/>
          <w:sz w:val="20"/>
        </w:rPr>
        <w:t xml:space="preserve">Physical document dependence is </w:t>
      </w:r>
      <w:r>
        <w:rPr>
          <w:rFonts w:ascii="Calibri" w:hAnsi="Calibri"/>
          <w:b/>
          <w:color w:val="0F172A"/>
          <w:sz w:val="20"/>
        </w:rPr>
        <w:t>not</w:t>
      </w:r>
      <w:r>
        <w:rPr>
          <w:rFonts w:ascii="Calibri" w:hAnsi="Calibri"/>
          <w:color w:val="222222"/>
          <w:sz w:val="20"/>
        </w:rPr>
        <w:t xml:space="preserve"> casual or accidental paper use (such as printing a lunch menu or driving directions). It is defined as the </w:t>
      </w:r>
      <w:r>
        <w:rPr>
          <w:rFonts w:ascii="Calibri" w:hAnsi="Calibri"/>
          <w:b/>
          <w:color w:val="0F172A"/>
          <w:sz w:val="20"/>
        </w:rPr>
        <w:t>intentional, task-driven utilization of printed materials to achieve a professional objective that is practically, cognitively, or legally suboptimal in digital format</w:t>
      </w:r>
      <w:r>
        <w:rPr>
          <w:rFonts w:ascii="Calibri" w:hAnsi="Calibri"/>
          <w:color w:val="222222"/>
          <w:sz w:val="20"/>
        </w:rPr>
        <w:t>.</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The Four Hallmarks of Genuine Physical Dependence</w:t>
            </w:r>
          </w:p>
          <w:p>
            <w:pPr>
              <w:spacing w:before="20" w:after="60" w:line="276" w:lineRule="auto"/>
            </w:pPr>
            <w:r>
              <w:rPr>
                <w:rFonts w:ascii="Calibri" w:hAnsi="Calibri"/>
                <w:color w:val="334155"/>
                <w:sz w:val="19"/>
              </w:rPr>
            </w:r>
            <w:r>
              <w:rPr>
                <w:rFonts w:ascii="Calibri" w:hAnsi="Calibri"/>
                <w:b/>
                <w:color w:val="0F172A"/>
                <w:sz w:val="19"/>
              </w:rPr>
              <w:t>1. Deep Reading and Comprehension:</w:t>
            </w:r>
            <w:r>
              <w:rPr>
                <w:rFonts w:ascii="Calibri" w:hAnsi="Calibri"/>
                <w:color w:val="334155"/>
                <w:sz w:val="19"/>
              </w:rPr>
              <w:t xml:space="preserve"> Printing lengthy, dense annual reports, bond prospectuses, or academic papers to eliminate screen glare, mitigate cognitive fatigue, and sustain intense analytical focus.</w:t>
            </w:r>
          </w:p>
          <w:p>
            <w:pPr>
              <w:spacing w:before="20" w:after="60" w:line="276" w:lineRule="auto"/>
            </w:pPr>
            <w:r>
              <w:rPr>
                <w:rFonts w:ascii="Calibri" w:hAnsi="Calibri"/>
                <w:color w:val="334155"/>
                <w:sz w:val="19"/>
              </w:rPr>
            </w:r>
            <w:r>
              <w:rPr>
                <w:rFonts w:ascii="Calibri" w:hAnsi="Calibri"/>
                <w:b/>
                <w:color w:val="0F172A"/>
                <w:sz w:val="19"/>
              </w:rPr>
              <w:t>2. Comparative Analysis and Spatial Annotation:</w:t>
            </w:r>
            <w:r>
              <w:rPr>
                <w:rFonts w:ascii="Calibri" w:hAnsi="Calibri"/>
                <w:color w:val="334155"/>
                <w:sz w:val="19"/>
              </w:rPr>
              <w:t xml:space="preserve"> Spreading out multiple documents across a desk to cross-reference multiple sections simultaneously (e.g., matching a consolidated balance sheet against Footnote 18) while applying tactile, handwritten marginalia with pens and highlighters.</w:t>
            </w:r>
          </w:p>
          <w:p>
            <w:pPr>
              <w:spacing w:before="20" w:after="60" w:line="276" w:lineRule="auto"/>
            </w:pPr>
            <w:r>
              <w:rPr>
                <w:rFonts w:ascii="Calibri" w:hAnsi="Calibri"/>
                <w:color w:val="334155"/>
                <w:sz w:val="19"/>
              </w:rPr>
            </w:r>
            <w:r>
              <w:rPr>
                <w:rFonts w:ascii="Calibri" w:hAnsi="Calibri"/>
                <w:b/>
                <w:color w:val="0F172A"/>
                <w:sz w:val="19"/>
              </w:rPr>
              <w:t>3. Regulatory, Evidentiary, and Legal Necessity:</w:t>
            </w:r>
            <w:r>
              <w:rPr>
                <w:rFonts w:ascii="Calibri" w:hAnsi="Calibri"/>
                <w:color w:val="334155"/>
                <w:sz w:val="19"/>
              </w:rPr>
              <w:t xml:space="preserve"> Generating physical paper for wet-ink signatures, physical notarizations, courtroom evidentiary chain-of-custody, and jurisdictional statutory compliance (e.g., Section 65B certificates in India).</w:t>
            </w:r>
          </w:p>
          <w:p>
            <w:pPr>
              <w:spacing w:before="20" w:after="20" w:line="276" w:lineRule="auto"/>
            </w:pPr>
            <w:r>
              <w:rPr>
                <w:rFonts w:ascii="Calibri" w:hAnsi="Calibri"/>
                <w:color w:val="334155"/>
                <w:sz w:val="19"/>
              </w:rPr>
            </w:r>
            <w:r>
              <w:rPr>
                <w:rFonts w:ascii="Calibri" w:hAnsi="Calibri"/>
                <w:b/>
                <w:color w:val="0F172A"/>
                <w:sz w:val="19"/>
              </w:rPr>
              <w:t>4. High-Stakes Meetings and Executive Deliberations:</w:t>
            </w:r>
            <w:r>
              <w:rPr>
                <w:rFonts w:ascii="Calibri" w:hAnsi="Calibri"/>
                <w:color w:val="334155"/>
                <w:sz w:val="19"/>
              </w:rPr>
              <w:t xml:space="preserve"> Printing physical 'pitch books', board binders, or transaction checklists to command undivided human attention, control meeting cadence, and prevent participants from multitasking on their personal laptops.</w:t>
            </w:r>
          </w:p>
        </w:tc>
      </w:tr>
    </w:tbl>
    <w:p>
      <w:pPr>
        <w:spacing w:before="0" w:after="60"/>
      </w:pPr>
    </w:p>
    <w:p>
      <w:pPr>
        <w:keepNext/>
        <w:spacing w:before="280" w:after="80"/>
      </w:pPr>
      <w:r>
        <w:rPr>
          <w:rFonts w:ascii="Calibri" w:hAnsi="Calibri"/>
          <w:b/>
          <w:color w:val="2C5E8A"/>
          <w:sz w:val="26"/>
        </w:rPr>
        <w:t>1.4 The 2026 Macro Environment: The Paradox of the 'Paperless' Office</w:t>
      </w:r>
    </w:p>
    <w:p>
      <w:pPr>
        <w:spacing w:before="40" w:after="100" w:line="276" w:lineRule="auto"/>
      </w:pPr>
      <w:r>
        <w:rPr>
          <w:rFonts w:ascii="Calibri" w:hAnsi="Calibri"/>
          <w:color w:val="222222"/>
          <w:sz w:val="20"/>
        </w:rPr>
        <w:t>Over the last decade, corporate executives forecasted a completely 'paperless' financial sector. However, 2024–2026 macro-economic data reveals a profound divergence:</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Macro Workplace Market Divergence: Digital Surge vs Managed Print Paradox</w:t>
            </w:r>
          </w:p>
          <w:p>
            <w:pPr>
              <w:spacing w:before="20" w:after="60" w:line="276" w:lineRule="auto"/>
            </w:pPr>
            <w:r>
              <w:rPr>
                <w:rFonts w:ascii="Calibri" w:hAnsi="Calibri"/>
                <w:color w:val="334155"/>
                <w:sz w:val="19"/>
              </w:rPr>
            </w:r>
            <w:r>
              <w:rPr>
                <w:rFonts w:ascii="Calibri" w:hAnsi="Calibri"/>
                <w:b/>
                <w:color w:val="0F172A"/>
                <w:sz w:val="19"/>
              </w:rPr>
              <w:t>The Digital Workplace Surge:</w:t>
            </w:r>
            <w:r>
              <w:rPr>
                <w:rFonts w:ascii="Calibri" w:hAnsi="Calibri"/>
                <w:color w:val="334155"/>
                <w:sz w:val="19"/>
              </w:rPr>
            </w:r>
          </w:p>
          <w:p>
            <w:pPr>
              <w:spacing w:before="20" w:after="60" w:line="276" w:lineRule="auto"/>
            </w:pPr>
            <w:r>
              <w:rPr>
                <w:rFonts w:ascii="Calibri" w:hAnsi="Calibri"/>
                <w:color w:val="334155"/>
                <w:sz w:val="19"/>
              </w:rPr>
              <w:t xml:space="preserve">• Global Digital Workplace Market: Reached </w:t>
            </w:r>
            <w:r>
              <w:rPr>
                <w:rFonts w:ascii="Calibri" w:hAnsi="Calibri"/>
                <w:b/>
                <w:color w:val="0F172A"/>
                <w:sz w:val="19"/>
              </w:rPr>
              <w:t>$62.0 billion in 2025</w:t>
            </w:r>
            <w:r>
              <w:rPr>
                <w:rFonts w:ascii="Calibri" w:hAnsi="Calibri"/>
                <w:color w:val="334155"/>
                <w:sz w:val="19"/>
              </w:rPr>
              <w:t xml:space="preserve">, scaling upward with projections reaching </w:t>
            </w:r>
            <w:r>
              <w:rPr>
                <w:rFonts w:ascii="Calibri" w:hAnsi="Calibri"/>
                <w:b/>
                <w:color w:val="0F172A"/>
                <w:sz w:val="19"/>
              </w:rPr>
              <w:t>$77.0 billion by the end of 2026</w:t>
            </w:r>
            <w:r>
              <w:rPr>
                <w:rFonts w:ascii="Calibri" w:hAnsi="Calibri"/>
                <w:color w:val="334155"/>
                <w:sz w:val="19"/>
              </w:rPr>
              <w:t>.</w:t>
            </w:r>
          </w:p>
          <w:p>
            <w:pPr>
              <w:spacing w:before="20" w:after="60" w:line="276" w:lineRule="auto"/>
            </w:pPr>
            <w:r>
              <w:rPr>
                <w:rFonts w:ascii="Calibri" w:hAnsi="Calibri"/>
                <w:color w:val="334155"/>
                <w:sz w:val="19"/>
              </w:rPr>
              <w:t>• Institutional Drivers: Cloud-native infrastructure, AI workflow automation, video KYC onboarding, and electronic WORM compliance under SEC Rule 17a-4, FINRA Rule 4511, and European MiFID II.</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The Managed Print Services (MPS) Market Paradox:</w:t>
            </w:r>
            <w:r>
              <w:rPr>
                <w:rFonts w:ascii="Calibri" w:hAnsi="Calibri"/>
                <w:color w:val="334155"/>
                <w:sz w:val="19"/>
              </w:rPr>
            </w:r>
          </w:p>
          <w:p>
            <w:pPr>
              <w:spacing w:before="20" w:after="60" w:line="276" w:lineRule="auto"/>
            </w:pPr>
            <w:r>
              <w:rPr>
                <w:rFonts w:ascii="Calibri" w:hAnsi="Calibri"/>
                <w:color w:val="334155"/>
                <w:sz w:val="19"/>
              </w:rPr>
              <w:t xml:space="preserve">• Global Print Page Volumes: Have experienced a structural decline of </w:t>
            </w:r>
            <w:r>
              <w:rPr>
                <w:rFonts w:ascii="Calibri" w:hAnsi="Calibri"/>
                <w:b/>
                <w:color w:val="0F172A"/>
                <w:sz w:val="19"/>
              </w:rPr>
              <w:t>4–5% (4% to 5%) annually since 2019</w:t>
            </w:r>
            <w:r>
              <w:rPr>
                <w:rFonts w:ascii="Calibri" w:hAnsi="Calibri"/>
                <w:color w:val="334155"/>
                <w:sz w:val="19"/>
              </w:rPr>
              <w:t xml:space="preserve"> due to the automation of routine administrative tasks.</w:t>
            </w:r>
          </w:p>
          <w:p>
            <w:pPr>
              <w:spacing w:before="20" w:after="60" w:line="276" w:lineRule="auto"/>
            </w:pPr>
            <w:r>
              <w:rPr>
                <w:rFonts w:ascii="Calibri" w:hAnsi="Calibri"/>
                <w:color w:val="334155"/>
                <w:sz w:val="19"/>
              </w:rPr>
              <w:t xml:space="preserve">• Global MPS Market Expenditure: Paradoxically reached </w:t>
            </w:r>
            <w:r>
              <w:rPr>
                <w:rFonts w:ascii="Calibri" w:hAnsi="Calibri"/>
                <w:b/>
                <w:color w:val="0F172A"/>
                <w:sz w:val="19"/>
              </w:rPr>
              <w:t>$50.18 billion in 2025</w:t>
            </w:r>
            <w:r>
              <w:rPr>
                <w:rFonts w:ascii="Calibri" w:hAnsi="Calibri"/>
                <w:color w:val="334155"/>
                <w:sz w:val="19"/>
              </w:rPr>
              <w:t xml:space="preserve"> and is projected to surge to </w:t>
            </w:r>
            <w:r>
              <w:rPr>
                <w:rFonts w:ascii="Calibri" w:hAnsi="Calibri"/>
                <w:b/>
                <w:color w:val="0F172A"/>
                <w:sz w:val="19"/>
              </w:rPr>
              <w:t>$117.52 billion by 2035</w:t>
            </w:r>
            <w:r>
              <w:rPr>
                <w:rFonts w:ascii="Calibri" w:hAnsi="Calibri"/>
                <w:color w:val="334155"/>
                <w:sz w:val="19"/>
              </w:rPr>
              <w:t>, representing a robust compound annual growth rate (</w:t>
            </w:r>
            <w:r>
              <w:rPr>
                <w:rFonts w:ascii="Calibri" w:hAnsi="Calibri"/>
                <w:b/>
                <w:color w:val="0F172A"/>
                <w:sz w:val="19"/>
              </w:rPr>
              <w:t>CAGR of 9.62%</w:t>
            </w:r>
            <w:r>
              <w:rPr>
                <w:rFonts w:ascii="Calibri" w:hAnsi="Calibri"/>
                <w:color w:val="334155"/>
                <w:sz w:val="19"/>
              </w:rPr>
              <w:t>).</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What This Divergence Means:</w:t>
            </w:r>
            <w:r>
              <w:rPr>
                <w:rFonts w:ascii="Calibri" w:hAnsi="Calibri"/>
                <w:color w:val="334155"/>
                <w:sz w:val="19"/>
              </w:rPr>
            </w:r>
          </w:p>
          <w:p>
            <w:pPr>
              <w:spacing w:before="20" w:after="60" w:line="276" w:lineRule="auto"/>
            </w:pPr>
            <w:r>
              <w:rPr>
                <w:rFonts w:ascii="Calibri" w:hAnsi="Calibri"/>
                <w:color w:val="334155"/>
                <w:sz w:val="19"/>
              </w:rPr>
              <w:t>Organizations are printing fewer total pages of low-value administrative junk, but spending vastly *more* money securing, managing, and authenticating the physical documents they do print. Printing has evolved from a cheap commodity to a secure, regulated, high-value executive service.</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Critical Print Security Data (Quocirca 2025 Print Security Report):</w:t>
            </w:r>
            <w:r>
              <w:rPr>
                <w:rFonts w:ascii="Calibri" w:hAnsi="Calibri"/>
                <w:color w:val="334155"/>
                <w:sz w:val="19"/>
              </w:rPr>
            </w:r>
          </w:p>
          <w:p>
            <w:pPr>
              <w:spacing w:before="20" w:after="60" w:line="276" w:lineRule="auto"/>
            </w:pPr>
            <w:r>
              <w:rPr>
                <w:rFonts w:ascii="Calibri" w:hAnsi="Calibri"/>
                <w:color w:val="334155"/>
                <w:sz w:val="19"/>
              </w:rPr>
              <w:t xml:space="preserve">• </w:t>
            </w:r>
            <w:r>
              <w:rPr>
                <w:rFonts w:ascii="Calibri" w:hAnsi="Calibri"/>
                <w:b/>
                <w:color w:val="0F172A"/>
                <w:sz w:val="19"/>
              </w:rPr>
              <w:t>56% of IT decision-makers</w:t>
            </w:r>
            <w:r>
              <w:rPr>
                <w:rFonts w:ascii="Calibri" w:hAnsi="Calibri"/>
                <w:color w:val="334155"/>
                <w:sz w:val="19"/>
              </w:rPr>
              <w:t xml:space="preserve"> reported a print-related data loss incident in the prior 12 months.</w:t>
            </w:r>
          </w:p>
          <w:p>
            <w:pPr>
              <w:spacing w:before="20" w:after="20" w:line="276" w:lineRule="auto"/>
            </w:pPr>
            <w:r>
              <w:rPr>
                <w:rFonts w:ascii="Calibri" w:hAnsi="Calibri"/>
                <w:color w:val="334155"/>
                <w:sz w:val="19"/>
              </w:rPr>
              <w:t>• High-stakes confidential information—such as M&amp;A term sheets, unreleased corporate earnings reports, and proprietary trading algorithms—is still routinely converted into physical form by the professionals handling them.</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2" w:space="0" w:color="1D4ED8"/>
              <w:bottom w:val="none"/>
              <w:right w:val="none"/>
            </w:tcBorders>
            <w:tcMar>
              <w:top w:w="100" w:type="dxa"/>
              <w:bottom w:w="100" w:type="dxa"/>
              <w:left w:w="160" w:type="dxa"/>
              <w:right w:w="160" w:type="dxa"/>
            </w:tcMar>
          </w:tcPr>
          <w:p>
            <w:pPr>
              <w:spacing w:before="40" w:after="80" w:line="276" w:lineRule="auto"/>
            </w:pPr>
            <w:r>
              <w:rPr>
                <w:rFonts w:ascii="Calibri" w:hAnsi="Calibri"/>
                <w:b/>
                <w:color w:val="1D4ED8"/>
                <w:sz w:val="19"/>
              </w:rPr>
              <w:t xml:space="preserve">[💡 LEARNING EXPLANATION &amp; MECHANISM] </w:t>
            </w:r>
            <w:r>
              <w:rPr>
                <w:rFonts w:ascii="Calibri" w:hAnsi="Calibri"/>
                <w:b/>
                <w:color w:val="141414"/>
                <w:sz w:val="20"/>
              </w:rPr>
              <w:t>Conceptual Distinction: 'Paperless' vs 'Paper-Optimized'</w:t>
            </w:r>
          </w:p>
          <w:p>
            <w:pPr>
              <w:spacing w:before="20" w:after="60" w:line="276" w:lineRule="auto"/>
            </w:pPr>
            <w:r>
              <w:rPr>
                <w:rFonts w:ascii="Calibri" w:hAnsi="Calibri"/>
                <w:color w:val="334155"/>
                <w:sz w:val="19"/>
              </w:rPr>
            </w:r>
            <w:r>
              <w:rPr>
                <w:rFonts w:ascii="Calibri" w:hAnsi="Calibri"/>
                <w:b/>
                <w:color w:val="0F172A"/>
                <w:sz w:val="19"/>
              </w:rPr>
              <w:t>Mental Model:</w:t>
            </w:r>
            <w:r>
              <w:rPr>
                <w:rFonts w:ascii="Calibri" w:hAnsi="Calibri"/>
                <w:color w:val="334155"/>
                <w:sz w:val="19"/>
              </w:rPr>
              <w:t xml:space="preserve"> Think of paper like gold or currency. In ancient times, copper coins were used for every tiny transaction (buying bread, paying tolls). Today, digital credit cards handle all daily transactions, but central banks still store massive physical gold bars in vaults for ultimate security.</w:t>
            </w:r>
          </w:p>
          <w:p>
            <w:pPr>
              <w:spacing w:before="20" w:after="20" w:line="276" w:lineRule="auto"/>
            </w:pPr>
            <w:r>
              <w:rPr>
                <w:rFonts w:ascii="Calibri" w:hAnsi="Calibri"/>
                <w:color w:val="334155"/>
                <w:sz w:val="19"/>
              </w:rPr>
            </w:r>
            <w:r>
              <w:rPr>
                <w:rFonts w:ascii="Calibri" w:hAnsi="Calibri"/>
                <w:b/>
                <w:color w:val="0F172A"/>
                <w:sz w:val="19"/>
              </w:rPr>
              <w:t>Technical Reality:</w:t>
            </w:r>
            <w:r>
              <w:rPr>
                <w:rFonts w:ascii="Calibri" w:hAnsi="Calibri"/>
                <w:color w:val="334155"/>
                <w:sz w:val="19"/>
              </w:rPr>
              <w:t xml:space="preserve"> In the 2026 financial sector, 'paperless' is an operational misnomer. High-volume administrative paper has been eliminated, leaving behind high-stakes physical documents utilized specifically for deep cognitive engagement, strategic decision-making, and legal compliance. The 2026 workplace is </w:t>
            </w:r>
            <w:r>
              <w:rPr>
                <w:rFonts w:ascii="Calibri" w:hAnsi="Calibri"/>
                <w:b/>
                <w:color w:val="0F172A"/>
                <w:sz w:val="19"/>
              </w:rPr>
              <w:t>Paper-Optimized</w:t>
            </w:r>
            <w:r>
              <w:rPr>
                <w:rFonts w:ascii="Calibri" w:hAnsi="Calibri"/>
                <w:color w:val="334155"/>
                <w:sz w:val="19"/>
              </w:rPr>
              <w:t>, not paperless.</w:t>
            </w:r>
          </w:p>
        </w:tc>
      </w:tr>
    </w:tbl>
    <w:p>
      <w:pPr>
        <w:spacing w:before="0" w:after="60"/>
      </w:pPr>
    </w:p>
    <w:p>
      <w:pPr>
        <w:keepNext/>
        <w:spacing w:before="400" w:after="120"/>
      </w:pPr>
      <w:r>
        <w:rPr>
          <w:rFonts w:ascii="Calibri" w:hAnsi="Calibri"/>
          <w:b/>
          <w:color w:val="1B365D"/>
          <w:sz w:val="31"/>
        </w:rPr>
        <w:t>Part 2: Research Methodology and the 6-Tier Evidence Hierarchy</w:t>
      </w:r>
    </w:p>
    <w:p>
      <w:pPr>
        <w:keepNext/>
        <w:spacing w:before="280" w:after="80"/>
      </w:pPr>
      <w:r>
        <w:rPr>
          <w:rFonts w:ascii="Calibri" w:hAnsi="Calibri"/>
          <w:b/>
          <w:color w:val="2C5E8A"/>
          <w:sz w:val="26"/>
        </w:rPr>
        <w:t>2.1 Separating Technological Availability from Behavioral Usage</w:t>
      </w:r>
    </w:p>
    <w:p>
      <w:pPr>
        <w:spacing w:before="40" w:after="100" w:line="276" w:lineRule="auto"/>
      </w:pPr>
      <w:r>
        <w:rPr>
          <w:rFonts w:ascii="Calibri" w:hAnsi="Calibri"/>
          <w:color w:val="222222"/>
          <w:sz w:val="20"/>
        </w:rPr>
        <w:t xml:space="preserve">A fundamental error in modern corporate technology assessments is confusing </w:t>
      </w:r>
      <w:r>
        <w:rPr>
          <w:rFonts w:ascii="Calibri" w:hAnsi="Calibri"/>
          <w:b/>
          <w:color w:val="0F172A"/>
          <w:sz w:val="20"/>
        </w:rPr>
        <w:t>what is technologically possible</w:t>
      </w:r>
      <w:r>
        <w:rPr>
          <w:rFonts w:ascii="Calibri" w:hAnsi="Calibri"/>
          <w:color w:val="222222"/>
          <w:sz w:val="20"/>
        </w:rPr>
        <w:t xml:space="preserve"> with </w:t>
      </w:r>
      <w:r>
        <w:rPr>
          <w:rFonts w:ascii="Calibri" w:hAnsi="Calibri"/>
          <w:b/>
          <w:color w:val="0F172A"/>
          <w:sz w:val="20"/>
        </w:rPr>
        <w:t>what humans actually do</w:t>
      </w:r>
      <w:r>
        <w:rPr>
          <w:rFonts w:ascii="Calibri" w:hAnsi="Calibri"/>
          <w:color w:val="222222"/>
          <w:sz w:val="20"/>
        </w:rPr>
        <w:t>.</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2" w:space="0" w:color="1D4ED8"/>
              <w:bottom w:val="none"/>
              <w:right w:val="none"/>
            </w:tcBorders>
            <w:tcMar>
              <w:top w:w="100" w:type="dxa"/>
              <w:bottom w:w="100" w:type="dxa"/>
              <w:left w:w="160" w:type="dxa"/>
              <w:right w:w="160" w:type="dxa"/>
            </w:tcMar>
          </w:tcPr>
          <w:p>
            <w:pPr>
              <w:spacing w:before="40" w:after="80" w:line="276" w:lineRule="auto"/>
            </w:pPr>
            <w:r>
              <w:rPr>
                <w:rFonts w:ascii="Calibri" w:hAnsi="Calibri"/>
                <w:b/>
                <w:color w:val="1D4ED8"/>
                <w:sz w:val="19"/>
              </w:rPr>
              <w:t xml:space="preserve">[💡 LEARNING EXPLANATION &amp; MECHANISM] </w:t>
            </w:r>
            <w:r>
              <w:rPr>
                <w:rFonts w:ascii="Calibri" w:hAnsi="Calibri"/>
                <w:b/>
                <w:color w:val="141414"/>
                <w:sz w:val="20"/>
              </w:rPr>
              <w:t>Availability vs. Behavioral Usage Principle</w:t>
            </w:r>
          </w:p>
          <w:p>
            <w:pPr>
              <w:spacing w:before="20" w:after="60" w:line="276" w:lineRule="auto"/>
            </w:pPr>
            <w:r>
              <w:rPr>
                <w:rFonts w:ascii="Calibri" w:hAnsi="Calibri"/>
                <w:color w:val="334155"/>
                <w:sz w:val="19"/>
              </w:rPr>
            </w:r>
            <w:r>
              <w:rPr>
                <w:rFonts w:ascii="Calibri" w:hAnsi="Calibri"/>
                <w:b/>
                <w:color w:val="0F172A"/>
                <w:sz w:val="19"/>
              </w:rPr>
              <w:t>Technological Availability:</w:t>
            </w:r>
            <w:r>
              <w:rPr>
                <w:rFonts w:ascii="Calibri" w:hAnsi="Calibri"/>
                <w:color w:val="334155"/>
                <w:sz w:val="19"/>
              </w:rPr>
              <w:t xml:space="preserve"> An investment bank provides every analyst with cloud-native document repositories, three 4K monitors, AI summarization tools, and digital tablet styluses. (Capacity for paperless operation = 100%).</w:t>
            </w:r>
          </w:p>
          <w:p>
            <w:pPr>
              <w:spacing w:before="20" w:after="60" w:line="276" w:lineRule="auto"/>
            </w:pPr>
            <w:r>
              <w:rPr>
                <w:rFonts w:ascii="Calibri" w:hAnsi="Calibri"/>
                <w:color w:val="334155"/>
                <w:sz w:val="19"/>
              </w:rPr>
            </w:r>
            <w:r>
              <w:rPr>
                <w:rFonts w:ascii="Calibri" w:hAnsi="Calibri"/>
                <w:b/>
                <w:color w:val="0F172A"/>
                <w:sz w:val="19"/>
              </w:rPr>
              <w:t>Actual Behavioral Usage:</w:t>
            </w:r>
            <w:r>
              <w:rPr>
                <w:rFonts w:ascii="Calibri" w:hAnsi="Calibri"/>
                <w:color w:val="334155"/>
                <w:sz w:val="19"/>
              </w:rPr>
              <w:t xml:space="preserve"> When tasked with evaluating a $500 million merger agreement with intricate indemnity clauses, the senior analyst immediately prints out the 180-page contract, grabs a red pen, and spreads the pages across a conference table. (Actual medium chosen for deep cognitive work = Physical Paper).</w:t>
            </w:r>
          </w:p>
          <w:p>
            <w:pPr>
              <w:spacing w:before="20" w:after="20" w:line="276" w:lineRule="auto"/>
            </w:pPr>
            <w:r>
              <w:rPr>
                <w:rFonts w:ascii="Calibri" w:hAnsi="Calibri"/>
                <w:color w:val="334155"/>
                <w:sz w:val="19"/>
              </w:rPr>
            </w:r>
            <w:r>
              <w:rPr>
                <w:rFonts w:ascii="Calibri" w:hAnsi="Calibri"/>
                <w:b/>
                <w:color w:val="0F172A"/>
                <w:sz w:val="19"/>
              </w:rPr>
              <w:t>Methodological Rule:</w:t>
            </w:r>
            <w:r>
              <w:rPr>
                <w:rFonts w:ascii="Calibri" w:hAnsi="Calibri"/>
                <w:color w:val="334155"/>
                <w:sz w:val="19"/>
              </w:rPr>
              <w:t xml:space="preserve"> This report strictly evaluates real-world human behavioral workflows rather than measuring corporate software deployment statistics.</w:t>
            </w:r>
          </w:p>
        </w:tc>
      </w:tr>
    </w:tbl>
    <w:p>
      <w:pPr>
        <w:spacing w:before="0" w:after="60"/>
      </w:pPr>
    </w:p>
    <w:p>
      <w:pPr>
        <w:keepNext/>
        <w:spacing w:before="280" w:after="80"/>
      </w:pPr>
      <w:r>
        <w:rPr>
          <w:rFonts w:ascii="Calibri" w:hAnsi="Calibri"/>
          <w:b/>
          <w:color w:val="2C5E8A"/>
          <w:sz w:val="26"/>
        </w:rPr>
        <w:t>2.2 The 6-Tier Evidence Hierarchy</w:t>
      </w:r>
    </w:p>
    <w:p>
      <w:pPr>
        <w:spacing w:before="40" w:after="100" w:line="276" w:lineRule="auto"/>
      </w:pPr>
      <w:r>
        <w:rPr>
          <w:rFonts w:ascii="Calibri" w:hAnsi="Calibri"/>
          <w:color w:val="222222"/>
          <w:sz w:val="20"/>
        </w:rPr>
        <w:t>To ensure uncompromising scientific rigor, all findings in this report are categorized across a strict 6-tier evidentiary hierarchy prioritizing 2024–2026 data: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3120"/>
        <w:gridCol w:w="3120"/>
        <w:gridCol w:w="3120"/>
      </w:tblGrid>
      <w:tr>
        <w:tc>
          <w:tcPr>
            <w:tcW w:type="dxa" w:w="3120"/>
            <w:shd w:fill="1B365D"/>
            <w:tcMar>
              <w:top w:w="100" w:type="dxa"/>
              <w:bottom w:w="100" w:type="dxa"/>
              <w:left w:w="120" w:type="dxa"/>
              <w:right w:w="120" w:type="dxa"/>
            </w:tcMar>
          </w:tcPr>
          <w:p>
            <w:r>
              <w:rPr>
                <w:rFonts w:ascii="Calibri" w:hAnsi="Calibri"/>
                <w:b/>
                <w:color w:val="FFFFFF"/>
                <w:sz w:val="19"/>
              </w:rPr>
              <w:t>Evidence Tier</w:t>
            </w:r>
          </w:p>
        </w:tc>
        <w:tc>
          <w:tcPr>
            <w:tcW w:type="dxa" w:w="3120"/>
            <w:shd w:fill="1B365D"/>
            <w:tcMar>
              <w:top w:w="100" w:type="dxa"/>
              <w:bottom w:w="100" w:type="dxa"/>
              <w:left w:w="120" w:type="dxa"/>
              <w:right w:w="120" w:type="dxa"/>
            </w:tcMar>
          </w:tcPr>
          <w:p>
            <w:r>
              <w:rPr>
                <w:rFonts w:ascii="Calibri" w:hAnsi="Calibri"/>
                <w:b/>
                <w:color w:val="FFFFFF"/>
                <w:sz w:val="19"/>
              </w:rPr>
              <w:t>Source Category &amp; Methodological Description</w:t>
            </w:r>
          </w:p>
        </w:tc>
        <w:tc>
          <w:tcPr>
            <w:tcW w:type="dxa" w:w="3120"/>
            <w:shd w:fill="1B365D"/>
            <w:tcMar>
              <w:top w:w="100" w:type="dxa"/>
              <w:bottom w:w="100" w:type="dxa"/>
              <w:left w:w="120" w:type="dxa"/>
              <w:right w:w="120" w:type="dxa"/>
            </w:tcMar>
          </w:tcPr>
          <w:p>
            <w:r>
              <w:rPr>
                <w:rFonts w:ascii="Calibri" w:hAnsi="Calibri"/>
                <w:b/>
                <w:color w:val="FFFFFF"/>
                <w:sz w:val="19"/>
              </w:rPr>
              <w:t>Analytical Weight in Report</w:t>
            </w:r>
          </w:p>
        </w:tc>
      </w:tr>
      <w:tr>
        <w:tc>
          <w:tcPr>
            <w:tcW w:type="dxa" w:w="3120"/>
            <w:shd w:fill="FFFFFF"/>
            <w:tcMar>
              <w:top w:w="80" w:type="dxa"/>
              <w:bottom w:w="80" w:type="dxa"/>
              <w:left w:w="100" w:type="dxa"/>
              <w:right w:w="100" w:type="dxa"/>
            </w:tcMar>
          </w:tcPr>
          <w:p>
            <w:pPr>
              <w:spacing w:before="20" w:after="40" w:line="264" w:lineRule="auto"/>
            </w:pPr>
            <w:r>
              <w:rPr>
                <w:rFonts w:ascii="Calibri" w:hAnsi="Calibri"/>
                <w:b/>
                <w:color w:val="1B365D"/>
                <w:sz w:val="17"/>
              </w:rPr>
              <w:t>Tier 1: Peer-Reviewed Academic Research</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Recent peer-reviewed academic studies, specifically meta-analyses on reading comprehension (e.g., Hedges' g effect sizes), cognitive load theory, and ophthalmological eye-tracking experiments.</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Highest scientific authority for cognitive, neurological, and physiological reading performance.</w:t>
            </w:r>
          </w:p>
        </w:tc>
      </w:tr>
      <w:tr>
        <w:tc>
          <w:tcPr>
            <w:tcW w:type="dxa" w:w="3120"/>
            <w:shd w:fill="F8FAFC"/>
            <w:tcMar>
              <w:top w:w="80" w:type="dxa"/>
              <w:bottom w:w="80" w:type="dxa"/>
              <w:left w:w="100" w:type="dxa"/>
              <w:right w:w="100" w:type="dxa"/>
            </w:tcMar>
          </w:tcPr>
          <w:p>
            <w:pPr>
              <w:spacing w:before="20" w:after="40" w:line="264" w:lineRule="auto"/>
            </w:pPr>
            <w:r>
              <w:rPr>
                <w:rFonts w:ascii="Calibri" w:hAnsi="Calibri"/>
                <w:b/>
                <w:color w:val="1B365D"/>
                <w:sz w:val="17"/>
              </w:rPr>
              <w:t>Tier 2: Institutional &amp; Regulatory Reports</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Official publications, audit frameworks, and statutory mandates from regulatory authorities including the US SEC, FINRA, European BaFin/MiFID II, and India's SEBI/Supreme Court.</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Definitive authority for statutory compliance, digital WORM mandates, and physical evidentiary rules.</w:t>
            </w:r>
          </w:p>
        </w:tc>
      </w:tr>
      <w:tr>
        <w:tc>
          <w:tcPr>
            <w:tcW w:type="dxa" w:w="3120"/>
            <w:shd w:fill="FFFFFF"/>
            <w:tcMar>
              <w:top w:w="80" w:type="dxa"/>
              <w:bottom w:w="80" w:type="dxa"/>
              <w:left w:w="100" w:type="dxa"/>
              <w:right w:w="100" w:type="dxa"/>
            </w:tcMar>
          </w:tcPr>
          <w:p>
            <w:pPr>
              <w:spacing w:before="20" w:after="40" w:line="264" w:lineRule="auto"/>
            </w:pPr>
            <w:r>
              <w:rPr>
                <w:rFonts w:ascii="Calibri" w:hAnsi="Calibri"/>
                <w:b/>
                <w:color w:val="1B365D"/>
                <w:sz w:val="17"/>
              </w:rPr>
              <w:t>Tier 3: Large-Scale Industry Surveys</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Empirical data from global market research institutions, transparent Managed Print Service (MPS) trackers, and cybersecurity reports (e.g., Quocirca 2025 Print Security Report).</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High authority for enterprise spending, hardware deployment, and institutional printing trends.</w:t>
            </w:r>
          </w:p>
        </w:tc>
      </w:tr>
      <w:tr>
        <w:tc>
          <w:tcPr>
            <w:tcW w:type="dxa" w:w="3120"/>
            <w:shd w:fill="F8FAFC"/>
            <w:tcMar>
              <w:top w:w="80" w:type="dxa"/>
              <w:bottom w:w="80" w:type="dxa"/>
              <w:left w:w="100" w:type="dxa"/>
              <w:right w:w="100" w:type="dxa"/>
            </w:tcMar>
          </w:tcPr>
          <w:p>
            <w:pPr>
              <w:spacing w:before="20" w:after="40" w:line="264" w:lineRule="auto"/>
            </w:pPr>
            <w:r>
              <w:rPr>
                <w:rFonts w:ascii="Calibri" w:hAnsi="Calibri"/>
                <w:b/>
                <w:color w:val="1B365D"/>
                <w:sz w:val="17"/>
              </w:rPr>
              <w:t>Tier 4: Professional Workplace Studies</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Consulting benchmark studies, corporate workflow audits, and practitioner surveys regarding day-to-day banking, legal, and accounting operations.</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Moderate authority for role-specific operational tasks and medium-switching behavior.</w:t>
            </w:r>
          </w:p>
        </w:tc>
      </w:tr>
      <w:tr>
        <w:tc>
          <w:tcPr>
            <w:tcW w:type="dxa" w:w="3120"/>
            <w:shd w:fill="FFFFFF"/>
            <w:tcMar>
              <w:top w:w="80" w:type="dxa"/>
              <w:bottom w:w="80" w:type="dxa"/>
              <w:left w:w="100" w:type="dxa"/>
              <w:right w:w="100" w:type="dxa"/>
            </w:tcMar>
          </w:tcPr>
          <w:p>
            <w:pPr>
              <w:spacing w:before="20" w:after="40" w:line="264" w:lineRule="auto"/>
            </w:pPr>
            <w:r>
              <w:rPr>
                <w:rFonts w:ascii="Calibri" w:hAnsi="Calibri"/>
                <w:b/>
                <w:color w:val="1B365D"/>
                <w:sz w:val="17"/>
              </w:rPr>
              <w:t>Tier 5: Qualitative Workflow Case Studies</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Detailed qualitative interviews with senior bankers, credit heads, compliance officers, and equity researchers regarding specific analytical procedures.</w:t>
            </w:r>
          </w:p>
        </w:tc>
        <w:tc>
          <w:tcPr>
            <w:tcW w:type="dxa" w:w="3120"/>
            <w:shd w:fill="FFFFFF"/>
            <w:tcMar>
              <w:top w:w="80" w:type="dxa"/>
              <w:bottom w:w="80" w:type="dxa"/>
              <w:left w:w="100" w:type="dxa"/>
              <w:right w:w="100" w:type="dxa"/>
            </w:tcMar>
          </w:tcPr>
          <w:p>
            <w:pPr>
              <w:spacing w:before="20" w:after="40" w:line="264" w:lineRule="auto"/>
            </w:pPr>
            <w:r>
              <w:rPr>
                <w:rFonts w:ascii="Calibri" w:hAnsi="Calibri"/>
                <w:color w:val="334155"/>
                <w:sz w:val="17"/>
              </w:rPr>
              <w:t>Contextual authority for nuanced cognitive preferences during high-stakes evaluations.</w:t>
            </w:r>
          </w:p>
        </w:tc>
      </w:tr>
      <w:tr>
        <w:tc>
          <w:tcPr>
            <w:tcW w:type="dxa" w:w="3120"/>
            <w:shd w:fill="F8FAFC"/>
            <w:tcMar>
              <w:top w:w="80" w:type="dxa"/>
              <w:bottom w:w="80" w:type="dxa"/>
              <w:left w:w="100" w:type="dxa"/>
              <w:right w:w="100" w:type="dxa"/>
            </w:tcMar>
          </w:tcPr>
          <w:p>
            <w:pPr>
              <w:spacing w:before="20" w:after="40" w:line="264" w:lineRule="auto"/>
            </w:pPr>
            <w:r>
              <w:rPr>
                <w:rFonts w:ascii="Calibri" w:hAnsi="Calibri"/>
                <w:b/>
                <w:color w:val="1B365D"/>
                <w:sz w:val="17"/>
              </w:rPr>
              <w:t>Tier 6: Anecdotal Commentary</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Unverified opinion pieces, informal forum discussions, and individual subjective blog posts.</w:t>
            </w:r>
          </w:p>
        </w:tc>
        <w:tc>
          <w:tcPr>
            <w:tcW w:type="dxa" w:w="3120"/>
            <w:shd w:fill="F8FAFC"/>
            <w:tcMar>
              <w:top w:w="80" w:type="dxa"/>
              <w:bottom w:w="80" w:type="dxa"/>
              <w:left w:w="100" w:type="dxa"/>
              <w:right w:w="100" w:type="dxa"/>
            </w:tcMar>
          </w:tcPr>
          <w:p>
            <w:pPr>
              <w:spacing w:before="20" w:after="40" w:line="264" w:lineRule="auto"/>
            </w:pPr>
            <w:r>
              <w:rPr>
                <w:rFonts w:ascii="Calibri" w:hAnsi="Calibri"/>
                <w:color w:val="334155"/>
                <w:sz w:val="17"/>
              </w:rPr>
              <w:t>EXCLUDED from the analytical framework to preserve empirical integrity.</w:t>
            </w:r>
          </w:p>
        </w:tc>
      </w:tr>
    </w:tbl>
    <w:p>
      <w:pPr>
        <w:spacing w:before="40" w:after="100" w:line="276" w:lineRule="auto"/>
      </w:pPr>
      <w:r>
        <w:rPr>
          <w:rFonts w:ascii="Calibri" w:hAnsi="Calibri"/>
          <w:color w:val="222222"/>
          <w:sz w:val="20"/>
        </w:rPr>
      </w:r>
    </w:p>
    <w:p>
      <w:pPr>
        <w:keepNext/>
        <w:spacing w:before="280" w:after="80"/>
      </w:pPr>
      <w:r>
        <w:rPr>
          <w:rFonts w:ascii="Calibri" w:hAnsi="Calibri"/>
          <w:b/>
          <w:color w:val="2C5E8A"/>
          <w:sz w:val="26"/>
        </w:rPr>
        <w:t>2.3 Methodological Boundaries: The Global Percentage Constraint</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2" w:space="0" w:color="B45309"/>
              <w:bottom w:val="none"/>
              <w:right w:val="none"/>
            </w:tcBorders>
            <w:tcMar>
              <w:top w:w="100" w:type="dxa"/>
              <w:bottom w:w="100" w:type="dxa"/>
              <w:left w:w="160" w:type="dxa"/>
              <w:right w:w="160" w:type="dxa"/>
            </w:tcMar>
          </w:tcPr>
          <w:p>
            <w:pPr>
              <w:spacing w:before="40" w:after="80" w:line="276" w:lineRule="auto"/>
            </w:pPr>
            <w:r>
              <w:rPr>
                <w:rFonts w:ascii="Calibri" w:hAnsi="Calibri"/>
                <w:b/>
                <w:color w:val="B45309"/>
                <w:sz w:val="19"/>
              </w:rPr>
              <w:t xml:space="preserve">[⚠️ SOURCE NOTE &amp; SCIENTIFIC BOUNDARY] </w:t>
            </w:r>
            <w:r>
              <w:rPr>
                <w:rFonts w:ascii="Calibri" w:hAnsi="Calibri"/>
                <w:b/>
                <w:color w:val="141414"/>
                <w:sz w:val="20"/>
              </w:rPr>
              <w:t>Explicit Methodological Boundary — Why Exact Global Task-Time Percentages Cannot Be Fabricated</w:t>
            </w:r>
          </w:p>
          <w:p>
            <w:pPr>
              <w:spacing w:before="20" w:after="60" w:line="276" w:lineRule="auto"/>
            </w:pPr>
            <w:r>
              <w:rPr>
                <w:rFonts w:ascii="Calibri" w:hAnsi="Calibri"/>
                <w:color w:val="334155"/>
                <w:sz w:val="19"/>
              </w:rPr>
            </w:r>
            <w:r>
              <w:rPr>
                <w:rFonts w:ascii="Calibri" w:hAnsi="Calibri"/>
                <w:b/>
                <w:color w:val="0F172A"/>
                <w:sz w:val="19"/>
              </w:rPr>
              <w:t>Source Statement on Measurement Limits:</w:t>
            </w:r>
            <w:r>
              <w:rPr>
                <w:rFonts w:ascii="Calibri" w:hAnsi="Calibri"/>
                <w:color w:val="334155"/>
                <w:sz w:val="19"/>
              </w:rPr>
              <w:t xml:space="preserve"> A reliable global percentage could not be established from available evidence regarding the exact proportion of professional tasks performed digitally versus physically across all financial sectors.</w:t>
            </w:r>
          </w:p>
          <w:p>
            <w:pPr>
              <w:spacing w:before="20" w:after="60" w:line="276" w:lineRule="auto"/>
            </w:pPr>
            <w:r>
              <w:rPr>
                <w:rFonts w:ascii="Calibri" w:hAnsi="Calibri"/>
                <w:color w:val="334155"/>
                <w:sz w:val="19"/>
              </w:rPr>
            </w:r>
            <w:r>
              <w:rPr>
                <w:rFonts w:ascii="Calibri" w:hAnsi="Calibri"/>
                <w:b/>
                <w:color w:val="0F172A"/>
                <w:sz w:val="19"/>
              </w:rPr>
              <w:t>Why Standard Metrics Fall Short:</w:t>
            </w:r>
            <w:r>
              <w:rPr>
                <w:rFonts w:ascii="Calibri" w:hAnsi="Calibri"/>
                <w:color w:val="334155"/>
                <w:sz w:val="19"/>
              </w:rPr>
              <w:t xml:space="preserve"> Enterprise systems accurately track hardware procurement, software subscription fees, and total printer page counters. However, they do not track minute-by-minute ethnographic time-allocation (e.g., measuring that an equity analyst spent 3 hours and 12 minutes reading a paper 10-K vs. 4 hours and 18 minutes on Excel).</w:t>
            </w:r>
          </w:p>
          <w:p>
            <w:pPr>
              <w:spacing w:before="20" w:after="20" w:line="276" w:lineRule="auto"/>
            </w:pPr>
            <w:r>
              <w:rPr>
                <w:rFonts w:ascii="Calibri" w:hAnsi="Calibri"/>
                <w:color w:val="334155"/>
                <w:sz w:val="19"/>
              </w:rPr>
            </w:r>
            <w:r>
              <w:rPr>
                <w:rFonts w:ascii="Calibri" w:hAnsi="Calibri"/>
                <w:b/>
                <w:color w:val="0F172A"/>
                <w:sz w:val="19"/>
              </w:rPr>
              <w:t>Scientific Integrity Protocol:</w:t>
            </w:r>
            <w:r>
              <w:rPr>
                <w:rFonts w:ascii="Calibri" w:hAnsi="Calibri"/>
                <w:color w:val="334155"/>
                <w:sz w:val="19"/>
              </w:rPr>
              <w:t xml:space="preserve"> Rather than inventing unsupported overall numbers, this study provides verified quantitative proxies, industry-specific operational metrics, and cognitive performance data to construct an accurate behavioral assessment.</w:t>
            </w:r>
          </w:p>
        </w:tc>
      </w:tr>
    </w:tbl>
    <w:p>
      <w:pPr>
        <w:spacing w:before="0" w:after="60"/>
      </w:pPr>
    </w:p>
    <w:p>
      <w:pPr>
        <w:keepNext/>
        <w:spacing w:before="400" w:after="120"/>
      </w:pPr>
      <w:r>
        <w:rPr>
          <w:rFonts w:ascii="Calibri" w:hAnsi="Calibri"/>
          <w:b/>
          <w:color w:val="1B365D"/>
          <w:sz w:val="31"/>
        </w:rPr>
        <w:t>Part 3: Professional Sector Analysis — 9 Role-Specific Workflow Studies</w:t>
      </w:r>
    </w:p>
    <w:p>
      <w:pPr>
        <w:spacing w:before="40" w:after="100" w:line="276" w:lineRule="auto"/>
      </w:pPr>
      <w:r>
        <w:rPr>
          <w:rFonts w:ascii="Calibri" w:hAnsi="Calibri"/>
          <w:color w:val="222222"/>
          <w:sz w:val="20"/>
        </w:rPr>
        <w:t>Different financial professions interact with documents in fundamentally different ways based on their information velocity, cognitive depth requirements, and legal liabilities. Below is the comprehensive analysis across all nine core financial populations.</w:t>
      </w:r>
    </w:p>
    <w:p>
      <w:pPr>
        <w:keepNext/>
        <w:spacing w:before="280" w:after="80"/>
      </w:pPr>
      <w:r>
        <w:rPr>
          <w:rFonts w:ascii="Calibri" w:hAnsi="Calibri"/>
          <w:b/>
          <w:color w:val="2C5E8A"/>
          <w:sz w:val="26"/>
        </w:rPr>
        <w:t>3.1 Banking Sector: Retail Operations vs. Corporate Credit Analysis</w:t>
      </w:r>
    </w:p>
    <w:p>
      <w:pPr>
        <w:spacing w:before="40" w:after="100" w:line="276" w:lineRule="auto"/>
      </w:pPr>
      <w:r>
        <w:rPr>
          <w:rFonts w:ascii="Calibri" w:hAnsi="Calibri"/>
          <w:color w:val="222222"/>
          <w:sz w:val="20"/>
        </w:rPr>
        <w:t>The banking industry demonstrates a clean operational bifurcation between routine high-volume consumer services and high-stakes corporate credit underwriting.</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Retail Banking vs Corporate Credit Bifurcation</w:t>
            </w:r>
          </w:p>
          <w:p>
            <w:pPr>
              <w:spacing w:before="20" w:after="60" w:line="276" w:lineRule="auto"/>
            </w:pPr>
            <w:r>
              <w:rPr>
                <w:rFonts w:ascii="Calibri" w:hAnsi="Calibri"/>
                <w:color w:val="334155"/>
                <w:sz w:val="19"/>
              </w:rPr>
            </w:r>
            <w:r>
              <w:rPr>
                <w:rFonts w:ascii="Calibri" w:hAnsi="Calibri"/>
                <w:b/>
                <w:color w:val="0F172A"/>
                <w:sz w:val="19"/>
              </w:rPr>
              <w:t>The Retail Banking Division (Digitally Dominant / Low Physical Dependence):</w:t>
            </w:r>
            <w:r>
              <w:rPr>
                <w:rFonts w:ascii="Calibri" w:hAnsi="Calibri"/>
                <w:color w:val="334155"/>
                <w:sz w:val="19"/>
              </w:rPr>
            </w:r>
          </w:p>
          <w:p>
            <w:pPr>
              <w:spacing w:before="20" w:after="60" w:line="276" w:lineRule="auto"/>
            </w:pPr>
            <w:r>
              <w:rPr>
                <w:rFonts w:ascii="Calibri" w:hAnsi="Calibri"/>
                <w:color w:val="334155"/>
                <w:sz w:val="19"/>
              </w:rPr>
              <w:t xml:space="preserve">• </w:t>
            </w:r>
            <w:r>
              <w:rPr>
                <w:rFonts w:ascii="Calibri" w:hAnsi="Calibri"/>
                <w:b/>
                <w:color w:val="0F172A"/>
                <w:sz w:val="19"/>
              </w:rPr>
              <w:t>Mechanism:</w:t>
            </w:r>
            <w:r>
              <w:rPr>
                <w:rFonts w:ascii="Calibri" w:hAnsi="Calibri"/>
                <w:color w:val="334155"/>
                <w:sz w:val="19"/>
              </w:rPr>
              <w:t xml:space="preserve"> Driven by customer self-service, mobile applications, video KYC onboarding, and straight-through processing (STP) for bill payments and retail loans.</w:t>
            </w:r>
          </w:p>
          <w:p>
            <w:pPr>
              <w:spacing w:before="20" w:after="60" w:line="276" w:lineRule="auto"/>
            </w:pPr>
            <w:r>
              <w:rPr>
                <w:rFonts w:ascii="Calibri" w:hAnsi="Calibri"/>
                <w:color w:val="334155"/>
                <w:sz w:val="19"/>
              </w:rPr>
              <w:t xml:space="preserve">• </w:t>
            </w:r>
            <w:r>
              <w:rPr>
                <w:rFonts w:ascii="Calibri" w:hAnsi="Calibri"/>
                <w:b/>
                <w:color w:val="0F172A"/>
                <w:sz w:val="19"/>
              </w:rPr>
              <w:t>Empirical Metric:</w:t>
            </w:r>
            <w:r>
              <w:rPr>
                <w:rFonts w:ascii="Calibri" w:hAnsi="Calibri"/>
                <w:color w:val="334155"/>
                <w:sz w:val="19"/>
              </w:rPr>
              <w:t xml:space="preserve"> A 2025 institutional banking report revealed that </w:t>
            </w:r>
            <w:r>
              <w:rPr>
                <w:rFonts w:ascii="Calibri" w:hAnsi="Calibri"/>
                <w:b/>
                <w:color w:val="0F172A"/>
                <w:sz w:val="19"/>
              </w:rPr>
              <w:t>47% of customer accounts (over 7.4 million accounts)</w:t>
            </w:r>
            <w:r>
              <w:rPr>
                <w:rFonts w:ascii="Calibri" w:hAnsi="Calibri"/>
                <w:color w:val="334155"/>
                <w:sz w:val="19"/>
              </w:rPr>
              <w:t xml:space="preserve"> had fully adopted digital eStatements, operating with zero physical paper interaction.</w:t>
            </w:r>
          </w:p>
          <w:p>
            <w:pPr>
              <w:spacing w:before="20" w:after="60" w:line="276" w:lineRule="auto"/>
            </w:pPr>
            <w:r>
              <w:rPr>
                <w:rFonts w:ascii="Calibri" w:hAnsi="Calibri"/>
                <w:color w:val="334155"/>
                <w:sz w:val="19"/>
              </w:rPr>
              <w:t xml:space="preserve">• </w:t>
            </w:r>
            <w:r>
              <w:rPr>
                <w:rFonts w:ascii="Calibri" w:hAnsi="Calibri"/>
                <w:b/>
                <w:color w:val="0F172A"/>
                <w:sz w:val="19"/>
              </w:rPr>
              <w:t>Physical Dependence:</w:t>
            </w:r>
            <w:r>
              <w:rPr>
                <w:rFonts w:ascii="Calibri" w:hAnsi="Calibri"/>
                <w:color w:val="334155"/>
                <w:sz w:val="19"/>
              </w:rPr>
              <w:t xml:space="preserve"> Exceptionally Low. Tellers and branch staff operate almost exclusively through screen-based enterprise core-banking software.</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The Corporate Banking &amp; Credit Analysis Division (Hybrid / Moderate Physical Dependence):</w:t>
            </w:r>
            <w:r>
              <w:rPr>
                <w:rFonts w:ascii="Calibri" w:hAnsi="Calibri"/>
                <w:color w:val="334155"/>
                <w:sz w:val="19"/>
              </w:rPr>
            </w:r>
          </w:p>
          <w:p>
            <w:pPr>
              <w:spacing w:before="20" w:after="60" w:line="276" w:lineRule="auto"/>
            </w:pPr>
            <w:r>
              <w:rPr>
                <w:rFonts w:ascii="Calibri" w:hAnsi="Calibri"/>
                <w:color w:val="334155"/>
                <w:sz w:val="19"/>
              </w:rPr>
              <w:t xml:space="preserve">• </w:t>
            </w:r>
            <w:r>
              <w:rPr>
                <w:rFonts w:ascii="Calibri" w:hAnsi="Calibri"/>
                <w:b/>
                <w:color w:val="0F172A"/>
                <w:sz w:val="19"/>
              </w:rPr>
              <w:t>Mechanism:</w:t>
            </w:r>
            <w:r>
              <w:rPr>
                <w:rFonts w:ascii="Calibri" w:hAnsi="Calibri"/>
                <w:color w:val="334155"/>
                <w:sz w:val="19"/>
              </w:rPr>
              <w:t xml:space="preserve"> Corporate credit analysts evaluate multi-million-dollar syndicated loans, corporate debt restructuring, and project financing involving multi-tier sign-offs (Branch Manager -&gt; Regional Credit Head -&gt; Central Credit Committee).</w:t>
            </w:r>
          </w:p>
          <w:p>
            <w:pPr>
              <w:spacing w:before="20" w:after="60" w:line="276" w:lineRule="auto"/>
            </w:pPr>
            <w:r>
              <w:rPr>
                <w:rFonts w:ascii="Calibri" w:hAnsi="Calibri"/>
                <w:color w:val="334155"/>
                <w:sz w:val="19"/>
              </w:rPr>
              <w:t xml:space="preserve">• </w:t>
            </w:r>
            <w:r>
              <w:rPr>
                <w:rFonts w:ascii="Calibri" w:hAnsi="Calibri"/>
                <w:b/>
                <w:color w:val="0F172A"/>
                <w:sz w:val="19"/>
              </w:rPr>
              <w:t>Screen Tasks:</w:t>
            </w:r>
            <w:r>
              <w:rPr>
                <w:rFonts w:ascii="Calibri" w:hAnsi="Calibri"/>
                <w:color w:val="334155"/>
                <w:sz w:val="19"/>
              </w:rPr>
              <w:t xml:space="preserve"> Initial application ingestion, quantitative debt service modeling (LTV ratios, DSCR limits), and AML/KYC background checks.</w:t>
            </w:r>
          </w:p>
          <w:p>
            <w:pPr>
              <w:spacing w:before="20" w:after="20" w:line="276" w:lineRule="auto"/>
            </w:pPr>
            <w:r>
              <w:rPr>
                <w:rFonts w:ascii="Calibri" w:hAnsi="Calibri"/>
                <w:color w:val="334155"/>
                <w:sz w:val="19"/>
              </w:rPr>
              <w:t xml:space="preserve">• </w:t>
            </w:r>
            <w:r>
              <w:rPr>
                <w:rFonts w:ascii="Calibri" w:hAnsi="Calibri"/>
                <w:b/>
                <w:color w:val="0F172A"/>
                <w:sz w:val="19"/>
              </w:rPr>
              <w:t>Physical Paper Tasks:</w:t>
            </w:r>
            <w:r>
              <w:rPr>
                <w:rFonts w:ascii="Calibri" w:hAnsi="Calibri"/>
                <w:color w:val="334155"/>
                <w:sz w:val="19"/>
              </w:rPr>
              <w:t xml:space="preserve"> Analysts routinely print out dense covenant documents, complex debt-service contracts, and multi-year historical financial audit reports for deep physical review, tactile highlighting, and margin annotation. Physical binders are assembled for the final Credit Committee review meetings.</w:t>
            </w:r>
          </w:p>
        </w:tc>
      </w:tr>
    </w:tbl>
    <w:p>
      <w:pPr>
        <w:spacing w:before="0" w:after="60"/>
      </w:pPr>
    </w:p>
    <w:p>
      <w:pPr>
        <w:keepNext/>
        <w:spacing w:before="280" w:after="80"/>
      </w:pPr>
      <w:r>
        <w:rPr>
          <w:rFonts w:ascii="Calibri" w:hAnsi="Calibri"/>
          <w:b/>
          <w:color w:val="2C5E8A"/>
          <w:sz w:val="26"/>
        </w:rPr>
        <w:t>3.2 Investment Banking: M&amp;A Modeling, Pitch Books, and Legal Redlines</w:t>
      </w:r>
    </w:p>
    <w:p>
      <w:pPr>
        <w:spacing w:before="40" w:after="100" w:line="276" w:lineRule="auto"/>
      </w:pPr>
      <w:r>
        <w:rPr>
          <w:rFonts w:ascii="Calibri" w:hAnsi="Calibri"/>
          <w:color w:val="222222"/>
          <w:sz w:val="20"/>
        </w:rPr>
        <w:t>Investment bankers operate at the intersection of high-speed financial engineering and high-stakes executive advisory.</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Investment Banking Workflows: High Digital Velocity with Strategic Physical Anchors</w:t>
            </w:r>
          </w:p>
          <w:p>
            <w:pPr>
              <w:spacing w:before="20" w:after="60" w:line="276" w:lineRule="auto"/>
            </w:pPr>
            <w:r>
              <w:rPr>
                <w:rFonts w:ascii="Calibri" w:hAnsi="Calibri"/>
                <w:color w:val="334155"/>
                <w:sz w:val="19"/>
              </w:rPr>
            </w:r>
            <w:r>
              <w:rPr>
                <w:rFonts w:ascii="Calibri" w:hAnsi="Calibri"/>
                <w:b/>
                <w:color w:val="0F172A"/>
                <w:sz w:val="19"/>
              </w:rPr>
              <w:t>Screen-Based Operations (Very High Digital Dependence):</w:t>
            </w:r>
            <w:r>
              <w:rPr>
                <w:rFonts w:ascii="Calibri" w:hAnsi="Calibri"/>
                <w:color w:val="334155"/>
                <w:sz w:val="19"/>
              </w:rPr>
            </w:r>
          </w:p>
          <w:p>
            <w:pPr>
              <w:spacing w:before="20" w:after="60" w:line="276" w:lineRule="auto"/>
            </w:pPr>
            <w:r>
              <w:rPr>
                <w:rFonts w:ascii="Calibri" w:hAnsi="Calibri"/>
                <w:color w:val="334155"/>
                <w:sz w:val="19"/>
              </w:rPr>
              <w:t>• Financial analysts build complex Discounted Cash Flow (DCF), LBO, and merger models in Excel.</w:t>
            </w:r>
          </w:p>
          <w:p>
            <w:pPr>
              <w:spacing w:before="20" w:after="60" w:line="276" w:lineRule="auto"/>
            </w:pPr>
            <w:r>
              <w:rPr>
                <w:rFonts w:ascii="Calibri" w:hAnsi="Calibri"/>
                <w:color w:val="334155"/>
                <w:sz w:val="19"/>
              </w:rPr>
              <w:t>• Managing Virtual Data Rooms (VDRs) for confidential due diligence data sharing across global syndicate members.</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Physical Document Use Cases (Moderate Physical Dependence):</w:t>
            </w:r>
            <w:r>
              <w:rPr>
                <w:rFonts w:ascii="Calibri" w:hAnsi="Calibri"/>
                <w:color w:val="334155"/>
                <w:sz w:val="19"/>
              </w:rPr>
            </w:r>
          </w:p>
          <w:p>
            <w:pPr>
              <w:spacing w:before="20" w:after="60" w:line="276" w:lineRule="auto"/>
            </w:pPr>
            <w:r>
              <w:rPr>
                <w:rFonts w:ascii="Calibri" w:hAnsi="Calibri"/>
                <w:color w:val="334155"/>
                <w:sz w:val="19"/>
              </w:rPr>
              <w:t xml:space="preserve">• </w:t>
            </w:r>
            <w:r>
              <w:rPr>
                <w:rFonts w:ascii="Calibri" w:hAnsi="Calibri"/>
                <w:b/>
                <w:color w:val="0F172A"/>
                <w:sz w:val="19"/>
              </w:rPr>
              <w:t>The Executive 'Pitch Book':</w:t>
            </w:r>
            <w:r>
              <w:rPr>
                <w:rFonts w:ascii="Calibri" w:hAnsi="Calibri"/>
                <w:color w:val="334155"/>
                <w:sz w:val="19"/>
              </w:rPr>
              <w:t xml:space="preserve"> Despite the availability of tablets and presentation screens, pitch books for C-suite client presentations are frequently printed and bound. Managing Directors use physical books to command undivided boardroom attention, establish a fixed conversational cadence, and prevent clients from checking incoming emails on their laptops.</w:t>
            </w:r>
          </w:p>
          <w:p>
            <w:pPr>
              <w:spacing w:before="20" w:after="20" w:line="276" w:lineRule="auto"/>
            </w:pPr>
            <w:r>
              <w:rPr>
                <w:rFonts w:ascii="Calibri" w:hAnsi="Calibri"/>
                <w:color w:val="334155"/>
                <w:sz w:val="19"/>
              </w:rPr>
              <w:t xml:space="preserve">• </w:t>
            </w:r>
            <w:r>
              <w:rPr>
                <w:rFonts w:ascii="Calibri" w:hAnsi="Calibri"/>
                <w:b/>
                <w:color w:val="0F172A"/>
                <w:sz w:val="19"/>
              </w:rPr>
              <w:t>Late-Stage M&amp;A Redline Comparison:</w:t>
            </w:r>
            <w:r>
              <w:rPr>
                <w:rFonts w:ascii="Calibri" w:hAnsi="Calibri"/>
                <w:color w:val="334155"/>
                <w:sz w:val="19"/>
              </w:rPr>
              <w:t xml:space="preserve"> During contract negotiations, senior bankers and legal counsel physically print redlined legal drafts (showing cross-outs and additions across iterations) to perform side-by-side comparative reviews, safeguarding against multi-million-dollar oversights in indemnity and closing covenants.</w:t>
            </w:r>
          </w:p>
        </w:tc>
      </w:tr>
    </w:tbl>
    <w:p>
      <w:pPr>
        <w:spacing w:before="0" w:after="60"/>
      </w:pPr>
    </w:p>
    <w:p>
      <w:pPr>
        <w:keepNext/>
        <w:spacing w:before="280" w:after="80"/>
      </w:pPr>
      <w:r>
        <w:rPr>
          <w:rFonts w:ascii="Calibri" w:hAnsi="Calibri"/>
          <w:b/>
          <w:color w:val="2C5E8A"/>
          <w:sz w:val="26"/>
        </w:rPr>
        <w:t>3.3 Equity Research: 10-K Footnote Navigation and Spatial Synthesis</w:t>
      </w:r>
    </w:p>
    <w:p>
      <w:pPr>
        <w:spacing w:before="40" w:after="100" w:line="276" w:lineRule="auto"/>
      </w:pPr>
      <w:r>
        <w:rPr>
          <w:rFonts w:ascii="Calibri" w:hAnsi="Calibri"/>
          <w:color w:val="222222"/>
          <w:sz w:val="20"/>
        </w:rPr>
        <w:t>Equity analysts represent the ultimate analytical consumers of long-form, complex corporate disclosures.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Equity Research: The Battle Between NLP Screening and Footnote Verification</w:t>
            </w:r>
          </w:p>
          <w:p>
            <w:pPr>
              <w:spacing w:before="20" w:after="60" w:line="276" w:lineRule="auto"/>
            </w:pPr>
            <w:r>
              <w:rPr>
                <w:rFonts w:ascii="Calibri" w:hAnsi="Calibri"/>
                <w:color w:val="334155"/>
                <w:sz w:val="19"/>
              </w:rPr>
            </w:r>
            <w:r>
              <w:rPr>
                <w:rFonts w:ascii="Calibri" w:hAnsi="Calibri"/>
                <w:b/>
                <w:color w:val="0F172A"/>
                <w:sz w:val="19"/>
              </w:rPr>
              <w:t>Screen-Based Discovery &amp; AI Filtering (Very High Digital):</w:t>
            </w:r>
            <w:r>
              <w:rPr>
                <w:rFonts w:ascii="Calibri" w:hAnsi="Calibri"/>
                <w:color w:val="334155"/>
                <w:sz w:val="19"/>
              </w:rPr>
            </w:r>
          </w:p>
          <w:p>
            <w:pPr>
              <w:spacing w:before="20" w:after="60" w:line="276" w:lineRule="auto"/>
            </w:pPr>
            <w:r>
              <w:rPr>
                <w:rFonts w:ascii="Calibri" w:hAnsi="Calibri"/>
                <w:color w:val="334155"/>
                <w:sz w:val="19"/>
              </w:rPr>
              <w:t>• Analysts consume annual reports (10-K), quarterly filings (10-Q), earnings call transcripts, and ESG disclosures.</w:t>
            </w:r>
          </w:p>
          <w:p>
            <w:pPr>
              <w:spacing w:before="20" w:after="60" w:line="276" w:lineRule="auto"/>
            </w:pPr>
            <w:r>
              <w:rPr>
                <w:rFonts w:ascii="Calibri" w:hAnsi="Calibri"/>
                <w:color w:val="334155"/>
                <w:sz w:val="19"/>
              </w:rPr>
              <w:t>• Utilize Natural Language Processing (NLP) algorithms and AI sentiment analysis tools to scan thousands of corporate filings for accounting conservatism, tone changes, and readability metrics.</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Physical Document Deep Analysis (Moderate to High Physical):</w:t>
            </w:r>
            <w:r>
              <w:rPr>
                <w:rFonts w:ascii="Calibri" w:hAnsi="Calibri"/>
                <w:color w:val="334155"/>
                <w:sz w:val="19"/>
              </w:rPr>
            </w:r>
          </w:p>
          <w:p>
            <w:pPr>
              <w:spacing w:before="20" w:after="60" w:line="276" w:lineRule="auto"/>
            </w:pPr>
            <w:r>
              <w:rPr>
                <w:rFonts w:ascii="Calibri" w:hAnsi="Calibri"/>
                <w:color w:val="334155"/>
                <w:sz w:val="19"/>
              </w:rPr>
              <w:t xml:space="preserve">• </w:t>
            </w:r>
            <w:r>
              <w:rPr>
                <w:rFonts w:ascii="Calibri" w:hAnsi="Calibri"/>
                <w:b/>
                <w:color w:val="0F172A"/>
                <w:sz w:val="19"/>
              </w:rPr>
              <w:t>The Footnote Navigation Problem:</w:t>
            </w:r>
            <w:r>
              <w:rPr>
                <w:rFonts w:ascii="Calibri" w:hAnsi="Calibri"/>
                <w:color w:val="334155"/>
                <w:sz w:val="19"/>
              </w:rPr>
              <w:t xml:space="preserve"> Annual reports often span 200–400 pages. A single line item on the consolidated cash flow statement might reference 'Footnote 14: Subordinated Debt Obligations' on page 182, which in turn references 'Footnote 22: Contingent Legal Liabilities' on page 245. On digital PDFs, jumping between these pages creates disorientation and working memory loss.</w:t>
            </w:r>
          </w:p>
          <w:p>
            <w:pPr>
              <w:spacing w:before="20" w:after="60" w:line="276" w:lineRule="auto"/>
            </w:pPr>
            <w:r>
              <w:rPr>
                <w:rFonts w:ascii="Calibri" w:hAnsi="Calibri"/>
                <w:color w:val="334155"/>
                <w:sz w:val="19"/>
              </w:rPr>
              <w:t xml:space="preserve">• </w:t>
            </w:r>
            <w:r>
              <w:rPr>
                <w:rFonts w:ascii="Calibri" w:hAnsi="Calibri"/>
                <w:b/>
                <w:color w:val="0F172A"/>
                <w:sz w:val="19"/>
              </w:rPr>
              <w:t>The Desk-Spread Solution:</w:t>
            </w:r>
            <w:r>
              <w:rPr>
                <w:rFonts w:ascii="Calibri" w:hAnsi="Calibri"/>
                <w:color w:val="334155"/>
                <w:sz w:val="19"/>
              </w:rPr>
              <w:t xml:space="preserve"> Analysts print key sections of the 10-K, laying the cash flow statement, income statement, and specific footnotes side-by-side on a desk to cross-reference numbers simultaneously while handwriting notes in the margins.</w:t>
            </w:r>
          </w:p>
          <w:p>
            <w:pPr>
              <w:spacing w:before="20" w:after="20" w:line="276" w:lineRule="auto"/>
            </w:pPr>
            <w:r>
              <w:rPr>
                <w:rFonts w:ascii="Calibri" w:hAnsi="Calibri"/>
                <w:color w:val="334155"/>
                <w:sz w:val="19"/>
              </w:rPr>
              <w:t xml:space="preserve">• </w:t>
            </w:r>
            <w:r>
              <w:rPr>
                <w:rFonts w:ascii="Calibri" w:hAnsi="Calibri"/>
                <w:b/>
                <w:color w:val="0F172A"/>
                <w:sz w:val="19"/>
              </w:rPr>
              <w:t>Workflow Summary:</w:t>
            </w:r>
            <w:r>
              <w:rPr>
                <w:rFonts w:ascii="Calibri" w:hAnsi="Calibri"/>
                <w:color w:val="334155"/>
                <w:sz w:val="19"/>
              </w:rPr>
              <w:t xml:space="preserve"> Digital screens serve for initial discovery and final report publication; physical paper serves as the essential cognitive bridge for deep synthesis.</w:t>
            </w:r>
          </w:p>
        </w:tc>
      </w:tr>
    </w:tbl>
    <w:p>
      <w:pPr>
        <w:spacing w:before="0" w:after="60"/>
      </w:pPr>
    </w:p>
    <w:p>
      <w:pPr>
        <w:keepNext/>
        <w:spacing w:before="280" w:after="80"/>
      </w:pPr>
      <w:r>
        <w:rPr>
          <w:rFonts w:ascii="Calibri" w:hAnsi="Calibri"/>
          <w:b/>
          <w:color w:val="2C5E8A"/>
          <w:sz w:val="26"/>
        </w:rPr>
        <w:t>3.4 Quantitative Research &amp; Algorithmic Trading</w:t>
      </w:r>
    </w:p>
    <w:p>
      <w:pPr>
        <w:spacing w:before="40" w:after="100" w:line="276" w:lineRule="auto"/>
      </w:pPr>
      <w:r>
        <w:rPr>
          <w:rFonts w:ascii="Calibri" w:hAnsi="Calibri"/>
          <w:color w:val="222222"/>
          <w:sz w:val="20"/>
        </w:rPr>
        <w:t>Quants operate in an almost pure computational and mathematical realm.</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Quantitative Information Work: Almost Entirely Digital</w:t>
            </w:r>
          </w:p>
          <w:p>
            <w:pPr>
              <w:spacing w:before="20" w:after="60" w:line="276" w:lineRule="auto"/>
            </w:pPr>
            <w:r>
              <w:rPr>
                <w:rFonts w:ascii="Calibri" w:hAnsi="Calibri"/>
                <w:color w:val="334155"/>
                <w:sz w:val="19"/>
              </w:rPr>
            </w:r>
            <w:r>
              <w:rPr>
                <w:rFonts w:ascii="Calibri" w:hAnsi="Calibri"/>
                <w:b/>
                <w:color w:val="0F172A"/>
                <w:sz w:val="19"/>
              </w:rPr>
              <w:t>Digital Information Modalities (Very High Digital / Exceptionally Low Physical):</w:t>
            </w:r>
            <w:r>
              <w:rPr>
                <w:rFonts w:ascii="Calibri" w:hAnsi="Calibri"/>
                <w:color w:val="334155"/>
                <w:sz w:val="19"/>
              </w:rPr>
            </w:r>
          </w:p>
          <w:p>
            <w:pPr>
              <w:spacing w:before="20" w:after="60" w:line="276" w:lineRule="auto"/>
            </w:pPr>
            <w:r>
              <w:rPr>
                <w:rFonts w:ascii="Calibri" w:hAnsi="Calibri"/>
                <w:color w:val="334155"/>
                <w:sz w:val="19"/>
              </w:rPr>
              <w:t>• Primary Mediums: Python codebases, C++ execution engines, Jupyter computational notebooks, massive tick-by-tick statistical datasets, and high-frequency market feeds.</w:t>
            </w:r>
          </w:p>
          <w:p>
            <w:pPr>
              <w:spacing w:before="20" w:after="60" w:line="276" w:lineRule="auto"/>
            </w:pPr>
            <w:r>
              <w:rPr>
                <w:rFonts w:ascii="Calibri" w:hAnsi="Calibri"/>
                <w:color w:val="334155"/>
                <w:sz w:val="19"/>
              </w:rPr>
              <w:t>• The velocity, volume, and mathematical nature of the data preclude physical printing.</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The Only Meaningful Physical Use Cases:</w:t>
            </w:r>
            <w:r>
              <w:rPr>
                <w:rFonts w:ascii="Calibri" w:hAnsi="Calibri"/>
                <w:color w:val="334155"/>
                <w:sz w:val="19"/>
              </w:rPr>
            </w:r>
          </w:p>
          <w:p>
            <w:pPr>
              <w:spacing w:before="20" w:after="60" w:line="276" w:lineRule="auto"/>
            </w:pPr>
            <w:r>
              <w:rPr>
                <w:rFonts w:ascii="Calibri" w:hAnsi="Calibri"/>
                <w:color w:val="334155"/>
                <w:sz w:val="19"/>
              </w:rPr>
              <w:t>• Collaborative mathematical whiteboarding for algorithmic system architecture.</w:t>
            </w:r>
          </w:p>
          <w:p>
            <w:pPr>
              <w:spacing w:before="20" w:after="20" w:line="276" w:lineRule="auto"/>
            </w:pPr>
            <w:r>
              <w:rPr>
                <w:rFonts w:ascii="Calibri" w:hAnsi="Calibri"/>
                <w:color w:val="334155"/>
                <w:sz w:val="19"/>
              </w:rPr>
              <w:t>• Printing dense, peer-reviewed academic papers in pure mathematics, physics, or econometrics where complex multi-variable LaTeX equations are digested more easily without monitor glare.</w:t>
            </w:r>
          </w:p>
        </w:tc>
      </w:tr>
    </w:tbl>
    <w:p>
      <w:pPr>
        <w:spacing w:before="0" w:after="60"/>
      </w:pPr>
    </w:p>
    <w:p>
      <w:pPr>
        <w:keepNext/>
        <w:spacing w:before="280" w:after="80"/>
      </w:pPr>
      <w:r>
        <w:rPr>
          <w:rFonts w:ascii="Calibri" w:hAnsi="Calibri"/>
          <w:b/>
          <w:color w:val="2C5E8A"/>
          <w:sz w:val="26"/>
        </w:rPr>
        <w:t>3.5 Trading Floors: Ultra-Low Latency and Real-Time Execution</w:t>
      </w:r>
    </w:p>
    <w:p>
      <w:pPr>
        <w:spacing w:before="40" w:after="100" w:line="276" w:lineRule="auto"/>
      </w:pPr>
      <w:r>
        <w:rPr>
          <w:rFonts w:ascii="Calibri" w:hAnsi="Calibri"/>
          <w:color w:val="222222"/>
          <w:sz w:val="20"/>
        </w:rPr>
        <w:t>Traders operate in an environment where latency is measured in milliseconds.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Trading Floors: The Apex of Screen Monitoring</w:t>
            </w:r>
          </w:p>
          <w:p>
            <w:pPr>
              <w:spacing w:before="20" w:after="60" w:line="276" w:lineRule="auto"/>
            </w:pPr>
            <w:r>
              <w:rPr>
                <w:rFonts w:ascii="Calibri" w:hAnsi="Calibri"/>
                <w:color w:val="334155"/>
                <w:sz w:val="19"/>
              </w:rPr>
            </w:r>
            <w:r>
              <w:rPr>
                <w:rFonts w:ascii="Calibri" w:hAnsi="Calibri"/>
                <w:b/>
                <w:color w:val="0F172A"/>
                <w:sz w:val="19"/>
              </w:rPr>
              <w:t>Information Environment (Very High Digital / Low-to-Zero Physical):</w:t>
            </w:r>
            <w:r>
              <w:rPr>
                <w:rFonts w:ascii="Calibri" w:hAnsi="Calibri"/>
                <w:color w:val="334155"/>
                <w:sz w:val="19"/>
              </w:rPr>
            </w:r>
          </w:p>
          <w:p>
            <w:pPr>
              <w:spacing w:before="20" w:after="60" w:line="276" w:lineRule="auto"/>
            </w:pPr>
            <w:r>
              <w:rPr>
                <w:rFonts w:ascii="Calibri" w:hAnsi="Calibri"/>
                <w:color w:val="334155"/>
                <w:sz w:val="19"/>
              </w:rPr>
              <w:t>• Multi-screen setups displaying Bloomberg Professional terminals, Reuters/LSEG feeds, algorithmic order routing screens, and real-time risk gauges.</w:t>
            </w:r>
          </w:p>
          <w:p>
            <w:pPr>
              <w:spacing w:before="20" w:after="60" w:line="276" w:lineRule="auto"/>
            </w:pPr>
            <w:r>
              <w:rPr>
                <w:rFonts w:ascii="Calibri" w:hAnsi="Calibri"/>
                <w:color w:val="334155"/>
                <w:sz w:val="19"/>
              </w:rPr>
              <w:t xml:space="preserve">• </w:t>
            </w:r>
            <w:r>
              <w:rPr>
                <w:rFonts w:ascii="Calibri" w:hAnsi="Calibri"/>
                <w:b/>
                <w:color w:val="0F172A"/>
                <w:sz w:val="19"/>
              </w:rPr>
              <w:t>Information Velocity:</w:t>
            </w:r>
            <w:r>
              <w:rPr>
                <w:rFonts w:ascii="Calibri" w:hAnsi="Calibri"/>
                <w:color w:val="334155"/>
                <w:sz w:val="19"/>
              </w:rPr>
              <w:t xml:space="preserve"> Decisions are executed in milliseconds. Consulting a physical document would cause execution latency that renders a trading strategy obsolete.</w:t>
            </w:r>
          </w:p>
          <w:p>
            <w:pPr>
              <w:spacing w:before="20" w:after="20" w:line="276" w:lineRule="auto"/>
            </w:pPr>
            <w:r>
              <w:rPr>
                <w:rFonts w:ascii="Calibri" w:hAnsi="Calibri"/>
                <w:color w:val="334155"/>
                <w:sz w:val="19"/>
              </w:rPr>
              <w:t xml:space="preserve">• </w:t>
            </w:r>
            <w:r>
              <w:rPr>
                <w:rFonts w:ascii="Calibri" w:hAnsi="Calibri"/>
                <w:b/>
                <w:color w:val="0F172A"/>
                <w:sz w:val="19"/>
              </w:rPr>
              <w:t>Reading Modality:</w:t>
            </w:r>
            <w:r>
              <w:rPr>
                <w:rFonts w:ascii="Calibri" w:hAnsi="Calibri"/>
                <w:color w:val="334155"/>
                <w:sz w:val="19"/>
              </w:rPr>
              <w:t xml:space="preserve"> Reading on a trading floor is defined as rapid visual scanning and pattern recognition of data streams rather than linear long-form document comprehension.</w:t>
            </w:r>
          </w:p>
        </w:tc>
      </w:tr>
    </w:tbl>
    <w:p>
      <w:pPr>
        <w:spacing w:before="0" w:after="60"/>
      </w:pPr>
    </w:p>
    <w:p>
      <w:pPr>
        <w:keepNext/>
        <w:spacing w:before="280" w:after="80"/>
      </w:pPr>
      <w:r>
        <w:rPr>
          <w:rFonts w:ascii="Calibri" w:hAnsi="Calibri"/>
          <w:b/>
          <w:color w:val="2C5E8A"/>
          <w:sz w:val="26"/>
        </w:rPr>
        <w:t>3.6 Asset Management &amp; Portfolio Management</w:t>
      </w:r>
    </w:p>
    <w:p>
      <w:pPr>
        <w:spacing w:before="40" w:after="100" w:line="276" w:lineRule="auto"/>
      </w:pPr>
      <w:r>
        <w:rPr>
          <w:rFonts w:ascii="Calibri" w:hAnsi="Calibri"/>
          <w:color w:val="222222"/>
          <w:sz w:val="20"/>
        </w:rPr>
        <w:t>Portfolio managers blend continuous market surveillance with periodic, highly deliberate strategic asset allocation.</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Portfolio Management: Blending High-Velocity Monitoring with Deliberate Allocation</w:t>
            </w:r>
          </w:p>
          <w:p>
            <w:pPr>
              <w:spacing w:before="20" w:after="60" w:line="276" w:lineRule="auto"/>
            </w:pPr>
            <w:r>
              <w:rPr>
                <w:rFonts w:ascii="Calibri" w:hAnsi="Calibri"/>
                <w:color w:val="334155"/>
                <w:sz w:val="19"/>
              </w:rPr>
            </w:r>
            <w:r>
              <w:rPr>
                <w:rFonts w:ascii="Calibri" w:hAnsi="Calibri"/>
                <w:b/>
                <w:color w:val="0F172A"/>
                <w:sz w:val="19"/>
              </w:rPr>
              <w:t>Digital Operations (High Digital Dependence):</w:t>
            </w:r>
            <w:r>
              <w:rPr>
                <w:rFonts w:ascii="Calibri" w:hAnsi="Calibri"/>
                <w:color w:val="334155"/>
                <w:sz w:val="19"/>
              </w:rPr>
            </w:r>
          </w:p>
          <w:p>
            <w:pPr>
              <w:spacing w:before="20" w:after="60" w:line="276" w:lineRule="auto"/>
            </w:pPr>
            <w:r>
              <w:rPr>
                <w:rFonts w:ascii="Calibri" w:hAnsi="Calibri"/>
                <w:color w:val="334155"/>
                <w:sz w:val="19"/>
              </w:rPr>
              <w:t>• Daily portfolio rebalancing, risk factor monitoring, sector exposure tracking, and trade execution via electronic order management systems (OMS).</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Physical Operations (Low to Moderate Physical Dependence):</w:t>
            </w:r>
            <w:r>
              <w:rPr>
                <w:rFonts w:ascii="Calibri" w:hAnsi="Calibri"/>
                <w:color w:val="334155"/>
                <w:sz w:val="19"/>
              </w:rPr>
            </w:r>
          </w:p>
          <w:p>
            <w:pPr>
              <w:spacing w:before="20" w:after="60" w:line="276" w:lineRule="auto"/>
            </w:pPr>
            <w:r>
              <w:rPr>
                <w:rFonts w:ascii="Calibri" w:hAnsi="Calibri"/>
                <w:color w:val="334155"/>
                <w:sz w:val="19"/>
              </w:rPr>
              <w:t>• Quarterly asset allocation committee meetings and macroeconomic research reviews frequently utilize printed briefing dossiers.</w:t>
            </w:r>
          </w:p>
          <w:p>
            <w:pPr>
              <w:spacing w:before="20" w:after="20" w:line="276" w:lineRule="auto"/>
            </w:pPr>
            <w:r>
              <w:rPr>
                <w:rFonts w:ascii="Calibri" w:hAnsi="Calibri"/>
                <w:color w:val="334155"/>
                <w:sz w:val="19"/>
              </w:rPr>
              <w:t>• High-Net-Worth (HNW) client reviews: Printed wealth portfolios remove the psychological barrier of laptop screens, establishing interpersonal trust and joint visual attention during strategic advisory sessions.</w:t>
            </w:r>
          </w:p>
        </w:tc>
      </w:tr>
    </w:tbl>
    <w:p>
      <w:pPr>
        <w:spacing w:before="0" w:after="60"/>
      </w:pPr>
    </w:p>
    <w:p>
      <w:pPr>
        <w:keepNext/>
        <w:spacing w:before="280" w:after="80"/>
      </w:pPr>
      <w:r>
        <w:rPr>
          <w:rFonts w:ascii="Calibri" w:hAnsi="Calibri"/>
          <w:b/>
          <w:color w:val="2C5E8A"/>
          <w:sz w:val="26"/>
        </w:rPr>
        <w:t>3.7 Accounting &amp; Audit: CAATTs Analytics vs. Physical Verification</w:t>
      </w:r>
    </w:p>
    <w:p>
      <w:pPr>
        <w:spacing w:before="40" w:after="100" w:line="276" w:lineRule="auto"/>
      </w:pPr>
      <w:r>
        <w:rPr>
          <w:rFonts w:ascii="Calibri" w:hAnsi="Calibri"/>
          <w:color w:val="222222"/>
          <w:sz w:val="20"/>
        </w:rPr>
        <w:t>Auditors utilize enterprise big-data tools while retaining mandatory physical inspection protocols.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Auditing: Big Data Analytics Coupled with Physical Reality Checks</w:t>
            </w:r>
          </w:p>
          <w:p>
            <w:pPr>
              <w:spacing w:before="20" w:after="60" w:line="276" w:lineRule="auto"/>
            </w:pPr>
            <w:r>
              <w:rPr>
                <w:rFonts w:ascii="Calibri" w:hAnsi="Calibri"/>
                <w:color w:val="334155"/>
                <w:sz w:val="19"/>
              </w:rPr>
            </w:r>
            <w:r>
              <w:rPr>
                <w:rFonts w:ascii="Calibri" w:hAnsi="Calibri"/>
                <w:b/>
                <w:color w:val="0F172A"/>
                <w:sz w:val="19"/>
              </w:rPr>
              <w:t>Digital Transformation via CAATTs (High Digital Dependence):</w:t>
            </w:r>
            <w:r>
              <w:rPr>
                <w:rFonts w:ascii="Calibri" w:hAnsi="Calibri"/>
                <w:color w:val="334155"/>
                <w:sz w:val="19"/>
              </w:rPr>
            </w:r>
          </w:p>
          <w:p>
            <w:pPr>
              <w:spacing w:before="20" w:after="60" w:line="276" w:lineRule="auto"/>
            </w:pPr>
            <w:r>
              <w:rPr>
                <w:rFonts w:ascii="Calibri" w:hAnsi="Calibri"/>
                <w:color w:val="334155"/>
                <w:sz w:val="19"/>
              </w:rPr>
              <w:t>• Transition from manual sampling to full-population testing using Computer Assisted Audit Tools and Techniques (CAATTs), automated fraud anomaly detection, and direct ERP data extraction.</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Physical Reality Verification (Moderate Physical Dependence):</w:t>
            </w:r>
            <w:r>
              <w:rPr>
                <w:rFonts w:ascii="Calibri" w:hAnsi="Calibri"/>
                <w:color w:val="334155"/>
                <w:sz w:val="19"/>
              </w:rPr>
            </w:r>
          </w:p>
          <w:p>
            <w:pPr>
              <w:spacing w:before="20" w:after="60" w:line="276" w:lineRule="auto"/>
            </w:pPr>
            <w:r>
              <w:rPr>
                <w:rFonts w:ascii="Calibri" w:hAnsi="Calibri"/>
                <w:color w:val="334155"/>
                <w:sz w:val="19"/>
              </w:rPr>
              <w:t xml:space="preserve">• </w:t>
            </w:r>
            <w:r>
              <w:rPr>
                <w:rFonts w:ascii="Calibri" w:hAnsi="Calibri"/>
                <w:b/>
                <w:color w:val="0F172A"/>
                <w:sz w:val="19"/>
              </w:rPr>
              <w:t>Physical Asset &amp; Inventory Observation:</w:t>
            </w:r>
            <w:r>
              <w:rPr>
                <w:rFonts w:ascii="Calibri" w:hAnsi="Calibri"/>
                <w:color w:val="334155"/>
                <w:sz w:val="19"/>
              </w:rPr>
              <w:t xml:space="preserve"> Auditors must physically inspect warehouses, manufacturing plants, and vault holdings to verify that balance-sheet assets exist in physical reality.</w:t>
            </w:r>
          </w:p>
          <w:p>
            <w:pPr>
              <w:spacing w:before="20" w:after="60" w:line="276" w:lineRule="auto"/>
            </w:pPr>
            <w:r>
              <w:rPr>
                <w:rFonts w:ascii="Calibri" w:hAnsi="Calibri"/>
                <w:color w:val="334155"/>
                <w:sz w:val="19"/>
              </w:rPr>
              <w:t xml:space="preserve">• </w:t>
            </w:r>
            <w:r>
              <w:rPr>
                <w:rFonts w:ascii="Calibri" w:hAnsi="Calibri"/>
                <w:b/>
                <w:color w:val="0F172A"/>
                <w:sz w:val="19"/>
              </w:rPr>
              <w:t>Original Document Inspection:</w:t>
            </w:r>
            <w:r>
              <w:rPr>
                <w:rFonts w:ascii="Calibri" w:hAnsi="Calibri"/>
                <w:color w:val="334155"/>
                <w:sz w:val="19"/>
              </w:rPr>
              <w:t xml:space="preserve"> Reviewing original physical corporate charters, loan agreements, and wet-signed governance minutes to detect forgery, unauthorized alterations, or missing attachments.</w:t>
            </w:r>
          </w:p>
          <w:p>
            <w:pPr>
              <w:spacing w:before="20" w:after="20" w:line="276" w:lineRule="auto"/>
            </w:pPr>
            <w:r>
              <w:rPr>
                <w:rFonts w:ascii="Calibri" w:hAnsi="Calibri"/>
                <w:color w:val="334155"/>
                <w:sz w:val="19"/>
              </w:rPr>
              <w:t xml:space="preserve">• </w:t>
            </w:r>
            <w:r>
              <w:rPr>
                <w:rFonts w:ascii="Calibri" w:hAnsi="Calibri"/>
                <w:b/>
                <w:color w:val="0F172A"/>
                <w:sz w:val="19"/>
              </w:rPr>
              <w:t>Audit Opinion Final Sign-Off:</w:t>
            </w:r>
            <w:r>
              <w:rPr>
                <w:rFonts w:ascii="Calibri" w:hAnsi="Calibri"/>
                <w:color w:val="334155"/>
                <w:sz w:val="19"/>
              </w:rPr>
              <w:t xml:space="preserve"> Final audit opinions and board governance presentations frequently require physical execution and physical presentation for legal finality.</w:t>
            </w:r>
          </w:p>
        </w:tc>
      </w:tr>
    </w:tbl>
    <w:p>
      <w:pPr>
        <w:spacing w:before="0" w:after="60"/>
      </w:pPr>
    </w:p>
    <w:p>
      <w:pPr>
        <w:keepNext/>
        <w:spacing w:before="280" w:after="80"/>
      </w:pPr>
      <w:r>
        <w:rPr>
          <w:rFonts w:ascii="Calibri" w:hAnsi="Calibri"/>
          <w:b/>
          <w:color w:val="2C5E8A"/>
          <w:sz w:val="26"/>
        </w:rPr>
        <w:t>3.8 Compliance: Immutable WORM Archiving vs. Regulatory Analysis</w:t>
      </w:r>
    </w:p>
    <w:p>
      <w:pPr>
        <w:spacing w:before="40" w:after="100" w:line="276" w:lineRule="auto"/>
      </w:pPr>
      <w:r>
        <w:rPr>
          <w:rFonts w:ascii="Calibri" w:hAnsi="Calibri"/>
          <w:color w:val="222222"/>
          <w:sz w:val="20"/>
        </w:rPr>
        <w:t>Compliance teams navigate between rigid digital surveillance tools and dense statutory legal prose.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Compliance Workflows: Automated Surveillance vs Dense Legal Interpretation</w:t>
            </w:r>
          </w:p>
          <w:p>
            <w:pPr>
              <w:spacing w:before="20" w:after="60" w:line="276" w:lineRule="auto"/>
            </w:pPr>
            <w:r>
              <w:rPr>
                <w:rFonts w:ascii="Calibri" w:hAnsi="Calibri"/>
                <w:color w:val="334155"/>
                <w:sz w:val="19"/>
              </w:rPr>
            </w:r>
            <w:r>
              <w:rPr>
                <w:rFonts w:ascii="Calibri" w:hAnsi="Calibri"/>
                <w:b/>
                <w:color w:val="0F172A"/>
                <w:sz w:val="19"/>
              </w:rPr>
              <w:t>Digital Compliance Mandates (High Digital Dependence):</w:t>
            </w:r>
            <w:r>
              <w:rPr>
                <w:rFonts w:ascii="Calibri" w:hAnsi="Calibri"/>
                <w:color w:val="334155"/>
                <w:sz w:val="19"/>
              </w:rPr>
            </w:r>
          </w:p>
          <w:p>
            <w:pPr>
              <w:spacing w:before="20" w:after="60" w:line="276" w:lineRule="auto"/>
            </w:pPr>
            <w:r>
              <w:rPr>
                <w:rFonts w:ascii="Calibri" w:hAnsi="Calibri"/>
                <w:color w:val="334155"/>
                <w:sz w:val="19"/>
              </w:rPr>
              <w:t>• Automated transaction surveillance, AML screening databases, employee communication monitoring.</w:t>
            </w:r>
          </w:p>
          <w:p>
            <w:pPr>
              <w:spacing w:before="20" w:after="60" w:line="276" w:lineRule="auto"/>
            </w:pPr>
            <w:r>
              <w:rPr>
                <w:rFonts w:ascii="Calibri" w:hAnsi="Calibri"/>
                <w:color w:val="334155"/>
                <w:sz w:val="19"/>
              </w:rPr>
              <w:t xml:space="preserve">• </w:t>
            </w:r>
            <w:r>
              <w:rPr>
                <w:rFonts w:ascii="Calibri" w:hAnsi="Calibri"/>
                <w:b/>
                <w:color w:val="0F172A"/>
                <w:sz w:val="19"/>
              </w:rPr>
              <w:t>Regulatory Archiving Rules:</w:t>
            </w:r>
            <w:r>
              <w:rPr>
                <w:rFonts w:ascii="Calibri" w:hAnsi="Calibri"/>
                <w:color w:val="334155"/>
                <w:sz w:val="19"/>
              </w:rPr>
              <w:t xml:space="preserve"> SEC Rule 17a-4 and FINRA Rule 4511 require broker-dealers to maintain electronic business records in immutable, non-rewritable, non-erasable formats (WORM storage) for 3 to 6 years.</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Physical Document Reading (Moderate to High Physical Dependence):</w:t>
            </w:r>
            <w:r>
              <w:rPr>
                <w:rFonts w:ascii="Calibri" w:hAnsi="Calibri"/>
                <w:color w:val="334155"/>
                <w:sz w:val="19"/>
              </w:rPr>
            </w:r>
          </w:p>
          <w:p>
            <w:pPr>
              <w:spacing w:before="20" w:after="60" w:line="276" w:lineRule="auto"/>
            </w:pPr>
            <w:r>
              <w:rPr>
                <w:rFonts w:ascii="Calibri" w:hAnsi="Calibri"/>
                <w:color w:val="334155"/>
                <w:sz w:val="19"/>
              </w:rPr>
              <w:t>• Evaluating dense regulatory updates, such as amendments to the Investment Advisers Act or annual SEC Examination Priorities.</w:t>
            </w:r>
          </w:p>
          <w:p>
            <w:pPr>
              <w:spacing w:before="20" w:after="20" w:line="276" w:lineRule="auto"/>
            </w:pPr>
            <w:r>
              <w:rPr>
                <w:rFonts w:ascii="Calibri" w:hAnsi="Calibri"/>
                <w:color w:val="334155"/>
                <w:sz w:val="19"/>
              </w:rPr>
              <w:t>• Compliance officers print these long, complex legal statutes to highlight definitions, map statutory mandates against internal policy binders, and ensure zero ambiguity in regulatory interpretations.</w:t>
            </w:r>
          </w:p>
        </w:tc>
      </w:tr>
    </w:tbl>
    <w:p>
      <w:pPr>
        <w:spacing w:before="0" w:after="60"/>
      </w:pPr>
    </w:p>
    <w:p>
      <w:pPr>
        <w:keepNext/>
        <w:spacing w:before="280" w:after="80"/>
      </w:pPr>
      <w:r>
        <w:rPr>
          <w:rFonts w:ascii="Calibri" w:hAnsi="Calibri"/>
          <w:b/>
          <w:color w:val="2C5E8A"/>
          <w:sz w:val="26"/>
        </w:rPr>
        <w:t>3.9 Legal &amp; Regulatory Professionals: The Apex of Physical Document Dependence</w:t>
      </w:r>
    </w:p>
    <w:p>
      <w:pPr>
        <w:spacing w:before="40" w:after="100" w:line="276" w:lineRule="auto"/>
      </w:pPr>
      <w:r>
        <w:rPr>
          <w:rFonts w:ascii="Calibri" w:hAnsi="Calibri"/>
          <w:color w:val="222222"/>
          <w:sz w:val="20"/>
        </w:rPr>
        <w:t>Legal practitioners exhibit the highest sustained physical document dependence across the entire knowledge economy.</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Legal Professionals: Highest Sustained Physical Dependence Across All Sectors</w:t>
            </w:r>
          </w:p>
          <w:p>
            <w:pPr>
              <w:spacing w:before="20" w:after="60" w:line="276" w:lineRule="auto"/>
            </w:pPr>
            <w:r>
              <w:rPr>
                <w:rFonts w:ascii="Calibri" w:hAnsi="Calibri"/>
                <w:color w:val="334155"/>
                <w:sz w:val="19"/>
              </w:rPr>
            </w:r>
            <w:r>
              <w:rPr>
                <w:rFonts w:ascii="Calibri" w:hAnsi="Calibri"/>
                <w:b/>
                <w:color w:val="0F172A"/>
                <w:sz w:val="19"/>
              </w:rPr>
              <w:t>Digital Legal Infrastructure (High Digital Dependence):</w:t>
            </w:r>
            <w:r>
              <w:rPr>
                <w:rFonts w:ascii="Calibri" w:hAnsi="Calibri"/>
                <w:color w:val="334155"/>
                <w:sz w:val="19"/>
              </w:rPr>
            </w:r>
          </w:p>
          <w:p>
            <w:pPr>
              <w:spacing w:before="20" w:after="60" w:line="276" w:lineRule="auto"/>
            </w:pPr>
            <w:r>
              <w:rPr>
                <w:rFonts w:ascii="Calibri" w:hAnsi="Calibri"/>
                <w:color w:val="334155"/>
                <w:sz w:val="19"/>
              </w:rPr>
              <w:t>• Electronic legal research (LexisNexis, Westlaw), AI-powered e-Discovery, and Technology-Assisted Review (TAR) for massive document discovery.</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Physical Legal Necessity (High Physical Dependence):</w:t>
            </w:r>
            <w:r>
              <w:rPr>
                <w:rFonts w:ascii="Calibri" w:hAnsi="Calibri"/>
                <w:color w:val="334155"/>
                <w:sz w:val="19"/>
              </w:rPr>
            </w:r>
          </w:p>
          <w:p>
            <w:pPr>
              <w:spacing w:before="20" w:after="60" w:line="276" w:lineRule="auto"/>
            </w:pPr>
            <w:r>
              <w:rPr>
                <w:rFonts w:ascii="Calibri" w:hAnsi="Calibri"/>
                <w:color w:val="334155"/>
                <w:sz w:val="19"/>
              </w:rPr>
              <w:t xml:space="preserve">• </w:t>
            </w:r>
            <w:r>
              <w:rPr>
                <w:rFonts w:ascii="Calibri" w:hAnsi="Calibri"/>
                <w:b/>
                <w:color w:val="0F172A"/>
                <w:sz w:val="19"/>
              </w:rPr>
              <w:t>Cognitive Reading Demands:</w:t>
            </w:r>
            <w:r>
              <w:rPr>
                <w:rFonts w:ascii="Calibri" w:hAnsi="Calibri"/>
                <w:color w:val="334155"/>
                <w:sz w:val="19"/>
              </w:rPr>
              <w:t xml:space="preserve"> Interpreting multi-jurisdictional statutory codes, drafting multi-hundred-page M&amp;A contracts, and conducting exhaustive due diligence require deep, sustained cognitive immersion.</w:t>
            </w:r>
          </w:p>
          <w:p>
            <w:pPr>
              <w:spacing w:before="20" w:after="60" w:line="276" w:lineRule="auto"/>
            </w:pPr>
            <w:r>
              <w:rPr>
                <w:rFonts w:ascii="Calibri" w:hAnsi="Calibri"/>
                <w:color w:val="334155"/>
                <w:sz w:val="19"/>
              </w:rPr>
              <w:t xml:space="preserve">• </w:t>
            </w:r>
            <w:r>
              <w:rPr>
                <w:rFonts w:ascii="Calibri" w:hAnsi="Calibri"/>
                <w:b/>
                <w:color w:val="0F172A"/>
                <w:sz w:val="19"/>
              </w:rPr>
              <w:t>Evidentiary Chain-of-Custody &amp; Wet Signatures:</w:t>
            </w:r>
            <w:r>
              <w:rPr>
                <w:rFonts w:ascii="Calibri" w:hAnsi="Calibri"/>
                <w:color w:val="334155"/>
                <w:sz w:val="19"/>
              </w:rPr>
              <w:t xml:space="preserve"> High-value corporate transactions, real estate deeds, and sworn affidavits universally require physical wet-ink signatures and notarization.</w:t>
            </w:r>
          </w:p>
          <w:p>
            <w:pPr>
              <w:spacing w:before="20" w:after="20" w:line="276" w:lineRule="auto"/>
            </w:pPr>
            <w:r>
              <w:rPr>
                <w:rFonts w:ascii="Calibri" w:hAnsi="Calibri"/>
                <w:color w:val="334155"/>
                <w:sz w:val="19"/>
              </w:rPr>
              <w:t xml:space="preserve">• </w:t>
            </w:r>
            <w:r>
              <w:rPr>
                <w:rFonts w:ascii="Calibri" w:hAnsi="Calibri"/>
                <w:b/>
                <w:color w:val="0F172A"/>
                <w:sz w:val="19"/>
              </w:rPr>
              <w:t>Courtroom Admissibility:</w:t>
            </w:r>
            <w:r>
              <w:rPr>
                <w:rFonts w:ascii="Calibri" w:hAnsi="Calibri"/>
                <w:color w:val="334155"/>
                <w:sz w:val="19"/>
              </w:rPr>
              <w:t xml:space="preserve"> Physical documentation and signed certifications are mandatory for establishing legal enforceability in court proceedings.</w:t>
            </w:r>
          </w:p>
        </w:tc>
      </w:tr>
    </w:tbl>
    <w:p>
      <w:pPr>
        <w:spacing w:before="0" w:after="60"/>
      </w:pPr>
    </w:p>
    <w:p>
      <w:pPr>
        <w:keepNext/>
        <w:spacing w:before="400" w:after="120"/>
      </w:pPr>
      <w:r>
        <w:rPr>
          <w:rFonts w:ascii="Calibri" w:hAnsi="Calibri"/>
          <w:b/>
          <w:color w:val="1B365D"/>
          <w:sz w:val="31"/>
        </w:rPr>
        <w:t>Part 4: Geographic and Jurisdictional Comparative Analysis</w:t>
      </w:r>
    </w:p>
    <w:p>
      <w:pPr>
        <w:spacing w:before="40" w:after="100" w:line="276" w:lineRule="auto"/>
      </w:pPr>
      <w:r>
        <w:rPr>
          <w:rFonts w:ascii="Calibri" w:hAnsi="Calibri"/>
          <w:color w:val="222222"/>
          <w:sz w:val="20"/>
        </w:rPr>
        <w:t>The necessity of physical paper is heavily dictated by national legal frameworks and statutory rules of evidence. Below is a comparative analysis of Western financial centers versus India.</w:t>
      </w:r>
    </w:p>
    <w:p>
      <w:pPr>
        <w:keepNext/>
        <w:spacing w:before="280" w:after="80"/>
      </w:pPr>
      <w:r>
        <w:rPr>
          <w:rFonts w:ascii="Calibri" w:hAnsi="Calibri"/>
          <w:b/>
          <w:color w:val="2C5E8A"/>
          <w:sz w:val="26"/>
        </w:rPr>
        <w:t>4.1 United States and Western Europe: Cryptographic Compliance &amp; WORM Storage</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Western Jurisdictions: Highly Digitized Archives with Cognitive Printing</w:t>
            </w:r>
          </w:p>
          <w:p>
            <w:pPr>
              <w:spacing w:before="20" w:after="60" w:line="276" w:lineRule="auto"/>
            </w:pPr>
            <w:r>
              <w:rPr>
                <w:rFonts w:ascii="Calibri" w:hAnsi="Calibri"/>
                <w:color w:val="334155"/>
                <w:sz w:val="19"/>
              </w:rPr>
            </w:r>
            <w:r>
              <w:rPr>
                <w:rFonts w:ascii="Calibri" w:hAnsi="Calibri"/>
                <w:b/>
                <w:color w:val="0F172A"/>
                <w:sz w:val="19"/>
              </w:rPr>
              <w:t>Regulatory Frameworks:</w:t>
            </w:r>
            <w:r>
              <w:rPr>
                <w:rFonts w:ascii="Calibri" w:hAnsi="Calibri"/>
                <w:color w:val="334155"/>
                <w:sz w:val="19"/>
              </w:rPr>
            </w:r>
          </w:p>
          <w:p>
            <w:pPr>
              <w:spacing w:before="20" w:after="60" w:line="276" w:lineRule="auto"/>
            </w:pPr>
            <w:r>
              <w:rPr>
                <w:rFonts w:ascii="Calibri" w:hAnsi="Calibri"/>
                <w:color w:val="334155"/>
                <w:sz w:val="19"/>
              </w:rPr>
              <w:t xml:space="preserve">• </w:t>
            </w:r>
            <w:r>
              <w:rPr>
                <w:rFonts w:ascii="Calibri" w:hAnsi="Calibri"/>
                <w:b/>
                <w:color w:val="0F172A"/>
                <w:sz w:val="19"/>
              </w:rPr>
              <w:t>United States:</w:t>
            </w:r>
            <w:r>
              <w:rPr>
                <w:rFonts w:ascii="Calibri" w:hAnsi="Calibri"/>
                <w:color w:val="334155"/>
                <w:sz w:val="19"/>
              </w:rPr>
              <w:t xml:space="preserve"> SEC Rule 17a-4 and FINRA Rule 4511 mandate electronic record retention using Write-Once-Read-Many (WORM) cloud repositories or tamper-evident electronic audit trails.</w:t>
            </w:r>
          </w:p>
          <w:p>
            <w:pPr>
              <w:spacing w:before="20" w:after="60" w:line="276" w:lineRule="auto"/>
            </w:pPr>
            <w:r>
              <w:rPr>
                <w:rFonts w:ascii="Calibri" w:hAnsi="Calibri"/>
                <w:color w:val="334155"/>
                <w:sz w:val="19"/>
              </w:rPr>
              <w:t xml:space="preserve">• </w:t>
            </w:r>
            <w:r>
              <w:rPr>
                <w:rFonts w:ascii="Calibri" w:hAnsi="Calibri"/>
                <w:b/>
                <w:color w:val="0F172A"/>
                <w:sz w:val="19"/>
              </w:rPr>
              <w:t>European Union:</w:t>
            </w:r>
            <w:r>
              <w:rPr>
                <w:rFonts w:ascii="Calibri" w:hAnsi="Calibri"/>
                <w:color w:val="334155"/>
                <w:sz w:val="19"/>
              </w:rPr>
              <w:t xml:space="preserve"> The Securities Trading Act (WpHG) transposing MiFID II (enforced by BaFin in Germany and equivalent EU regulators) mandates that all communications intended to lead to financial transactions be archived for 5 to 7 years in tamper-proof electronic formats.</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Operational Reality:</w:t>
            </w:r>
            <w:r>
              <w:rPr>
                <w:rFonts w:ascii="Calibri" w:hAnsi="Calibri"/>
                <w:color w:val="334155"/>
                <w:sz w:val="19"/>
              </w:rPr>
            </w:r>
          </w:p>
          <w:p>
            <w:pPr>
              <w:spacing w:before="20" w:after="20" w:line="276" w:lineRule="auto"/>
            </w:pPr>
            <w:r>
              <w:rPr>
                <w:rFonts w:ascii="Calibri" w:hAnsi="Calibri"/>
                <w:color w:val="334155"/>
                <w:sz w:val="19"/>
              </w:rPr>
              <w:t xml:space="preserve">Western financial institutions possess mature, cloud-native archiving systems. In these jurisdictions, physical printing is primarily driven by </w:t>
            </w:r>
            <w:r>
              <w:rPr>
                <w:rFonts w:ascii="Calibri" w:hAnsi="Calibri"/>
                <w:b/>
                <w:color w:val="0F172A"/>
                <w:sz w:val="19"/>
              </w:rPr>
              <w:t>cognitive preference</w:t>
            </w:r>
            <w:r>
              <w:rPr>
                <w:rFonts w:ascii="Calibri" w:hAnsi="Calibri"/>
                <w:color w:val="334155"/>
                <w:sz w:val="19"/>
              </w:rPr>
              <w:t xml:space="preserve"> (analysts wanting better focus and cross-referencing) rather than strict statutory mandates, with exceptions for wet-signed definitive legal deeds.</w:t>
            </w:r>
          </w:p>
        </w:tc>
      </w:tr>
    </w:tbl>
    <w:p>
      <w:pPr>
        <w:spacing w:before="0" w:after="60"/>
      </w:pPr>
    </w:p>
    <w:p>
      <w:pPr>
        <w:keepNext/>
        <w:spacing w:before="280" w:after="80"/>
      </w:pPr>
      <w:r>
        <w:rPr>
          <w:rFonts w:ascii="Calibri" w:hAnsi="Calibri"/>
          <w:b/>
          <w:color w:val="2C5E8A"/>
          <w:sz w:val="26"/>
        </w:rPr>
        <w:t>4.2 India: Hyper-Digitalization Confronting Rigid Physical Evidentiary Mandates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The Indian Paradox: World-Leading Digital Rails Paired with Strict Paper Laws</w:t>
            </w:r>
          </w:p>
          <w:p>
            <w:pPr>
              <w:spacing w:before="20" w:after="60" w:line="276" w:lineRule="auto"/>
            </w:pPr>
            <w:r>
              <w:rPr>
                <w:rFonts w:ascii="Calibri" w:hAnsi="Calibri"/>
                <w:color w:val="334155"/>
                <w:sz w:val="19"/>
              </w:rPr>
            </w:r>
            <w:r>
              <w:rPr>
                <w:rFonts w:ascii="Calibri" w:hAnsi="Calibri"/>
                <w:b/>
                <w:color w:val="0F172A"/>
                <w:sz w:val="19"/>
              </w:rPr>
              <w:t>Hyper-Digital Public Infrastructure:</w:t>
            </w:r>
            <w:r>
              <w:rPr>
                <w:rFonts w:ascii="Calibri" w:hAnsi="Calibri"/>
                <w:color w:val="334155"/>
                <w:sz w:val="19"/>
              </w:rPr>
            </w:r>
          </w:p>
          <w:p>
            <w:pPr>
              <w:spacing w:before="20" w:after="60" w:line="276" w:lineRule="auto"/>
            </w:pPr>
            <w:r>
              <w:rPr>
                <w:rFonts w:ascii="Calibri" w:hAnsi="Calibri"/>
                <w:color w:val="334155"/>
                <w:sz w:val="19"/>
              </w:rPr>
              <w:t>• India leads global retail finance in digital adoption through the Unified Payments Interface (UPI), Aadhaar-based e-KYC, Video-KYC, and digital straight-through processing (STP), eliminating retail banking paper.</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The Section 65B Mandatory Physical Certificate Requirement:</w:t>
            </w:r>
            <w:r>
              <w:rPr>
                <w:rFonts w:ascii="Calibri" w:hAnsi="Calibri"/>
                <w:color w:val="334155"/>
                <w:sz w:val="19"/>
              </w:rPr>
            </w:r>
          </w:p>
          <w:p>
            <w:pPr>
              <w:spacing w:before="20" w:after="60" w:line="276" w:lineRule="auto"/>
            </w:pPr>
            <w:r>
              <w:rPr>
                <w:rFonts w:ascii="Calibri" w:hAnsi="Calibri"/>
                <w:color w:val="334155"/>
                <w:sz w:val="19"/>
              </w:rPr>
              <w:t xml:space="preserve">• Under </w:t>
            </w:r>
            <w:r>
              <w:rPr>
                <w:rFonts w:ascii="Calibri" w:hAnsi="Calibri"/>
                <w:b/>
                <w:color w:val="0F172A"/>
                <w:sz w:val="19"/>
              </w:rPr>
              <w:t>Section 65B of the Indian Evidence Act</w:t>
            </w:r>
            <w:r>
              <w:rPr>
                <w:rFonts w:ascii="Calibri" w:hAnsi="Calibri"/>
                <w:color w:val="334155"/>
                <w:sz w:val="19"/>
              </w:rPr>
              <w:t xml:space="preserve">, any electronic record (such as an email, WhatsApp chat, database export, or digital bank ledger) is </w:t>
            </w:r>
            <w:r>
              <w:rPr>
                <w:rFonts w:ascii="Calibri" w:hAnsi="Calibri"/>
                <w:b/>
                <w:color w:val="0F172A"/>
                <w:sz w:val="19"/>
              </w:rPr>
              <w:t>inadmissible in a court of law</w:t>
            </w:r>
            <w:r>
              <w:rPr>
                <w:rFonts w:ascii="Calibri" w:hAnsi="Calibri"/>
                <w:color w:val="334155"/>
                <w:sz w:val="19"/>
              </w:rPr>
              <w:t xml:space="preserve"> unless accompanied by a physical certificate.</w:t>
            </w:r>
          </w:p>
          <w:p>
            <w:pPr>
              <w:spacing w:before="20" w:after="60" w:line="276" w:lineRule="auto"/>
            </w:pPr>
            <w:r>
              <w:rPr>
                <w:rFonts w:ascii="Calibri" w:hAnsi="Calibri"/>
                <w:color w:val="334155"/>
                <w:sz w:val="19"/>
              </w:rPr>
              <w:t xml:space="preserve">• </w:t>
            </w:r>
            <w:r>
              <w:rPr>
                <w:rFonts w:ascii="Calibri" w:hAnsi="Calibri"/>
                <w:b/>
                <w:color w:val="0F172A"/>
                <w:sz w:val="19"/>
              </w:rPr>
              <w:t>The Statutory Mechanism:</w:t>
            </w:r>
            <w:r>
              <w:rPr>
                <w:rFonts w:ascii="Calibri" w:hAnsi="Calibri"/>
                <w:color w:val="334155"/>
                <w:sz w:val="19"/>
              </w:rPr>
              <w:t xml:space="preserve"> This Section 65B certificate must be printed on physical paper and physically signed by a person occupying a responsible official position in relation to the operation of the relevant computer device, certifying that the electronic device was operating properly without tampering.</w:t>
            </w:r>
          </w:p>
          <w:p>
            <w:pPr>
              <w:spacing w:before="20" w:after="60" w:line="276" w:lineRule="auto"/>
            </w:pPr>
            <w:r>
              <w:rPr>
                <w:rFonts w:ascii="Calibri" w:hAnsi="Calibri"/>
                <w:color w:val="334155"/>
                <w:sz w:val="19"/>
              </w:rPr>
              <w:t xml:space="preserve">• </w:t>
            </w:r>
            <w:r>
              <w:rPr>
                <w:rFonts w:ascii="Calibri" w:hAnsi="Calibri"/>
                <w:b/>
                <w:color w:val="0F172A"/>
                <w:sz w:val="19"/>
              </w:rPr>
              <w:t>Supreme Court Precedent:</w:t>
            </w:r>
            <w:r>
              <w:rPr>
                <w:rFonts w:ascii="Calibri" w:hAnsi="Calibri"/>
                <w:color w:val="334155"/>
                <w:sz w:val="19"/>
              </w:rPr>
              <w:t xml:space="preserve"> The Supreme Court of India has repeatedly ruled that a physical Section 65B certificate is a </w:t>
            </w:r>
            <w:r>
              <w:rPr>
                <w:rFonts w:ascii="Calibri" w:hAnsi="Calibri"/>
                <w:b/>
                <w:color w:val="0F172A"/>
                <w:sz w:val="19"/>
              </w:rPr>
              <w:t>mandatory condition precedent</w:t>
            </w:r>
            <w:r>
              <w:rPr>
                <w:rFonts w:ascii="Calibri" w:hAnsi="Calibri"/>
                <w:color w:val="334155"/>
                <w:sz w:val="19"/>
              </w:rPr>
              <w:t xml:space="preserve"> for admitting electronic records into legal evidence.</w:t>
            </w:r>
          </w:p>
          <w:p>
            <w:pPr>
              <w:spacing w:before="20" w:after="60" w:line="276" w:lineRule="auto"/>
            </w:pPr>
            <w:r>
              <w:rPr>
                <w:rFonts w:ascii="Calibri" w:hAnsi="Calibri"/>
                <w:color w:val="334155"/>
                <w:sz w:val="19"/>
              </w:rPr>
            </w:r>
          </w:p>
          <w:p>
            <w:pPr>
              <w:spacing w:before="20" w:after="60" w:line="276" w:lineRule="auto"/>
            </w:pPr>
            <w:r>
              <w:rPr>
                <w:rFonts w:ascii="Calibri" w:hAnsi="Calibri"/>
                <w:color w:val="334155"/>
                <w:sz w:val="19"/>
              </w:rPr>
            </w:r>
            <w:r>
              <w:rPr>
                <w:rFonts w:ascii="Calibri" w:hAnsi="Calibri"/>
                <w:b/>
                <w:color w:val="0F172A"/>
                <w:sz w:val="19"/>
              </w:rPr>
              <w:t>SHCIL E-Stamping and Physical Stamp Paper:</w:t>
            </w:r>
            <w:r>
              <w:rPr>
                <w:rFonts w:ascii="Calibri" w:hAnsi="Calibri"/>
                <w:color w:val="334155"/>
                <w:sz w:val="19"/>
              </w:rPr>
            </w:r>
          </w:p>
          <w:p>
            <w:pPr>
              <w:spacing w:before="20" w:after="60" w:line="276" w:lineRule="auto"/>
            </w:pPr>
            <w:r>
              <w:rPr>
                <w:rFonts w:ascii="Calibri" w:hAnsi="Calibri"/>
                <w:color w:val="334155"/>
                <w:sz w:val="19"/>
              </w:rPr>
              <w:t xml:space="preserve">• In commercial hubs like Maharashtra (Mumbai), corporate loan agreements and high-value contracts utilize the digital e-stamping platform managed by the </w:t>
            </w:r>
            <w:r>
              <w:rPr>
                <w:rFonts w:ascii="Calibri" w:hAnsi="Calibri"/>
                <w:b/>
                <w:color w:val="0F172A"/>
                <w:sz w:val="19"/>
              </w:rPr>
              <w:t>Stock Holding Corporation of India Limited (SHCIL)</w:t>
            </w:r>
            <w:r>
              <w:rPr>
                <w:rFonts w:ascii="Calibri" w:hAnsi="Calibri"/>
                <w:color w:val="334155"/>
                <w:sz w:val="19"/>
              </w:rPr>
              <w:t>.</w:t>
            </w:r>
          </w:p>
          <w:p>
            <w:pPr>
              <w:spacing w:before="20" w:after="60" w:line="276" w:lineRule="auto"/>
            </w:pPr>
            <w:r>
              <w:rPr>
                <w:rFonts w:ascii="Calibri" w:hAnsi="Calibri"/>
                <w:color w:val="334155"/>
                <w:sz w:val="19"/>
              </w:rPr>
              <w:t xml:space="preserve">• While the duty is calculated and paid digitally, the resulting </w:t>
            </w:r>
            <w:r>
              <w:rPr>
                <w:rFonts w:ascii="Calibri" w:hAnsi="Calibri"/>
                <w:b/>
                <w:color w:val="0F172A"/>
                <w:sz w:val="19"/>
              </w:rPr>
              <w:t>e-stamp certificate is physically printed on special stamp paper</w:t>
            </w:r>
            <w:r>
              <w:rPr>
                <w:rFonts w:ascii="Calibri" w:hAnsi="Calibri"/>
                <w:color w:val="334155"/>
                <w:sz w:val="19"/>
              </w:rPr>
              <w:t xml:space="preserve"> and physically signed to ensure absolute legal enforceability before sub-registrars and judicial courts.</w:t>
            </w:r>
          </w:p>
          <w:p>
            <w:pPr>
              <w:spacing w:before="20" w:after="60" w:line="276" w:lineRule="auto"/>
            </w:pPr>
            <w:r>
              <w:rPr>
                <w:rFonts w:ascii="Calibri" w:hAnsi="Calibri"/>
                <w:color w:val="334155"/>
                <w:sz w:val="19"/>
              </w:rPr>
            </w:r>
          </w:p>
          <w:p>
            <w:pPr>
              <w:spacing w:before="20" w:after="20" w:line="276" w:lineRule="auto"/>
            </w:pPr>
            <w:r>
              <w:rPr>
                <w:rFonts w:ascii="Calibri" w:hAnsi="Calibri"/>
                <w:color w:val="334155"/>
                <w:sz w:val="19"/>
              </w:rPr>
            </w:r>
            <w:r>
              <w:rPr>
                <w:rFonts w:ascii="Calibri" w:hAnsi="Calibri"/>
                <w:b/>
                <w:color w:val="0F172A"/>
                <w:sz w:val="19"/>
              </w:rPr>
              <w:t>Synthesis:</w:t>
            </w:r>
            <w:r>
              <w:rPr>
                <w:rFonts w:ascii="Calibri" w:hAnsi="Calibri"/>
                <w:color w:val="334155"/>
                <w:sz w:val="19"/>
              </w:rPr>
              <w:t xml:space="preserve"> An Indian financial professional operates in a genuinely dual state: using lightning-fast digital networks for execution, but relying on physical paper and wet signatures for ultimate legal validity.</w:t>
            </w:r>
          </w:p>
        </w:tc>
      </w:tr>
    </w:tbl>
    <w:p>
      <w:pPr>
        <w:spacing w:before="0" w:after="60"/>
      </w:pPr>
    </w:p>
    <w:p>
      <w:pPr>
        <w:keepNext/>
        <w:spacing w:before="400" w:after="120"/>
      </w:pPr>
      <w:r>
        <w:rPr>
          <w:rFonts w:ascii="Calibri" w:hAnsi="Calibri"/>
          <w:b/>
          <w:color w:val="1B365D"/>
          <w:sz w:val="31"/>
        </w:rPr>
        <w:t>Part 5: Master Digital vs. Physical Usage Matrix</w:t>
      </w:r>
    </w:p>
    <w:p>
      <w:pPr>
        <w:spacing w:before="40" w:after="100" w:line="276" w:lineRule="auto"/>
      </w:pPr>
      <w:r>
        <w:rPr>
          <w:rFonts w:ascii="Calibri" w:hAnsi="Calibri"/>
          <w:color w:val="222222"/>
          <w:sz w:val="20"/>
        </w:rPr>
        <w:t>The table below synthesizes the complete findings across all professional populations, detailing digital dependence, physical dependence, primary operating mediums, key physical use cases, and evidentiary support tiers: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560"/>
        <w:gridCol w:w="1560"/>
        <w:gridCol w:w="1560"/>
        <w:gridCol w:w="1560"/>
        <w:gridCol w:w="1560"/>
        <w:gridCol w:w="1560"/>
      </w:tblGrid>
      <w:tr>
        <w:tc>
          <w:tcPr>
            <w:tcW w:type="dxa" w:w="1560"/>
            <w:shd w:fill="1B365D"/>
            <w:tcMar>
              <w:top w:w="100" w:type="dxa"/>
              <w:bottom w:w="100" w:type="dxa"/>
              <w:left w:w="100" w:type="dxa"/>
              <w:right w:w="100" w:type="dxa"/>
            </w:tcMar>
          </w:tcPr>
          <w:p>
            <w:r>
              <w:rPr>
                <w:rFonts w:ascii="Calibri" w:hAnsi="Calibri"/>
                <w:b/>
                <w:color w:val="FFFFFF"/>
                <w:sz w:val="18"/>
              </w:rPr>
              <w:t>Profession</w:t>
            </w:r>
          </w:p>
        </w:tc>
        <w:tc>
          <w:tcPr>
            <w:tcW w:type="dxa" w:w="1560"/>
            <w:shd w:fill="1B365D"/>
            <w:tcMar>
              <w:top w:w="100" w:type="dxa"/>
              <w:bottom w:w="100" w:type="dxa"/>
              <w:left w:w="100" w:type="dxa"/>
              <w:right w:w="100" w:type="dxa"/>
            </w:tcMar>
          </w:tcPr>
          <w:p>
            <w:r>
              <w:rPr>
                <w:rFonts w:ascii="Calibri" w:hAnsi="Calibri"/>
                <w:b/>
                <w:color w:val="FFFFFF"/>
                <w:sz w:val="18"/>
              </w:rPr>
              <w:t>Digital Dep.</w:t>
            </w:r>
          </w:p>
        </w:tc>
        <w:tc>
          <w:tcPr>
            <w:tcW w:type="dxa" w:w="1560"/>
            <w:shd w:fill="1B365D"/>
            <w:tcMar>
              <w:top w:w="100" w:type="dxa"/>
              <w:bottom w:w="100" w:type="dxa"/>
              <w:left w:w="100" w:type="dxa"/>
              <w:right w:w="100" w:type="dxa"/>
            </w:tcMar>
          </w:tcPr>
          <w:p>
            <w:r>
              <w:rPr>
                <w:rFonts w:ascii="Calibri" w:hAnsi="Calibri"/>
                <w:b/>
                <w:color w:val="FFFFFF"/>
                <w:sz w:val="18"/>
              </w:rPr>
              <w:t>Physical Dep.</w:t>
            </w:r>
          </w:p>
        </w:tc>
        <w:tc>
          <w:tcPr>
            <w:tcW w:type="dxa" w:w="1560"/>
            <w:shd w:fill="1B365D"/>
            <w:tcMar>
              <w:top w:w="100" w:type="dxa"/>
              <w:bottom w:w="100" w:type="dxa"/>
              <w:left w:w="100" w:type="dxa"/>
              <w:right w:w="100" w:type="dxa"/>
            </w:tcMar>
          </w:tcPr>
          <w:p>
            <w:r>
              <w:rPr>
                <w:rFonts w:ascii="Calibri" w:hAnsi="Calibri"/>
                <w:b/>
                <w:color w:val="FFFFFF"/>
                <w:sz w:val="18"/>
              </w:rPr>
              <w:t>Primary Medium</w:t>
            </w:r>
          </w:p>
        </w:tc>
        <w:tc>
          <w:tcPr>
            <w:tcW w:type="dxa" w:w="1560"/>
            <w:shd w:fill="1B365D"/>
            <w:tcMar>
              <w:top w:w="100" w:type="dxa"/>
              <w:bottom w:w="100" w:type="dxa"/>
              <w:left w:w="100" w:type="dxa"/>
              <w:right w:w="100" w:type="dxa"/>
            </w:tcMar>
          </w:tcPr>
          <w:p>
            <w:r>
              <w:rPr>
                <w:rFonts w:ascii="Calibri" w:hAnsi="Calibri"/>
                <w:b/>
                <w:color w:val="FFFFFF"/>
                <w:sz w:val="18"/>
              </w:rPr>
              <w:t>Key Physical Use Cases</w:t>
            </w:r>
          </w:p>
        </w:tc>
        <w:tc>
          <w:tcPr>
            <w:tcW w:type="dxa" w:w="1560"/>
            <w:shd w:fill="1B365D"/>
            <w:tcMar>
              <w:top w:w="100" w:type="dxa"/>
              <w:bottom w:w="100" w:type="dxa"/>
              <w:left w:w="100" w:type="dxa"/>
              <w:right w:w="100" w:type="dxa"/>
            </w:tcMar>
          </w:tcPr>
          <w:p>
            <w:r>
              <w:rPr>
                <w:rFonts w:ascii="Calibri" w:hAnsi="Calibri"/>
                <w:b/>
                <w:color w:val="FFFFFF"/>
                <w:sz w:val="18"/>
              </w:rPr>
              <w:t>Evidence Strength</w:t>
            </w:r>
          </w:p>
        </w:tc>
      </w:tr>
      <w:tr>
        <w:tc>
          <w:tcPr>
            <w:tcW w:type="dxa" w:w="1560"/>
            <w:shd w:fill="FFFFFF"/>
            <w:tcMar>
              <w:top w:w="70" w:type="dxa"/>
              <w:bottom w:w="70" w:type="dxa"/>
              <w:left w:w="80" w:type="dxa"/>
              <w:right w:w="80" w:type="dxa"/>
            </w:tcMar>
          </w:tcPr>
          <w:p>
            <w:pPr>
              <w:spacing w:before="20" w:after="20" w:line="252" w:lineRule="auto"/>
            </w:pPr>
            <w:r>
              <w:rPr>
                <w:rFonts w:ascii="Calibri" w:hAnsi="Calibri"/>
                <w:b/>
                <w:color w:val="1B365D"/>
                <w:sz w:val="17"/>
              </w:rPr>
              <w:t>Quant Researcher / Algorithmic Trader</w:t>
            </w:r>
          </w:p>
        </w:tc>
        <w:tc>
          <w:tcPr>
            <w:tcW w:type="dxa" w:w="1560"/>
            <w:shd w:fill="FFFFFF"/>
            <w:tcMar>
              <w:top w:w="70" w:type="dxa"/>
              <w:bottom w:w="70" w:type="dxa"/>
              <w:left w:w="80" w:type="dxa"/>
              <w:right w:w="80" w:type="dxa"/>
            </w:tcMar>
          </w:tcPr>
          <w:p>
            <w:pPr>
              <w:spacing w:before="20" w:after="20" w:line="252" w:lineRule="auto"/>
            </w:pPr>
            <w:r>
              <w:rPr>
                <w:rFonts w:ascii="Calibri" w:hAnsi="Calibri"/>
                <w:b/>
                <w:color w:val="1E5096"/>
                <w:sz w:val="17"/>
              </w:rPr>
              <w:t>Very High</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C3C3C"/>
                <w:sz w:val="17"/>
              </w:rPr>
              <w:t>Low</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Screen</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Reading dense mathematical/academic papers; collaborative algorithmic whiteboarding.</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Tier 2 / 4</w:t>
            </w:r>
          </w:p>
        </w:tc>
      </w:tr>
      <w:tr>
        <w:tc>
          <w:tcPr>
            <w:tcW w:type="dxa" w:w="1560"/>
            <w:shd w:fill="F8FAFC"/>
            <w:tcMar>
              <w:top w:w="70" w:type="dxa"/>
              <w:bottom w:w="70" w:type="dxa"/>
              <w:left w:w="80" w:type="dxa"/>
              <w:right w:w="80" w:type="dxa"/>
            </w:tcMar>
          </w:tcPr>
          <w:p>
            <w:pPr>
              <w:spacing w:before="20" w:after="20" w:line="252" w:lineRule="auto"/>
            </w:pPr>
            <w:r>
              <w:rPr>
                <w:rFonts w:ascii="Calibri" w:hAnsi="Calibri"/>
                <w:b/>
                <w:color w:val="1B365D"/>
                <w:sz w:val="17"/>
              </w:rPr>
              <w:t>Equity / Financial Analyst</w:t>
            </w:r>
          </w:p>
        </w:tc>
        <w:tc>
          <w:tcPr>
            <w:tcW w:type="dxa" w:w="1560"/>
            <w:shd w:fill="F8FAFC"/>
            <w:tcMar>
              <w:top w:w="70" w:type="dxa"/>
              <w:bottom w:w="70" w:type="dxa"/>
              <w:left w:w="80" w:type="dxa"/>
              <w:right w:w="80" w:type="dxa"/>
            </w:tcMar>
          </w:tcPr>
          <w:p>
            <w:pPr>
              <w:spacing w:before="20" w:after="20" w:line="252" w:lineRule="auto"/>
            </w:pPr>
            <w:r>
              <w:rPr>
                <w:rFonts w:ascii="Calibri" w:hAnsi="Calibri"/>
                <w:b/>
                <w:color w:val="1E5096"/>
                <w:sz w:val="17"/>
              </w:rPr>
              <w:t>Very High</w:t>
            </w:r>
          </w:p>
        </w:tc>
        <w:tc>
          <w:tcPr>
            <w:tcW w:type="dxa" w:w="1560"/>
            <w:shd w:fill="F8FAFC"/>
            <w:tcMar>
              <w:top w:w="70" w:type="dxa"/>
              <w:bottom w:w="70" w:type="dxa"/>
              <w:left w:w="80" w:type="dxa"/>
              <w:right w:w="80" w:type="dxa"/>
            </w:tcMar>
          </w:tcPr>
          <w:p>
            <w:pPr>
              <w:spacing w:before="20" w:after="20" w:line="252" w:lineRule="auto"/>
            </w:pPr>
            <w:r>
              <w:rPr>
                <w:rFonts w:ascii="Calibri" w:hAnsi="Calibri"/>
                <w:b/>
                <w:color w:val="B43232"/>
                <w:sz w:val="17"/>
              </w:rPr>
              <w:t>Moderate to High</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34155"/>
                <w:sz w:val="17"/>
              </w:rPr>
              <w:t>Both (Hybrid)</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34155"/>
                <w:sz w:val="17"/>
              </w:rPr>
              <w:t>Printing 10-Ks, MD&amp;A sections, and complex reports for deep reading, comparison, and spatial annotation.</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34155"/>
                <w:sz w:val="17"/>
              </w:rPr>
              <w:t>Tier 1 / 3</w:t>
            </w:r>
          </w:p>
        </w:tc>
      </w:tr>
      <w:tr>
        <w:tc>
          <w:tcPr>
            <w:tcW w:type="dxa" w:w="1560"/>
            <w:shd w:fill="FFFFFF"/>
            <w:tcMar>
              <w:top w:w="70" w:type="dxa"/>
              <w:bottom w:w="70" w:type="dxa"/>
              <w:left w:w="80" w:type="dxa"/>
              <w:right w:w="80" w:type="dxa"/>
            </w:tcMar>
          </w:tcPr>
          <w:p>
            <w:pPr>
              <w:spacing w:before="20" w:after="20" w:line="252" w:lineRule="auto"/>
            </w:pPr>
            <w:r>
              <w:rPr>
                <w:rFonts w:ascii="Calibri" w:hAnsi="Calibri"/>
                <w:b/>
                <w:color w:val="1B365D"/>
                <w:sz w:val="17"/>
              </w:rPr>
              <w:t>Investment Banker</w:t>
            </w:r>
          </w:p>
        </w:tc>
        <w:tc>
          <w:tcPr>
            <w:tcW w:type="dxa" w:w="1560"/>
            <w:shd w:fill="FFFFFF"/>
            <w:tcMar>
              <w:top w:w="70" w:type="dxa"/>
              <w:bottom w:w="70" w:type="dxa"/>
              <w:left w:w="80" w:type="dxa"/>
              <w:right w:w="80" w:type="dxa"/>
            </w:tcMar>
          </w:tcPr>
          <w:p>
            <w:pPr>
              <w:spacing w:before="20" w:after="20" w:line="252" w:lineRule="auto"/>
            </w:pPr>
            <w:r>
              <w:rPr>
                <w:rFonts w:ascii="Calibri" w:hAnsi="Calibri"/>
                <w:b/>
                <w:color w:val="1E5096"/>
                <w:sz w:val="17"/>
              </w:rPr>
              <w:t>Very High</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C3C3C"/>
                <w:sz w:val="17"/>
              </w:rPr>
              <w:t>Moderate</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Screen</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Printed pitch books for C-suite client meetings; physical redline comparisons of late-stage transaction documents.</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Tier 4 / 5</w:t>
            </w:r>
          </w:p>
        </w:tc>
      </w:tr>
      <w:tr>
        <w:tc>
          <w:tcPr>
            <w:tcW w:type="dxa" w:w="1560"/>
            <w:shd w:fill="F8FAFC"/>
            <w:tcMar>
              <w:top w:w="70" w:type="dxa"/>
              <w:bottom w:w="70" w:type="dxa"/>
              <w:left w:w="80" w:type="dxa"/>
              <w:right w:w="80" w:type="dxa"/>
            </w:tcMar>
          </w:tcPr>
          <w:p>
            <w:pPr>
              <w:spacing w:before="20" w:after="20" w:line="252" w:lineRule="auto"/>
            </w:pPr>
            <w:r>
              <w:rPr>
                <w:rFonts w:ascii="Calibri" w:hAnsi="Calibri"/>
                <w:b/>
                <w:color w:val="1B365D"/>
                <w:sz w:val="17"/>
              </w:rPr>
              <w:t>Credit Analyst</w:t>
            </w:r>
          </w:p>
        </w:tc>
        <w:tc>
          <w:tcPr>
            <w:tcW w:type="dxa" w:w="1560"/>
            <w:shd w:fill="F8FAFC"/>
            <w:tcMar>
              <w:top w:w="70" w:type="dxa"/>
              <w:bottom w:w="70" w:type="dxa"/>
              <w:left w:w="80" w:type="dxa"/>
              <w:right w:w="80" w:type="dxa"/>
            </w:tcMar>
          </w:tcPr>
          <w:p>
            <w:pPr>
              <w:spacing w:before="20" w:after="20" w:line="252" w:lineRule="auto"/>
            </w:pPr>
            <w:r>
              <w:rPr>
                <w:rFonts w:ascii="Calibri" w:hAnsi="Calibri"/>
                <w:b/>
                <w:color w:val="1E5096"/>
                <w:sz w:val="17"/>
              </w:rPr>
              <w:t>High</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C3C3C"/>
                <w:sz w:val="17"/>
              </w:rPr>
              <w:t>Moderate</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34155"/>
                <w:sz w:val="17"/>
              </w:rPr>
              <w:t>Both (Hybrid)</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34155"/>
                <w:sz w:val="17"/>
              </w:rPr>
              <w:t>Reviewing complex syndicated loan covenants; assembling physical credit committee binders.</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34155"/>
                <w:sz w:val="17"/>
              </w:rPr>
              <w:t>Tier 3 / 4</w:t>
            </w:r>
          </w:p>
        </w:tc>
      </w:tr>
      <w:tr>
        <w:tc>
          <w:tcPr>
            <w:tcW w:type="dxa" w:w="1560"/>
            <w:shd w:fill="FFFFFF"/>
            <w:tcMar>
              <w:top w:w="70" w:type="dxa"/>
              <w:bottom w:w="70" w:type="dxa"/>
              <w:left w:w="80" w:type="dxa"/>
              <w:right w:w="80" w:type="dxa"/>
            </w:tcMar>
          </w:tcPr>
          <w:p>
            <w:pPr>
              <w:spacing w:before="20" w:after="20" w:line="252" w:lineRule="auto"/>
            </w:pPr>
            <w:r>
              <w:rPr>
                <w:rFonts w:ascii="Calibri" w:hAnsi="Calibri"/>
                <w:b/>
                <w:color w:val="1B365D"/>
                <w:sz w:val="17"/>
              </w:rPr>
              <w:t>Portfolio Manager / Asset Manager</w:t>
            </w:r>
          </w:p>
        </w:tc>
        <w:tc>
          <w:tcPr>
            <w:tcW w:type="dxa" w:w="1560"/>
            <w:shd w:fill="FFFFFF"/>
            <w:tcMar>
              <w:top w:w="70" w:type="dxa"/>
              <w:bottom w:w="70" w:type="dxa"/>
              <w:left w:w="80" w:type="dxa"/>
              <w:right w:w="80" w:type="dxa"/>
            </w:tcMar>
          </w:tcPr>
          <w:p>
            <w:pPr>
              <w:spacing w:before="20" w:after="20" w:line="252" w:lineRule="auto"/>
            </w:pPr>
            <w:r>
              <w:rPr>
                <w:rFonts w:ascii="Calibri" w:hAnsi="Calibri"/>
                <w:b/>
                <w:color w:val="1E5096"/>
                <w:sz w:val="17"/>
              </w:rPr>
              <w:t>High</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C3C3C"/>
                <w:sz w:val="17"/>
              </w:rPr>
              <w:t>Low to Moderate</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Screen</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Macro-economic research reports; strategic meeting materials for client joint-attention.</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Tier 4</w:t>
            </w:r>
          </w:p>
        </w:tc>
      </w:tr>
      <w:tr>
        <w:tc>
          <w:tcPr>
            <w:tcW w:type="dxa" w:w="1560"/>
            <w:shd w:fill="F8FAFC"/>
            <w:tcMar>
              <w:top w:w="70" w:type="dxa"/>
              <w:bottom w:w="70" w:type="dxa"/>
              <w:left w:w="80" w:type="dxa"/>
              <w:right w:w="80" w:type="dxa"/>
            </w:tcMar>
          </w:tcPr>
          <w:p>
            <w:pPr>
              <w:spacing w:before="20" w:after="20" w:line="252" w:lineRule="auto"/>
            </w:pPr>
            <w:r>
              <w:rPr>
                <w:rFonts w:ascii="Calibri" w:hAnsi="Calibri"/>
                <w:b/>
                <w:color w:val="1B365D"/>
                <w:sz w:val="17"/>
              </w:rPr>
              <w:t>Auditor / Accounting Professional</w:t>
            </w:r>
          </w:p>
        </w:tc>
        <w:tc>
          <w:tcPr>
            <w:tcW w:type="dxa" w:w="1560"/>
            <w:shd w:fill="F8FAFC"/>
            <w:tcMar>
              <w:top w:w="70" w:type="dxa"/>
              <w:bottom w:w="70" w:type="dxa"/>
              <w:left w:w="80" w:type="dxa"/>
              <w:right w:w="80" w:type="dxa"/>
            </w:tcMar>
          </w:tcPr>
          <w:p>
            <w:pPr>
              <w:spacing w:before="20" w:after="20" w:line="252" w:lineRule="auto"/>
            </w:pPr>
            <w:r>
              <w:rPr>
                <w:rFonts w:ascii="Calibri" w:hAnsi="Calibri"/>
                <w:b/>
                <w:color w:val="1E5096"/>
                <w:sz w:val="17"/>
              </w:rPr>
              <w:t>High</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C3C3C"/>
                <w:sz w:val="17"/>
              </w:rPr>
              <w:t>Moderate</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34155"/>
                <w:sz w:val="17"/>
              </w:rPr>
              <w:t>Screen</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34155"/>
                <w:sz w:val="17"/>
              </w:rPr>
              <w:t>Physical asset/inventory verification; inspecting original contracts for forgery; final audit sign-offs.</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34155"/>
                <w:sz w:val="17"/>
              </w:rPr>
              <w:t>Tier 1 / 3</w:t>
            </w:r>
          </w:p>
        </w:tc>
      </w:tr>
      <w:tr>
        <w:tc>
          <w:tcPr>
            <w:tcW w:type="dxa" w:w="1560"/>
            <w:shd w:fill="FFFFFF"/>
            <w:tcMar>
              <w:top w:w="70" w:type="dxa"/>
              <w:bottom w:w="70" w:type="dxa"/>
              <w:left w:w="80" w:type="dxa"/>
              <w:right w:w="80" w:type="dxa"/>
            </w:tcMar>
          </w:tcPr>
          <w:p>
            <w:pPr>
              <w:spacing w:before="20" w:after="20" w:line="252" w:lineRule="auto"/>
            </w:pPr>
            <w:r>
              <w:rPr>
                <w:rFonts w:ascii="Calibri" w:hAnsi="Calibri"/>
                <w:b/>
                <w:color w:val="1B365D"/>
                <w:sz w:val="17"/>
              </w:rPr>
              <w:t>Compliance Officer</w:t>
            </w:r>
          </w:p>
        </w:tc>
        <w:tc>
          <w:tcPr>
            <w:tcW w:type="dxa" w:w="1560"/>
            <w:shd w:fill="FFFFFF"/>
            <w:tcMar>
              <w:top w:w="70" w:type="dxa"/>
              <w:bottom w:w="70" w:type="dxa"/>
              <w:left w:w="80" w:type="dxa"/>
              <w:right w:w="80" w:type="dxa"/>
            </w:tcMar>
          </w:tcPr>
          <w:p>
            <w:pPr>
              <w:spacing w:before="20" w:after="20" w:line="252" w:lineRule="auto"/>
            </w:pPr>
            <w:r>
              <w:rPr>
                <w:rFonts w:ascii="Calibri" w:hAnsi="Calibri"/>
                <w:b/>
                <w:color w:val="1E5096"/>
                <w:sz w:val="17"/>
              </w:rPr>
              <w:t>High</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C3C3C"/>
                <w:sz w:val="17"/>
              </w:rPr>
              <w:t>Moderate</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Screen</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Reviewing lengthy regulatory statutes; analyzing complex compliance policy frameworks.</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Tier 3 / 4</w:t>
            </w:r>
          </w:p>
        </w:tc>
      </w:tr>
      <w:tr>
        <w:tc>
          <w:tcPr>
            <w:tcW w:type="dxa" w:w="1560"/>
            <w:shd w:fill="F8FAFC"/>
            <w:tcMar>
              <w:top w:w="70" w:type="dxa"/>
              <w:bottom w:w="70" w:type="dxa"/>
              <w:left w:w="80" w:type="dxa"/>
              <w:right w:w="80" w:type="dxa"/>
            </w:tcMar>
          </w:tcPr>
          <w:p>
            <w:pPr>
              <w:spacing w:before="20" w:after="20" w:line="252" w:lineRule="auto"/>
            </w:pPr>
            <w:r>
              <w:rPr>
                <w:rFonts w:ascii="Calibri" w:hAnsi="Calibri"/>
                <w:b/>
                <w:color w:val="1B365D"/>
                <w:sz w:val="17"/>
              </w:rPr>
              <w:t>Legal / Regulatory Professional</w:t>
            </w:r>
          </w:p>
        </w:tc>
        <w:tc>
          <w:tcPr>
            <w:tcW w:type="dxa" w:w="1560"/>
            <w:shd w:fill="F8FAFC"/>
            <w:tcMar>
              <w:top w:w="70" w:type="dxa"/>
              <w:bottom w:w="70" w:type="dxa"/>
              <w:left w:w="80" w:type="dxa"/>
              <w:right w:w="80" w:type="dxa"/>
            </w:tcMar>
          </w:tcPr>
          <w:p>
            <w:pPr>
              <w:spacing w:before="20" w:after="20" w:line="252" w:lineRule="auto"/>
            </w:pPr>
            <w:r>
              <w:rPr>
                <w:rFonts w:ascii="Calibri" w:hAnsi="Calibri"/>
                <w:b/>
                <w:color w:val="1E5096"/>
                <w:sz w:val="17"/>
              </w:rPr>
              <w:t>High</w:t>
            </w:r>
          </w:p>
        </w:tc>
        <w:tc>
          <w:tcPr>
            <w:tcW w:type="dxa" w:w="1560"/>
            <w:shd w:fill="F8FAFC"/>
            <w:tcMar>
              <w:top w:w="70" w:type="dxa"/>
              <w:bottom w:w="70" w:type="dxa"/>
              <w:left w:w="80" w:type="dxa"/>
              <w:right w:w="80" w:type="dxa"/>
            </w:tcMar>
          </w:tcPr>
          <w:p>
            <w:pPr>
              <w:spacing w:before="20" w:after="20" w:line="252" w:lineRule="auto"/>
            </w:pPr>
            <w:r>
              <w:rPr>
                <w:rFonts w:ascii="Calibri" w:hAnsi="Calibri"/>
                <w:b/>
                <w:color w:val="B43232"/>
                <w:sz w:val="17"/>
              </w:rPr>
              <w:t>High</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34155"/>
                <w:sz w:val="17"/>
              </w:rPr>
              <w:t>Both (Hybrid)</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34155"/>
                <w:sz w:val="17"/>
              </w:rPr>
              <w:t>Evidentiary documentation (e.g., Section 65B certificates), wet signatures, e-stamp papers, dense contract review.</w:t>
            </w:r>
          </w:p>
        </w:tc>
        <w:tc>
          <w:tcPr>
            <w:tcW w:type="dxa" w:w="1560"/>
            <w:shd w:fill="F8FAFC"/>
            <w:tcMar>
              <w:top w:w="70" w:type="dxa"/>
              <w:bottom w:w="70" w:type="dxa"/>
              <w:left w:w="80" w:type="dxa"/>
              <w:right w:w="80" w:type="dxa"/>
            </w:tcMar>
          </w:tcPr>
          <w:p>
            <w:pPr>
              <w:spacing w:before="20" w:after="20" w:line="252" w:lineRule="auto"/>
            </w:pPr>
            <w:r>
              <w:rPr>
                <w:rFonts w:ascii="Calibri" w:hAnsi="Calibri"/>
                <w:color w:val="334155"/>
                <w:sz w:val="17"/>
              </w:rPr>
              <w:t>Tier 2 / 3</w:t>
            </w:r>
          </w:p>
        </w:tc>
      </w:tr>
      <w:tr>
        <w:tc>
          <w:tcPr>
            <w:tcW w:type="dxa" w:w="1560"/>
            <w:shd w:fill="FFFFFF"/>
            <w:tcMar>
              <w:top w:w="70" w:type="dxa"/>
              <w:bottom w:w="70" w:type="dxa"/>
              <w:left w:w="80" w:type="dxa"/>
              <w:right w:w="80" w:type="dxa"/>
            </w:tcMar>
          </w:tcPr>
          <w:p>
            <w:pPr>
              <w:spacing w:before="20" w:after="20" w:line="252" w:lineRule="auto"/>
            </w:pPr>
            <w:r>
              <w:rPr>
                <w:rFonts w:ascii="Calibri" w:hAnsi="Calibri"/>
                <w:b/>
                <w:color w:val="1B365D"/>
                <w:sz w:val="17"/>
              </w:rPr>
              <w:t>Retail Banking Operations</w:t>
            </w:r>
          </w:p>
        </w:tc>
        <w:tc>
          <w:tcPr>
            <w:tcW w:type="dxa" w:w="1560"/>
            <w:shd w:fill="FFFFFF"/>
            <w:tcMar>
              <w:top w:w="70" w:type="dxa"/>
              <w:bottom w:w="70" w:type="dxa"/>
              <w:left w:w="80" w:type="dxa"/>
              <w:right w:w="80" w:type="dxa"/>
            </w:tcMar>
          </w:tcPr>
          <w:p>
            <w:pPr>
              <w:spacing w:before="20" w:after="20" w:line="252" w:lineRule="auto"/>
            </w:pPr>
            <w:r>
              <w:rPr>
                <w:rFonts w:ascii="Calibri" w:hAnsi="Calibri"/>
                <w:b/>
                <w:color w:val="1E5096"/>
                <w:sz w:val="17"/>
              </w:rPr>
              <w:t>Very High</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C3C3C"/>
                <w:sz w:val="17"/>
              </w:rPr>
              <w:t>Low</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Screen</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Practically paperless; driven by Video KYC and digital STP automated workflows.</w:t>
            </w:r>
          </w:p>
        </w:tc>
        <w:tc>
          <w:tcPr>
            <w:tcW w:type="dxa" w:w="1560"/>
            <w:shd w:fill="FFFFFF"/>
            <w:tcMar>
              <w:top w:w="70" w:type="dxa"/>
              <w:bottom w:w="70" w:type="dxa"/>
              <w:left w:w="80" w:type="dxa"/>
              <w:right w:w="80" w:type="dxa"/>
            </w:tcMar>
          </w:tcPr>
          <w:p>
            <w:pPr>
              <w:spacing w:before="20" w:after="20" w:line="252" w:lineRule="auto"/>
            </w:pPr>
            <w:r>
              <w:rPr>
                <w:rFonts w:ascii="Calibri" w:hAnsi="Calibri"/>
                <w:color w:val="334155"/>
                <w:sz w:val="17"/>
              </w:rPr>
              <w:t>Tier 2 / 3</w:t>
            </w:r>
          </w:p>
        </w:tc>
      </w:tr>
    </w:tbl>
    <w:p>
      <w:pPr>
        <w:spacing w:before="40" w:after="100" w:line="276" w:lineRule="auto"/>
      </w:pPr>
      <w:r>
        <w:rPr>
          <w:rFonts w:ascii="Calibri" w:hAnsi="Calibri"/>
          <w:color w:val="222222"/>
          <w:sz w:val="20"/>
        </w:rPr>
      </w:r>
    </w:p>
    <w:p>
      <w:pPr>
        <w:spacing w:before="40" w:after="100" w:line="276" w:lineRule="auto"/>
      </w:pPr>
      <w:r>
        <w:rPr>
          <w:rFonts w:ascii="Calibri" w:hAnsi="Calibri"/>
          <w:b/>
          <w:color w:val="0F172A"/>
          <w:sz w:val="20"/>
        </w:rPr>
        <w:t xml:space="preserve">Source Note on Matrix Data: </w:t>
      </w:r>
      <w:r>
        <w:rPr>
          <w:rFonts w:ascii="Calibri" w:hAnsi="Calibri"/>
          <w:color w:val="222222"/>
          <w:sz w:val="20"/>
        </w:rPr>
        <w:t>Note: A reliable global percentage for time-spent on digital vs. physical tasks could not be established from available evidence. Quantifications are provided via qualitative assessments supported by workflow data.</w:t>
      </w:r>
    </w:p>
    <w:p>
      <w:pPr>
        <w:keepNext/>
        <w:spacing w:before="400" w:after="120"/>
      </w:pPr>
      <w:r>
        <w:rPr>
          <w:rFonts w:ascii="Calibri" w:hAnsi="Calibri"/>
          <w:b/>
          <w:color w:val="1B365D"/>
          <w:sz w:val="31"/>
        </w:rPr>
        <w:t>Part 6: Cognitive Science, Neurobiology, and Ergonomics of Reading</w:t>
      </w:r>
    </w:p>
    <w:p>
      <w:pPr>
        <w:spacing w:before="40" w:after="100" w:line="276" w:lineRule="auto"/>
      </w:pPr>
      <w:r>
        <w:rPr>
          <w:rFonts w:ascii="Calibri" w:hAnsi="Calibri"/>
          <w:color w:val="222222"/>
          <w:sz w:val="20"/>
        </w:rPr>
        <w:t>Why does paper persist in a digital world? The answer lies not in habit, but in the biological architecture of the human visual system and brain.</w:t>
      </w:r>
    </w:p>
    <w:p>
      <w:pPr>
        <w:keepNext/>
        <w:spacing w:before="280" w:after="80"/>
      </w:pPr>
      <w:r>
        <w:rPr>
          <w:rFonts w:ascii="Calibri" w:hAnsi="Calibri"/>
          <w:b/>
          <w:color w:val="2C5E8A"/>
          <w:sz w:val="26"/>
        </w:rPr>
        <w:t>6.1 The Screen Inferiority Effect &amp; Statistical Effect Sizes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The Scientific Reality of the Screen Inferiority Effect</w:t>
            </w:r>
          </w:p>
          <w:p>
            <w:pPr>
              <w:spacing w:before="20" w:after="60" w:line="276" w:lineRule="auto"/>
            </w:pPr>
            <w:r>
              <w:rPr>
                <w:rFonts w:ascii="Calibri" w:hAnsi="Calibri"/>
                <w:color w:val="334155"/>
                <w:sz w:val="19"/>
              </w:rPr>
            </w:r>
            <w:r>
              <w:rPr>
                <w:rFonts w:ascii="Calibri" w:hAnsi="Calibri"/>
                <w:b/>
                <w:color w:val="0F172A"/>
                <w:sz w:val="19"/>
              </w:rPr>
              <w:t>Tier 1 Meta-Analytic Consensus (2024–2026):</w:t>
            </w:r>
            <w:r>
              <w:rPr>
                <w:rFonts w:ascii="Calibri" w:hAnsi="Calibri"/>
                <w:color w:val="334155"/>
                <w:sz w:val="19"/>
              </w:rPr>
            </w:r>
          </w:p>
          <w:p>
            <w:pPr>
              <w:spacing w:before="20" w:after="60" w:line="276" w:lineRule="auto"/>
            </w:pPr>
            <w:r>
              <w:rPr>
                <w:rFonts w:ascii="Calibri" w:hAnsi="Calibri"/>
                <w:color w:val="334155"/>
                <w:sz w:val="19"/>
              </w:rPr>
              <w:t xml:space="preserve">• Peer-reviewed meta-analyses encompassing tens of thousands of participants establish that readers demonstrate </w:t>
            </w:r>
            <w:r>
              <w:rPr>
                <w:rFonts w:ascii="Calibri" w:hAnsi="Calibri"/>
                <w:b/>
                <w:color w:val="0F172A"/>
                <w:sz w:val="19"/>
              </w:rPr>
              <w:t>statistically significant lower comprehension and retention</w:t>
            </w:r>
            <w:r>
              <w:rPr>
                <w:rFonts w:ascii="Calibri" w:hAnsi="Calibri"/>
                <w:color w:val="334155"/>
                <w:sz w:val="19"/>
              </w:rPr>
              <w:t xml:space="preserve"> when reading identical texts on digital screens compared to printed paper.</w:t>
            </w:r>
          </w:p>
          <w:p>
            <w:pPr>
              <w:spacing w:before="20" w:after="60" w:line="276" w:lineRule="auto"/>
            </w:pPr>
            <w:r>
              <w:rPr>
                <w:rFonts w:ascii="Calibri" w:hAnsi="Calibri"/>
                <w:color w:val="334155"/>
                <w:sz w:val="19"/>
              </w:rPr>
              <w:t xml:space="preserve">• </w:t>
            </w:r>
            <w:r>
              <w:rPr>
                <w:rFonts w:ascii="Calibri" w:hAnsi="Calibri"/>
                <w:b/>
                <w:color w:val="0F172A"/>
                <w:sz w:val="19"/>
              </w:rPr>
              <w:t>Quantification (Hedges' g Metric):</w:t>
            </w:r>
            <w:r>
              <w:rPr>
                <w:rFonts w:ascii="Calibri" w:hAnsi="Calibri"/>
                <w:color w:val="334155"/>
                <w:sz w:val="19"/>
              </w:rPr>
              <w:t xml:space="preserve"> Meta-analyses quantify this comprehension disadvantage between </w:t>
            </w:r>
            <w:r>
              <w:rPr>
                <w:rFonts w:ascii="Calibri" w:hAnsi="Calibri"/>
                <w:b/>
                <w:color w:val="0F172A"/>
                <w:sz w:val="19"/>
              </w:rPr>
              <w:t>-0.113 and -0.26</w:t>
            </w:r>
            <w:r>
              <w:rPr>
                <w:rFonts w:ascii="Calibri" w:hAnsi="Calibri"/>
                <w:color w:val="334155"/>
                <w:sz w:val="19"/>
              </w:rPr>
              <w:t>.</w:t>
            </w:r>
          </w:p>
          <w:p>
            <w:pPr>
              <w:spacing w:before="20" w:after="60" w:line="276" w:lineRule="auto"/>
            </w:pPr>
            <w:r>
              <w:rPr>
                <w:rFonts w:ascii="Calibri" w:hAnsi="Calibri"/>
                <w:color w:val="334155"/>
                <w:sz w:val="19"/>
              </w:rPr>
              <w:t xml:space="preserve">• </w:t>
            </w:r>
            <w:r>
              <w:rPr>
                <w:rFonts w:ascii="Calibri" w:hAnsi="Calibri"/>
                <w:b/>
                <w:color w:val="0F172A"/>
                <w:sz w:val="19"/>
              </w:rPr>
              <w:t>Significance:</w:t>
            </w:r>
            <w:r>
              <w:rPr>
                <w:rFonts w:ascii="Calibri" w:hAnsi="Calibri"/>
                <w:color w:val="334155"/>
                <w:sz w:val="19"/>
              </w:rPr>
              <w:t xml:space="preserve"> In statistical meta-analyses, an effect size of -0.113 to -0.26 represents a small-to-moderate, but highly persistent degradation in human cognitive processing.</w:t>
            </w:r>
          </w:p>
          <w:p>
            <w:pPr>
              <w:spacing w:before="20" w:after="20" w:line="276" w:lineRule="auto"/>
            </w:pPr>
            <w:r>
              <w:rPr>
                <w:rFonts w:ascii="Calibri" w:hAnsi="Calibri"/>
                <w:color w:val="334155"/>
                <w:sz w:val="19"/>
              </w:rPr>
              <w:t xml:space="preserve">• </w:t>
            </w:r>
            <w:r>
              <w:rPr>
                <w:rFonts w:ascii="Calibri" w:hAnsi="Calibri"/>
                <w:b/>
                <w:color w:val="0F172A"/>
                <w:sz w:val="19"/>
              </w:rPr>
              <w:t>Aggravating Factors:</w:t>
            </w:r>
            <w:r>
              <w:rPr>
                <w:rFonts w:ascii="Calibri" w:hAnsi="Calibri"/>
                <w:color w:val="334155"/>
                <w:sz w:val="19"/>
              </w:rPr>
              <w:t xml:space="preserve"> The screen inferiority effect worsens significantly when texts are long, expository, and technical, and when readers are operating under time pressure (the exact conditions of professional financial work!).</w:t>
            </w:r>
          </w:p>
        </w:tc>
      </w:tr>
    </w:tbl>
    <w:p>
      <w:pPr>
        <w:spacing w:before="0" w:after="60"/>
      </w:pPr>
    </w:p>
    <w:p>
      <w:pPr>
        <w:keepNext/>
        <w:spacing w:before="280" w:after="80"/>
      </w:pPr>
      <w:r>
        <w:rPr>
          <w:rFonts w:ascii="Calibri" w:hAnsi="Calibri"/>
          <w:b/>
          <w:color w:val="2C5E8A"/>
          <w:sz w:val="26"/>
        </w:rPr>
        <w:t>6.2 Neurobiological Mechanisms: Saccades, Regressions &amp; Scrolling Friction</w:t>
      </w:r>
    </w:p>
    <w:p>
      <w:pPr>
        <w:spacing w:before="40" w:after="100" w:line="276" w:lineRule="auto"/>
      </w:pPr>
      <w:r>
        <w:rPr>
          <w:rFonts w:ascii="Calibri" w:hAnsi="Calibri"/>
          <w:color w:val="222222"/>
          <w:sz w:val="20"/>
        </w:rPr>
        <w:t>To understand why screens impair comprehension, we must examine the four specific neurobiological and cognitive friction points:</w:t>
      </w:r>
    </w:p>
    <w:p>
      <w:pPr>
        <w:keepNext/>
        <w:spacing w:before="200" w:after="60"/>
      </w:pPr>
      <w:r>
        <w:rPr>
          <w:rFonts w:ascii="Calibri" w:hAnsi="Calibri"/>
          <w:b/>
          <w:color w:val="4A607A"/>
          <w:sz w:val="22"/>
        </w:rPr>
        <w:t>Mechanism 1: Extraneous Cognitive Load &amp; Saccade Disruption</w:t>
      </w:r>
    </w:p>
    <w:p>
      <w:pPr>
        <w:spacing w:before="40" w:after="100" w:line="276" w:lineRule="auto"/>
      </w:pPr>
      <w:r>
        <w:rPr>
          <w:rFonts w:ascii="Calibri" w:hAnsi="Calibri"/>
          <w:color w:val="222222"/>
          <w:sz w:val="20"/>
        </w:rPr>
      </w:r>
      <w:r>
        <w:rPr>
          <w:rFonts w:ascii="Calibri" w:hAnsi="Calibri"/>
          <w:b/>
          <w:color w:val="0F172A"/>
          <w:sz w:val="20"/>
        </w:rPr>
        <w:t>How Human Eyes Read:</w:t>
      </w:r>
      <w:r>
        <w:rPr>
          <w:rFonts w:ascii="Calibri" w:hAnsi="Calibri"/>
          <w:color w:val="222222"/>
          <w:sz w:val="20"/>
        </w:rPr>
        <w:t xml:space="preserve"> When reading, your eyes do not glide smoothly; they make rapid jumps called </w:t>
      </w:r>
      <w:r>
        <w:rPr>
          <w:rFonts w:ascii="Calibri" w:hAnsi="Calibri"/>
          <w:b/>
          <w:color w:val="0F172A"/>
          <w:sz w:val="20"/>
        </w:rPr>
        <w:t>saccades</w:t>
      </w:r>
      <w:r>
        <w:rPr>
          <w:rFonts w:ascii="Calibri" w:hAnsi="Calibri"/>
          <w:color w:val="222222"/>
          <w:sz w:val="20"/>
        </w:rPr>
        <w:t xml:space="preserve"> (20–30 milliseconds) followed by momentary pauses called </w:t>
      </w:r>
      <w:r>
        <w:rPr>
          <w:rFonts w:ascii="Calibri" w:hAnsi="Calibri"/>
          <w:b/>
          <w:color w:val="0F172A"/>
          <w:sz w:val="20"/>
        </w:rPr>
        <w:t>fixations</w:t>
      </w:r>
      <w:r>
        <w:rPr>
          <w:rFonts w:ascii="Calibri" w:hAnsi="Calibri"/>
          <w:color w:val="222222"/>
          <w:sz w:val="20"/>
        </w:rPr>
        <w:t xml:space="preserve"> (200–300 milliseconds) where words are processed. The brain constantly uses peripheral vision to plan its next forward saccade.</w:t>
      </w:r>
    </w:p>
    <w:p>
      <w:pPr>
        <w:spacing w:before="40" w:after="100" w:line="276" w:lineRule="auto"/>
      </w:pPr>
      <w:r>
        <w:rPr>
          <w:rFonts w:ascii="Calibri" w:hAnsi="Calibri"/>
          <w:color w:val="222222"/>
          <w:sz w:val="20"/>
        </w:rPr>
      </w:r>
      <w:r>
        <w:rPr>
          <w:rFonts w:ascii="Calibri" w:hAnsi="Calibri"/>
          <w:b/>
          <w:color w:val="0F172A"/>
          <w:sz w:val="20"/>
        </w:rPr>
        <w:t>The Disruption of Scrolling:</w:t>
      </w:r>
      <w:r>
        <w:rPr>
          <w:rFonts w:ascii="Calibri" w:hAnsi="Calibri"/>
          <w:color w:val="222222"/>
          <w:sz w:val="20"/>
        </w:rPr>
        <w:t xml:space="preserve"> When you scroll a digital document, the text moves continuously across pixels. This dynamic movement destroys the brain's forward saccade trajectory. Eye-tracking experiments show that scrolling forces higher </w:t>
      </w:r>
      <w:r>
        <w:rPr>
          <w:rFonts w:ascii="Calibri" w:hAnsi="Calibri"/>
          <w:b/>
          <w:color w:val="0F172A"/>
          <w:sz w:val="20"/>
        </w:rPr>
        <w:t>regression rates</w:t>
      </w:r>
      <w:r>
        <w:rPr>
          <w:rFonts w:ascii="Calibri" w:hAnsi="Calibri"/>
          <w:color w:val="222222"/>
          <w:sz w:val="20"/>
        </w:rPr>
        <w:t xml:space="preserve"> (eyes jumping backward to re-find their place) and lowers fixation intensity on core concepts, draining working memory on basic navigation rather than comprehension.</w:t>
      </w:r>
    </w:p>
    <w:p>
      <w:pPr>
        <w:keepNext/>
        <w:spacing w:before="200" w:after="60"/>
      </w:pPr>
      <w:r>
        <w:rPr>
          <w:rFonts w:ascii="Calibri" w:hAnsi="Calibri"/>
          <w:b/>
          <w:color w:val="4A607A"/>
          <w:sz w:val="22"/>
        </w:rPr>
        <w:t>Mechanism 2: Loss of Spatial Topology &amp; The Construction-Integration Model</w:t>
      </w:r>
    </w:p>
    <w:p>
      <w:pPr>
        <w:spacing w:before="40" w:after="100" w:line="276" w:lineRule="auto"/>
      </w:pPr>
      <w:r>
        <w:rPr>
          <w:rFonts w:ascii="Calibri" w:hAnsi="Calibri"/>
          <w:color w:val="222222"/>
          <w:sz w:val="20"/>
        </w:rPr>
      </w:r>
      <w:r>
        <w:rPr>
          <w:rFonts w:ascii="Calibri" w:hAnsi="Calibri"/>
          <w:b/>
          <w:color w:val="0F172A"/>
          <w:sz w:val="20"/>
        </w:rPr>
        <w:t>Cognitive Model:</w:t>
      </w:r>
      <w:r>
        <w:rPr>
          <w:rFonts w:ascii="Calibri" w:hAnsi="Calibri"/>
          <w:color w:val="222222"/>
          <w:sz w:val="20"/>
        </w:rPr>
        <w:t xml:space="preserve"> The </w:t>
      </w:r>
      <w:r>
        <w:rPr>
          <w:rFonts w:ascii="Calibri" w:hAnsi="Calibri"/>
          <w:b/>
          <w:color w:val="0F172A"/>
          <w:sz w:val="20"/>
        </w:rPr>
        <w:t>Construction-Integration Model</w:t>
      </w:r>
      <w:r>
        <w:rPr>
          <w:rFonts w:ascii="Calibri" w:hAnsi="Calibri"/>
          <w:color w:val="222222"/>
          <w:sz w:val="20"/>
        </w:rPr>
        <w:t xml:space="preserve"> of text comprehension dictates that the human brain constructs mental maps using physical spatial landmarks (e.g., remembering that an important risk factor was located on the upper-left quadrant of a left-hand page, roughly one-third into the thickness of a physical binder).</w:t>
      </w:r>
    </w:p>
    <w:p>
      <w:pPr>
        <w:spacing w:before="40" w:after="100" w:line="276" w:lineRule="auto"/>
      </w:pPr>
      <w:r>
        <w:rPr>
          <w:rFonts w:ascii="Calibri" w:hAnsi="Calibri"/>
          <w:color w:val="222222"/>
          <w:sz w:val="20"/>
        </w:rPr>
      </w:r>
      <w:r>
        <w:rPr>
          <w:rFonts w:ascii="Calibri" w:hAnsi="Calibri"/>
          <w:b/>
          <w:color w:val="0F172A"/>
          <w:sz w:val="20"/>
        </w:rPr>
        <w:t>The Screen Problem:</w:t>
      </w:r>
      <w:r>
        <w:rPr>
          <w:rFonts w:ascii="Calibri" w:hAnsi="Calibri"/>
          <w:color w:val="222222"/>
          <w:sz w:val="20"/>
        </w:rPr>
        <w:t xml:space="preserve"> A digital screen provides zero physical topology. Text vanishes off the top of the monitor and appears from the bottom. The brain is forced to expend working memory constantly re-orienting 'where am I in this document?' rather than integrating ideas.</w:t>
      </w:r>
    </w:p>
    <w:p>
      <w:pPr>
        <w:keepNext/>
        <w:spacing w:before="200" w:after="60"/>
      </w:pPr>
      <w:r>
        <w:rPr>
          <w:rFonts w:ascii="Calibri" w:hAnsi="Calibri"/>
          <w:b/>
          <w:color w:val="4A607A"/>
          <w:sz w:val="22"/>
        </w:rPr>
        <w:t>Mechanism 3: The Subconscious Skimming Heuristic (The 'Shallow Processing' Trap)</w:t>
      </w:r>
    </w:p>
    <w:p>
      <w:pPr>
        <w:spacing w:before="40" w:after="100" w:line="276" w:lineRule="auto"/>
      </w:pPr>
      <w:r>
        <w:rPr>
          <w:rFonts w:ascii="Calibri" w:hAnsi="Calibri"/>
          <w:color w:val="222222"/>
          <w:sz w:val="20"/>
        </w:rPr>
      </w:r>
      <w:r>
        <w:rPr>
          <w:rFonts w:ascii="Calibri" w:hAnsi="Calibri"/>
          <w:b/>
          <w:color w:val="0F172A"/>
          <w:sz w:val="20"/>
        </w:rPr>
        <w:t>Psychological Association:</w:t>
      </w:r>
      <w:r>
        <w:rPr>
          <w:rFonts w:ascii="Calibri" w:hAnsi="Calibri"/>
          <w:color w:val="222222"/>
          <w:sz w:val="20"/>
        </w:rPr>
        <w:t xml:space="preserve"> Because digital screens are primarily used for rapid information foraging, social media, messaging, and web browsing, the brain subconsciously adopts a shallow scanning heuristic.</w:t>
      </w:r>
    </w:p>
    <w:p>
      <w:pPr>
        <w:spacing w:before="40" w:after="100" w:line="276" w:lineRule="auto"/>
      </w:pPr>
      <w:r>
        <w:rPr>
          <w:rFonts w:ascii="Calibri" w:hAnsi="Calibri"/>
          <w:color w:val="222222"/>
          <w:sz w:val="20"/>
        </w:rPr>
      </w:r>
      <w:r>
        <w:rPr>
          <w:rFonts w:ascii="Calibri" w:hAnsi="Calibri"/>
          <w:b/>
          <w:color w:val="0F172A"/>
          <w:sz w:val="20"/>
        </w:rPr>
        <w:t>The Impact on Finance:</w:t>
      </w:r>
      <w:r>
        <w:rPr>
          <w:rFonts w:ascii="Calibri" w:hAnsi="Calibri"/>
          <w:color w:val="222222"/>
          <w:sz w:val="20"/>
        </w:rPr>
        <w:t xml:space="preserve"> When reading an SEC filing on a monitor, readers instinctively scan for bolded keywords rather than deeply analyzing complex, interconnected arguments and conditional clauses.</w:t>
      </w:r>
    </w:p>
    <w:p>
      <w:pPr>
        <w:keepNext/>
        <w:spacing w:before="200" w:after="60"/>
      </w:pPr>
      <w:r>
        <w:rPr>
          <w:rFonts w:ascii="Calibri" w:hAnsi="Calibri"/>
          <w:b/>
          <w:color w:val="4A607A"/>
          <w:sz w:val="22"/>
        </w:rPr>
        <w:t>Mechanism 4: Digital Eye Strain (DES) and Blink-Rate Suppression</w:t>
      </w:r>
    </w:p>
    <w:p>
      <w:pPr>
        <w:spacing w:before="40" w:after="100" w:line="276" w:lineRule="auto"/>
      </w:pPr>
      <w:r>
        <w:rPr>
          <w:rFonts w:ascii="Calibri" w:hAnsi="Calibri"/>
          <w:color w:val="222222"/>
          <w:sz w:val="20"/>
        </w:rPr>
      </w:r>
      <w:r>
        <w:rPr>
          <w:rFonts w:ascii="Calibri" w:hAnsi="Calibri"/>
          <w:b/>
          <w:color w:val="0F172A"/>
          <w:sz w:val="20"/>
        </w:rPr>
        <w:t>Physiological Crisis:</w:t>
      </w:r>
      <w:r>
        <w:rPr>
          <w:rFonts w:ascii="Calibri" w:hAnsi="Calibri"/>
          <w:color w:val="222222"/>
          <w:sz w:val="20"/>
        </w:rPr>
        <w:t xml:space="preserve"> Often termed Computer Vision Syndrome, DES has a documented global prevalence of </w:t>
      </w:r>
      <w:r>
        <w:rPr>
          <w:rFonts w:ascii="Calibri" w:hAnsi="Calibri"/>
          <w:b/>
          <w:color w:val="0F172A"/>
          <w:sz w:val="20"/>
        </w:rPr>
        <w:t>69% among office workers</w:t>
      </w:r>
      <w:r>
        <w:rPr>
          <w:rFonts w:ascii="Calibri" w:hAnsi="Calibri"/>
          <w:color w:val="222222"/>
          <w:sz w:val="20"/>
        </w:rPr>
        <w:t>.</w:t>
      </w:r>
    </w:p>
    <w:p>
      <w:pPr>
        <w:spacing w:before="40" w:after="100" w:line="276" w:lineRule="auto"/>
      </w:pPr>
      <w:r>
        <w:rPr>
          <w:rFonts w:ascii="Calibri" w:hAnsi="Calibri"/>
          <w:color w:val="222222"/>
          <w:sz w:val="20"/>
        </w:rPr>
      </w:r>
      <w:r>
        <w:rPr>
          <w:rFonts w:ascii="Calibri" w:hAnsi="Calibri"/>
          <w:b/>
          <w:color w:val="0F172A"/>
          <w:sz w:val="20"/>
        </w:rPr>
        <w:t>The Blink Mechanism:</w:t>
      </w:r>
      <w:r>
        <w:rPr>
          <w:rFonts w:ascii="Calibri" w:hAnsi="Calibri"/>
          <w:color w:val="222222"/>
          <w:sz w:val="20"/>
        </w:rPr>
        <w:t xml:space="preserve"> Normal resting human blink rates range from </w:t>
      </w:r>
      <w:r>
        <w:rPr>
          <w:rFonts w:ascii="Calibri" w:hAnsi="Calibri"/>
          <w:b/>
          <w:color w:val="0F172A"/>
          <w:sz w:val="20"/>
        </w:rPr>
        <w:t>15-20 blinks per minute</w:t>
      </w:r>
      <w:r>
        <w:rPr>
          <w:rFonts w:ascii="Calibri" w:hAnsi="Calibri"/>
          <w:color w:val="222222"/>
          <w:sz w:val="20"/>
        </w:rPr>
        <w:t xml:space="preserve">. During focused screen reading, blink rates drop drastically to </w:t>
      </w:r>
      <w:r>
        <w:rPr>
          <w:rFonts w:ascii="Calibri" w:hAnsi="Calibri"/>
          <w:b/>
          <w:color w:val="0F172A"/>
          <w:sz w:val="20"/>
        </w:rPr>
        <w:t>4-7 blinks per minute</w:t>
      </w:r>
      <w:r>
        <w:rPr>
          <w:rFonts w:ascii="Calibri" w:hAnsi="Calibri"/>
          <w:color w:val="222222"/>
          <w:sz w:val="20"/>
        </w:rPr>
        <w:t>.</w:t>
      </w:r>
    </w:p>
    <w:p>
      <w:pPr>
        <w:spacing w:before="40" w:after="100" w:line="276" w:lineRule="auto"/>
      </w:pPr>
      <w:r>
        <w:rPr>
          <w:rFonts w:ascii="Calibri" w:hAnsi="Calibri"/>
          <w:color w:val="222222"/>
          <w:sz w:val="20"/>
        </w:rPr>
      </w:r>
      <w:r>
        <w:rPr>
          <w:rFonts w:ascii="Calibri" w:hAnsi="Calibri"/>
          <w:b/>
          <w:color w:val="0F172A"/>
          <w:sz w:val="20"/>
        </w:rPr>
        <w:t>Physiological Consequences:</w:t>
      </w:r>
      <w:r>
        <w:rPr>
          <w:rFonts w:ascii="Calibri" w:hAnsi="Calibri"/>
          <w:color w:val="222222"/>
          <w:sz w:val="20"/>
        </w:rPr>
        <w:t xml:space="preserve"> Incomplete blinking causes tear film evaporation, corneal dryness, pixel glare strain, and accommodation muscle spasms, causing headaches, blurred vision, and severe cognitive fatigue that limits sustained analytical reading.</w:t>
      </w:r>
    </w:p>
    <w:p>
      <w:pPr>
        <w:keepNext/>
        <w:spacing w:before="280" w:after="80"/>
      </w:pPr>
      <w:r>
        <w:rPr>
          <w:rFonts w:ascii="Calibri" w:hAnsi="Calibri"/>
          <w:b/>
          <w:color w:val="2C5E8A"/>
          <w:sz w:val="26"/>
        </w:rPr>
        <w:t>6.3 The Neurobiological Counter-Advantages of Physical Paper</w:t>
      </w:r>
    </w:p>
    <w:tbl>
      <w:tblPr>
        <w:tblW w:type="auto" w:w="0"/>
        <w:jc w:val="center"/>
        <w:tblLayout w:type="fixed"/>
        <w:tblLook w:firstColumn="1" w:firstRow="1" w:lastColumn="0" w:lastRow="0" w:noHBand="0" w:noVBand="1" w:val="04A0"/>
      </w:tblPr>
      <w:tblGrid>
        <w:gridCol w:w="9360"/>
      </w:tblGrid>
      <w:tr>
        <w:tc>
          <w:tcPr>
            <w:tcW w:type="dxa" w:w="9360"/>
            <w:shd w:fill="ECFDF5"/>
            <w:tcBorders>
              <w:top w:val="none"/>
              <w:left w:val="single" w:sz="32" w:space="0" w:color="047857"/>
              <w:bottom w:val="none"/>
              <w:right w:val="none"/>
            </w:tcBorders>
            <w:tcMar>
              <w:top w:w="100" w:type="dxa"/>
              <w:bottom w:w="100" w:type="dxa"/>
              <w:left w:w="160" w:type="dxa"/>
              <w:right w:w="160" w:type="dxa"/>
            </w:tcMar>
          </w:tcPr>
          <w:p>
            <w:pPr>
              <w:spacing w:before="40" w:after="80" w:line="276" w:lineRule="auto"/>
            </w:pPr>
            <w:r>
              <w:rPr>
                <w:rFonts w:ascii="Calibri" w:hAnsi="Calibri"/>
                <w:b/>
                <w:color w:val="047857"/>
                <w:sz w:val="19"/>
              </w:rPr>
              <w:t xml:space="preserve">[⭐ COGNITIVE &amp; OPERATIONAL ADVANTAGE] </w:t>
            </w:r>
            <w:r>
              <w:rPr>
                <w:rFonts w:ascii="Calibri" w:hAnsi="Calibri"/>
                <w:b/>
                <w:color w:val="141414"/>
                <w:sz w:val="20"/>
              </w:rPr>
              <w:t>Why Physical Paper Optimizes Cognitive Performance</w:t>
            </w:r>
          </w:p>
          <w:p>
            <w:pPr>
              <w:spacing w:before="20" w:after="60" w:line="276" w:lineRule="auto"/>
            </w:pPr>
            <w:r>
              <w:rPr>
                <w:rFonts w:ascii="Calibri" w:hAnsi="Calibri"/>
                <w:color w:val="334155"/>
                <w:sz w:val="19"/>
              </w:rPr>
            </w:r>
            <w:r>
              <w:rPr>
                <w:rFonts w:ascii="Calibri" w:hAnsi="Calibri"/>
                <w:b/>
                <w:color w:val="0F172A"/>
                <w:sz w:val="19"/>
              </w:rPr>
              <w:t>1. Zero Navigation Overhead:</w:t>
            </w:r>
            <w:r>
              <w:rPr>
                <w:rFonts w:ascii="Calibri" w:hAnsi="Calibri"/>
                <w:color w:val="334155"/>
                <w:sz w:val="19"/>
              </w:rPr>
              <w:t xml:space="preserve"> Physical paper completely eliminates the extraneous cognitive load of scrolling, clicking, and window toggling. 100% of working memory is dedicated to synthesizing technical material.</w:t>
            </w:r>
          </w:p>
          <w:p>
            <w:pPr>
              <w:spacing w:before="20" w:after="60" w:line="276" w:lineRule="auto"/>
            </w:pPr>
            <w:r>
              <w:rPr>
                <w:rFonts w:ascii="Calibri" w:hAnsi="Calibri"/>
                <w:color w:val="334155"/>
                <w:sz w:val="19"/>
              </w:rPr>
            </w:r>
            <w:r>
              <w:rPr>
                <w:rFonts w:ascii="Calibri" w:hAnsi="Calibri"/>
                <w:b/>
                <w:color w:val="0F172A"/>
                <w:sz w:val="19"/>
              </w:rPr>
              <w:t>2. Multi-Page Spatial Deployment (The Desk Space Advantage):</w:t>
            </w:r>
            <w:r>
              <w:rPr>
                <w:rFonts w:ascii="Calibri" w:hAnsi="Calibri"/>
                <w:color w:val="334155"/>
                <w:sz w:val="19"/>
              </w:rPr>
              <w:t xml:space="preserve"> Spreading 5 to 10 sheets across a desk allows instantaneous visual cross-referencing with zero latency. Eye movements between physical sheets take milliseconds, compared to several seconds of digital window toggling.</w:t>
            </w:r>
          </w:p>
          <w:p>
            <w:pPr>
              <w:spacing w:before="20" w:after="60" w:line="276" w:lineRule="auto"/>
            </w:pPr>
            <w:r>
              <w:rPr>
                <w:rFonts w:ascii="Calibri" w:hAnsi="Calibri"/>
                <w:color w:val="334155"/>
                <w:sz w:val="19"/>
              </w:rPr>
            </w:r>
            <w:r>
              <w:rPr>
                <w:rFonts w:ascii="Calibri" w:hAnsi="Calibri"/>
                <w:b/>
                <w:color w:val="0F172A"/>
                <w:sz w:val="19"/>
              </w:rPr>
              <w:t>3. Tactile Motor Memory Encoding:</w:t>
            </w:r>
            <w:r>
              <w:rPr>
                <w:rFonts w:ascii="Calibri" w:hAnsi="Calibri"/>
                <w:color w:val="334155"/>
                <w:sz w:val="19"/>
              </w:rPr>
              <w:t xml:space="preserve"> Handwriting annotations on paper triggers fine-motor kinesthetic feedback that significantly enhances neural encoding, conceptual synthesis, and long-term memory recall.</w:t>
            </w:r>
          </w:p>
          <w:p>
            <w:pPr>
              <w:spacing w:before="20" w:after="60" w:line="276" w:lineRule="auto"/>
            </w:pPr>
            <w:r>
              <w:rPr>
                <w:rFonts w:ascii="Calibri" w:hAnsi="Calibri"/>
                <w:color w:val="334155"/>
                <w:sz w:val="19"/>
              </w:rPr>
            </w:r>
            <w:r>
              <w:rPr>
                <w:rFonts w:ascii="Calibri" w:hAnsi="Calibri"/>
                <w:b/>
                <w:color w:val="0F172A"/>
                <w:sz w:val="19"/>
              </w:rPr>
              <w:t>4. Enforced Deliberate Reading Speed:</w:t>
            </w:r>
            <w:r>
              <w:rPr>
                <w:rFonts w:ascii="Calibri" w:hAnsi="Calibri"/>
                <w:color w:val="334155"/>
                <w:sz w:val="19"/>
              </w:rPr>
              <w:t xml:space="preserve"> Paper naturally slows down reading pace, disabling the subconscious skimming heuristic and fostering the deep, critical analysis required for high-stakes financial decisions.</w:t>
            </w:r>
          </w:p>
          <w:p>
            <w:pPr>
              <w:spacing w:before="20" w:after="20" w:line="276" w:lineRule="auto"/>
            </w:pPr>
            <w:r>
              <w:rPr>
                <w:rFonts w:ascii="Calibri" w:hAnsi="Calibri"/>
                <w:color w:val="334155"/>
                <w:sz w:val="19"/>
              </w:rPr>
            </w:r>
            <w:r>
              <w:rPr>
                <w:rFonts w:ascii="Calibri" w:hAnsi="Calibri"/>
                <w:b/>
                <w:color w:val="0F172A"/>
                <w:sz w:val="19"/>
              </w:rPr>
              <w:t>5. Cognitive Isolation:</w:t>
            </w:r>
            <w:r>
              <w:rPr>
                <w:rFonts w:ascii="Calibri" w:hAnsi="Calibri"/>
                <w:color w:val="334155"/>
                <w:sz w:val="19"/>
              </w:rPr>
              <w:t xml:space="preserve"> A printed document creates an isolated cognitive workspace completely severed from digital notification banners, emails, and chat interruptions.</w:t>
            </w:r>
          </w:p>
        </w:tc>
      </w:tr>
    </w:tbl>
    <w:p>
      <w:pPr>
        <w:spacing w:before="0" w:after="60"/>
      </w:pPr>
    </w:p>
    <w:p>
      <w:pPr>
        <w:keepNext/>
        <w:spacing w:before="400" w:after="120"/>
      </w:pPr>
      <w:r>
        <w:rPr>
          <w:rFonts w:ascii="Calibri" w:hAnsi="Calibri"/>
          <w:b/>
          <w:color w:val="1B365D"/>
          <w:sz w:val="31"/>
        </w:rPr>
        <w:t>Part 7: Strategic Implications for the Professional Document Reading Framework (PDRF)</w:t>
      </w:r>
    </w:p>
    <w:p>
      <w:pPr>
        <w:spacing w:before="40" w:after="100" w:line="276" w:lineRule="auto"/>
      </w:pPr>
      <w:r>
        <w:rPr>
          <w:rFonts w:ascii="Calibri" w:hAnsi="Calibri"/>
          <w:color w:val="222222"/>
          <w:sz w:val="20"/>
        </w:rPr>
        <w:t>Based on the external empirical evidence synthesized across macro markets, legal jurisdictions, and cognitive neuroscience, this section provides strategic recommendations for positioning the Professional Document Reading Framework (PDRF).</w:t>
      </w:r>
    </w:p>
    <w:p>
      <w:pPr>
        <w:keepNext/>
        <w:spacing w:before="280" w:after="80"/>
      </w:pPr>
      <w:r>
        <w:rPr>
          <w:rFonts w:ascii="Calibri" w:hAnsi="Calibri"/>
          <w:b/>
          <w:color w:val="2C5E8A"/>
          <w:sz w:val="26"/>
        </w:rPr>
        <w:t>7.1 The Central Architectural Decision: Medium-Independent Framework</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Final Research Question: How Should PDRF Be Positioned?</w:t>
            </w:r>
          </w:p>
          <w:p>
            <w:pPr>
              <w:spacing w:before="20" w:after="60" w:line="276" w:lineRule="auto"/>
            </w:pPr>
            <w:r>
              <w:rPr>
                <w:rFonts w:ascii="Calibri" w:hAnsi="Calibri"/>
                <w:color w:val="334155"/>
                <w:sz w:val="19"/>
              </w:rPr>
            </w:r>
            <w:r>
              <w:rPr>
                <w:rFonts w:ascii="Calibri" w:hAnsi="Calibri"/>
                <w:b/>
                <w:color w:val="0F172A"/>
                <w:sz w:val="19"/>
              </w:rPr>
              <w:t>Core Question:</w:t>
            </w:r>
            <w:r>
              <w:rPr>
                <w:rFonts w:ascii="Calibri" w:hAnsi="Calibri"/>
                <w:color w:val="334155"/>
                <w:sz w:val="19"/>
              </w:rPr>
              <w:t xml:space="preserve"> Does the empirical evidence suggest that PDRF should be designed primarily as a digital-screen reading framework, a physical-document reading framework, or a medium-independent framework that adapts to both?</w:t>
            </w:r>
          </w:p>
          <w:p>
            <w:pPr>
              <w:spacing w:before="20" w:after="60" w:line="276" w:lineRule="auto"/>
            </w:pPr>
            <w:r>
              <w:rPr>
                <w:rFonts w:ascii="Calibri" w:hAnsi="Calibri"/>
                <w:color w:val="334155"/>
                <w:sz w:val="19"/>
              </w:rPr>
            </w:r>
            <w:r>
              <w:rPr>
                <w:rFonts w:ascii="Calibri" w:hAnsi="Calibri"/>
                <w:b/>
                <w:color w:val="0F172A"/>
                <w:sz w:val="19"/>
              </w:rPr>
              <w:t>Empirical Mandate:</w:t>
            </w:r>
            <w:r>
              <w:rPr>
                <w:rFonts w:ascii="Calibri" w:hAnsi="Calibri"/>
                <w:color w:val="334155"/>
                <w:sz w:val="19"/>
              </w:rPr>
              <w:t xml:space="preserve"> The evidence overwhelmingly mandates that the PDRF must be designed as a </w:t>
            </w:r>
            <w:r>
              <w:rPr>
                <w:rFonts w:ascii="Calibri" w:hAnsi="Calibri"/>
                <w:b/>
                <w:color w:val="0F172A"/>
                <w:sz w:val="19"/>
              </w:rPr>
              <w:t>Medium-Independent Professional Reading Framework</w:t>
            </w:r>
            <w:r>
              <w:rPr>
                <w:rFonts w:ascii="Calibri" w:hAnsi="Calibri"/>
                <w:color w:val="334155"/>
                <w:sz w:val="19"/>
              </w:rPr>
              <w:t>.</w:t>
            </w:r>
          </w:p>
          <w:p>
            <w:pPr>
              <w:spacing w:before="20" w:after="60" w:line="276" w:lineRule="auto"/>
            </w:pPr>
            <w:r>
              <w:rPr>
                <w:rFonts w:ascii="Calibri" w:hAnsi="Calibri"/>
                <w:color w:val="334155"/>
                <w:sz w:val="19"/>
              </w:rPr>
            </w:r>
            <w:r>
              <w:rPr>
                <w:rFonts w:ascii="Calibri" w:hAnsi="Calibri"/>
                <w:b/>
                <w:color w:val="0F172A"/>
                <w:sz w:val="19"/>
              </w:rPr>
              <w:t>Strategic Rationale:</w:t>
            </w:r>
            <w:r>
              <w:rPr>
                <w:rFonts w:ascii="Calibri" w:hAnsi="Calibri"/>
                <w:color w:val="334155"/>
                <w:sz w:val="19"/>
              </w:rPr>
            </w:r>
          </w:p>
          <w:p>
            <w:pPr>
              <w:spacing w:before="20" w:after="60" w:line="276" w:lineRule="auto"/>
            </w:pPr>
            <w:r>
              <w:rPr>
                <w:rFonts w:ascii="Calibri" w:hAnsi="Calibri"/>
                <w:color w:val="334155"/>
                <w:sz w:val="19"/>
              </w:rPr>
              <w:t>• Designing exclusively for digital screens ignores the proven cognitive superiority, superior retention, and mandatory legal status of physical paper.</w:t>
            </w:r>
          </w:p>
          <w:p>
            <w:pPr>
              <w:spacing w:before="20" w:after="60" w:line="276" w:lineRule="auto"/>
            </w:pPr>
            <w:r>
              <w:rPr>
                <w:rFonts w:ascii="Calibri" w:hAnsi="Calibri"/>
                <w:color w:val="334155"/>
                <w:sz w:val="19"/>
              </w:rPr>
              <w:t>• Designing exclusively for physical paper ignores the absolute dominance of digital delivery, algorithmic analysis, searchability, and compliance archiving.</w:t>
            </w:r>
          </w:p>
          <w:p>
            <w:pPr>
              <w:spacing w:before="20" w:after="20" w:line="276" w:lineRule="auto"/>
            </w:pPr>
            <w:r>
              <w:rPr>
                <w:rFonts w:ascii="Calibri" w:hAnsi="Calibri"/>
                <w:color w:val="334155"/>
                <w:sz w:val="19"/>
              </w:rPr>
              <w:t>• Modern financial professionals exist in a state of constant medium-switching; therefore, a framework must optimize human cognitive performance across both environments.</w:t>
            </w:r>
          </w:p>
        </w:tc>
      </w:tr>
    </w:tbl>
    <w:p>
      <w:pPr>
        <w:spacing w:before="0" w:after="60"/>
      </w:pPr>
    </w:p>
    <w:p>
      <w:pPr>
        <w:keepNext/>
        <w:spacing w:before="280" w:after="80"/>
      </w:pPr>
      <w:r>
        <w:rPr>
          <w:rFonts w:ascii="Calibri" w:hAnsi="Calibri"/>
          <w:b/>
          <w:color w:val="2C5E8A"/>
          <w:sz w:val="26"/>
        </w:rPr>
        <w:t>7.2 The Five Core Strategic Findings (Findings A through E)</w:t>
      </w:r>
    </w:p>
    <w:p>
      <w:pPr>
        <w:keepNext/>
        <w:spacing w:before="200" w:after="60"/>
      </w:pPr>
      <w:r>
        <w:rPr>
          <w:rFonts w:ascii="Calibri" w:hAnsi="Calibri"/>
          <w:b/>
          <w:color w:val="4A607A"/>
          <w:sz w:val="22"/>
        </w:rPr>
        <w:t>Finding A: The Digital Reading Environment</w:t>
      </w:r>
    </w:p>
    <w:p>
      <w:pPr>
        <w:spacing w:before="40" w:after="100" w:line="276" w:lineRule="auto"/>
      </w:pPr>
      <w:r>
        <w:rPr>
          <w:rFonts w:ascii="Calibri" w:hAnsi="Calibri"/>
          <w:color w:val="222222"/>
          <w:sz w:val="20"/>
        </w:rPr>
      </w:r>
      <w:r>
        <w:rPr>
          <w:rFonts w:ascii="Calibri" w:hAnsi="Calibri"/>
          <w:b/>
          <w:color w:val="0F172A"/>
          <w:sz w:val="20"/>
        </w:rPr>
        <w:t>Enormous Strengths:</w:t>
      </w:r>
      <w:r>
        <w:rPr>
          <w:rFonts w:ascii="Calibri" w:hAnsi="Calibri"/>
          <w:color w:val="222222"/>
          <w:sz w:val="20"/>
        </w:rPr>
        <w:t xml:space="preserve"> Instantaneous global accessibility, keyword searchability, Natural Language Processing (NLP) sentiment screening, and automated compliance archiving.</w:t>
      </w:r>
    </w:p>
    <w:p>
      <w:pPr>
        <w:spacing w:before="40" w:after="100" w:line="276" w:lineRule="auto"/>
      </w:pPr>
      <w:r>
        <w:rPr>
          <w:rFonts w:ascii="Calibri" w:hAnsi="Calibri"/>
          <w:color w:val="222222"/>
          <w:sz w:val="20"/>
        </w:rPr>
      </w:r>
      <w:r>
        <w:rPr>
          <w:rFonts w:ascii="Calibri" w:hAnsi="Calibri"/>
          <w:b/>
          <w:color w:val="0F172A"/>
          <w:sz w:val="20"/>
        </w:rPr>
        <w:t>Severe Limitations:</w:t>
      </w:r>
      <w:r>
        <w:rPr>
          <w:rFonts w:ascii="Calibri" w:hAnsi="Calibri"/>
          <w:color w:val="222222"/>
          <w:sz w:val="20"/>
        </w:rPr>
        <w:t xml:space="preserve"> The scientifically validated Screen Inferiority Effect (Hedges' g -0.113 to -0.26), subconscious skimming, loss of spatial memory topology, scrolling cognitive load, and widespread Digital Eye Strain (69% prevalence).</w:t>
      </w:r>
    </w:p>
    <w:p>
      <w:pPr>
        <w:keepNext/>
        <w:spacing w:before="200" w:after="60"/>
      </w:pPr>
      <w:r>
        <w:rPr>
          <w:rFonts w:ascii="Calibri" w:hAnsi="Calibri"/>
          <w:b/>
          <w:color w:val="4A607A"/>
          <w:sz w:val="22"/>
        </w:rPr>
        <w:t>Finding B: The Physical Reading Environment</w:t>
      </w:r>
    </w:p>
    <w:p>
      <w:pPr>
        <w:spacing w:before="40" w:after="100" w:line="276" w:lineRule="auto"/>
      </w:pPr>
      <w:r>
        <w:rPr>
          <w:rFonts w:ascii="Calibri" w:hAnsi="Calibri"/>
          <w:color w:val="222222"/>
          <w:sz w:val="20"/>
        </w:rPr>
      </w:r>
      <w:r>
        <w:rPr>
          <w:rFonts w:ascii="Calibri" w:hAnsi="Calibri"/>
          <w:b/>
          <w:color w:val="0F172A"/>
          <w:sz w:val="20"/>
        </w:rPr>
        <w:t>Enormous Strengths:</w:t>
      </w:r>
      <w:r>
        <w:rPr>
          <w:rFonts w:ascii="Calibri" w:hAnsi="Calibri"/>
          <w:color w:val="222222"/>
          <w:sz w:val="20"/>
        </w:rPr>
        <w:t xml:space="preserve"> Maximum working memory availability, deep conceptual comprehension, frictionless multi-document spatial cross-referencing across a desk, zero optical glare fatigue, and ironclad legal/evidentiary enforceability.</w:t>
      </w:r>
    </w:p>
    <w:p>
      <w:pPr>
        <w:spacing w:before="40" w:after="100" w:line="276" w:lineRule="auto"/>
      </w:pPr>
      <w:r>
        <w:rPr>
          <w:rFonts w:ascii="Calibri" w:hAnsi="Calibri"/>
          <w:color w:val="222222"/>
          <w:sz w:val="20"/>
        </w:rPr>
      </w:r>
      <w:r>
        <w:rPr>
          <w:rFonts w:ascii="Calibri" w:hAnsi="Calibri"/>
          <w:b/>
          <w:color w:val="0F172A"/>
          <w:sz w:val="20"/>
        </w:rPr>
        <w:t>Severe Limitations:</w:t>
      </w:r>
      <w:r>
        <w:rPr>
          <w:rFonts w:ascii="Calibri" w:hAnsi="Calibri"/>
          <w:color w:val="222222"/>
          <w:sz w:val="20"/>
        </w:rPr>
        <w:t xml:space="preserve"> Complete disconnection from digital audit trails, lack of keyword searchability, logistical friction in storage/distribution, and significant physical security risks (56% print-related data breach rate per Quocirca).</w:t>
      </w:r>
    </w:p>
    <w:p>
      <w:pPr>
        <w:keepNext/>
        <w:spacing w:before="200" w:after="60"/>
      </w:pPr>
      <w:r>
        <w:rPr>
          <w:rFonts w:ascii="Calibri" w:hAnsi="Calibri"/>
          <w:b/>
          <w:color w:val="4A607A"/>
          <w:sz w:val="22"/>
        </w:rPr>
        <w:t>Finding C: The Mixed / Hybrid Workflow Reality</w:t>
      </w:r>
    </w:p>
    <w:p>
      <w:pPr>
        <w:spacing w:before="40" w:after="100" w:line="276" w:lineRule="auto"/>
      </w:pPr>
      <w:r>
        <w:rPr>
          <w:rFonts w:ascii="Calibri" w:hAnsi="Calibri"/>
          <w:color w:val="222222"/>
          <w:sz w:val="20"/>
        </w:rPr>
      </w:r>
      <w:r>
        <w:rPr>
          <w:rFonts w:ascii="Calibri" w:hAnsi="Calibri"/>
          <w:b/>
          <w:color w:val="0F172A"/>
          <w:sz w:val="20"/>
        </w:rPr>
        <w:t>The Modern Information Lifecycle:</w:t>
      </w:r>
      <w:r>
        <w:rPr>
          <w:rFonts w:ascii="Calibri" w:hAnsi="Calibri"/>
          <w:color w:val="222222"/>
          <w:sz w:val="20"/>
        </w:rPr>
        <w:t xml:space="preserve"> Professionals do not choose one medium permanently. A single analytical workflow routinely moves across mediums:</w:t>
      </w:r>
    </w:p>
    <w:p>
      <w:pPr>
        <w:spacing w:before="40" w:after="100" w:line="276" w:lineRule="auto"/>
      </w:pPr>
      <w:r>
        <w:rPr>
          <w:rFonts w:ascii="Calibri" w:hAnsi="Calibri"/>
          <w:color w:val="222222"/>
          <w:sz w:val="20"/>
        </w:rPr>
        <w:t>1. Digital Discovery (pulling a 10-K from EDGAR or Bloomberg) -&gt;</w:t>
      </w:r>
    </w:p>
    <w:p>
      <w:pPr>
        <w:spacing w:before="40" w:after="100" w:line="276" w:lineRule="auto"/>
      </w:pPr>
      <w:r>
        <w:rPr>
          <w:rFonts w:ascii="Calibri" w:hAnsi="Calibri"/>
          <w:color w:val="222222"/>
          <w:sz w:val="20"/>
        </w:rPr>
        <w:t>2. Physical Printing for Deep Synthesis &amp; Footnote Cross-Referencing -&gt;</w:t>
      </w:r>
    </w:p>
    <w:p>
      <w:pPr>
        <w:spacing w:before="40" w:after="100" w:line="276" w:lineRule="auto"/>
      </w:pPr>
      <w:r>
        <w:rPr>
          <w:rFonts w:ascii="Calibri" w:hAnsi="Calibri"/>
          <w:color w:val="222222"/>
          <w:sz w:val="20"/>
        </w:rPr>
        <w:t>3. Digital Execution (entering findings into a DCF model, writing a client report, or archiving).</w:t>
      </w:r>
    </w:p>
    <w:p>
      <w:pPr>
        <w:keepNext/>
        <w:spacing w:before="200" w:after="60"/>
      </w:pPr>
      <w:r>
        <w:rPr>
          <w:rFonts w:ascii="Calibri" w:hAnsi="Calibri"/>
          <w:b/>
          <w:color w:val="4A607A"/>
          <w:sz w:val="22"/>
        </w:rPr>
        <w:t>Finding D: High-Need vs. Low-Need Professional Populations</w:t>
      </w:r>
    </w:p>
    <w:p>
      <w:pPr>
        <w:spacing w:before="40" w:after="100" w:line="276" w:lineRule="auto"/>
      </w:pPr>
      <w:r>
        <w:rPr>
          <w:rFonts w:ascii="Calibri" w:hAnsi="Calibri"/>
          <w:color w:val="222222"/>
          <w:sz w:val="20"/>
        </w:rPr>
      </w:r>
      <w:r>
        <w:rPr>
          <w:rFonts w:ascii="Calibri" w:hAnsi="Calibri"/>
          <w:b/>
          <w:color w:val="0F172A"/>
          <w:sz w:val="20"/>
        </w:rPr>
        <w:t>Primary High-Need Beneficiaries:</w:t>
      </w:r>
      <w:r>
        <w:rPr>
          <w:rFonts w:ascii="Calibri" w:hAnsi="Calibri"/>
          <w:color w:val="222222"/>
          <w:sz w:val="20"/>
        </w:rPr>
        <w:t xml:space="preserve"> Equity Analysts, Credit Analysts, Corporate Lawyers, Compliance Officers, and Senior Auditors. These roles process dense, highly ambiguous, long-form technical texts where comprehension failure causes massive financial or legal damage.</w:t>
      </w:r>
    </w:p>
    <w:p>
      <w:pPr>
        <w:spacing w:before="40" w:after="100" w:line="276" w:lineRule="auto"/>
      </w:pPr>
      <w:r>
        <w:rPr>
          <w:rFonts w:ascii="Calibri" w:hAnsi="Calibri"/>
          <w:color w:val="222222"/>
          <w:sz w:val="20"/>
        </w:rPr>
      </w:r>
      <w:r>
        <w:rPr>
          <w:rFonts w:ascii="Calibri" w:hAnsi="Calibri"/>
          <w:b/>
          <w:color w:val="0F172A"/>
          <w:sz w:val="20"/>
        </w:rPr>
        <w:t>Low-Need Populations:</w:t>
      </w:r>
      <w:r>
        <w:rPr>
          <w:rFonts w:ascii="Calibri" w:hAnsi="Calibri"/>
          <w:color w:val="222222"/>
          <w:sz w:val="20"/>
        </w:rPr>
        <w:t xml:space="preserve"> Quantitative Researchers and Fast-Execution Traders, whose workflows depend almost purely on code, mathematical data streams, and sub-second execution speeds.</w:t>
      </w:r>
    </w:p>
    <w:p>
      <w:pPr>
        <w:keepNext/>
        <w:spacing w:before="200" w:after="60"/>
      </w:pPr>
      <w:r>
        <w:rPr>
          <w:rFonts w:ascii="Calibri" w:hAnsi="Calibri"/>
          <w:b/>
          <w:color w:val="4A607A"/>
          <w:sz w:val="22"/>
        </w:rPr>
        <w:t>Finding E: The Strategic Scope and Capabilities of PDRF</w:t>
      </w:r>
    </w:p>
    <w:p>
      <w:pPr>
        <w:spacing w:before="40" w:after="100" w:line="276" w:lineRule="auto"/>
      </w:pPr>
      <w:r>
        <w:rPr>
          <w:rFonts w:ascii="Calibri" w:hAnsi="Calibri"/>
          <w:color w:val="222222"/>
          <w:sz w:val="20"/>
        </w:rPr>
      </w:r>
      <w:r>
        <w:rPr>
          <w:rFonts w:ascii="Calibri" w:hAnsi="Calibri"/>
          <w:b/>
          <w:color w:val="0F172A"/>
          <w:sz w:val="20"/>
        </w:rPr>
        <w:t>Dual-Medium Optimization Scope:</w:t>
      </w:r>
      <w:r>
        <w:rPr>
          <w:rFonts w:ascii="Calibri" w:hAnsi="Calibri"/>
          <w:color w:val="222222"/>
          <w:sz w:val="20"/>
        </w:rPr>
        <w:t xml:space="preserve"> PDRF must provide explicit operational strategies for both mediums:</w:t>
      </w:r>
    </w:p>
    <w:p>
      <w:pPr>
        <w:spacing w:before="40" w:after="100" w:line="276" w:lineRule="auto"/>
      </w:pPr>
      <w:r>
        <w:rPr>
          <w:rFonts w:ascii="Calibri" w:hAnsi="Calibri"/>
          <w:color w:val="222222"/>
          <w:sz w:val="20"/>
        </w:rPr>
        <w:t xml:space="preserve">• </w:t>
      </w:r>
      <w:r>
        <w:rPr>
          <w:rFonts w:ascii="Calibri" w:hAnsi="Calibri"/>
          <w:b/>
          <w:color w:val="0F172A"/>
          <w:sz w:val="20"/>
        </w:rPr>
        <w:t>Digital Mitigation Strategies:</w:t>
      </w:r>
      <w:r>
        <w:rPr>
          <w:rFonts w:ascii="Calibri" w:hAnsi="Calibri"/>
          <w:color w:val="222222"/>
          <w:sz w:val="20"/>
        </w:rPr>
        <w:t xml:space="preserve"> Structured visual navigation techniques to prevent saccade disruption, systematic digital markup protocols, and eye-strain pacing.</w:t>
      </w:r>
    </w:p>
    <w:p>
      <w:pPr>
        <w:spacing w:before="40" w:after="100" w:line="276" w:lineRule="auto"/>
      </w:pPr>
      <w:r>
        <w:rPr>
          <w:rFonts w:ascii="Calibri" w:hAnsi="Calibri"/>
          <w:color w:val="222222"/>
          <w:sz w:val="20"/>
        </w:rPr>
        <w:t xml:space="preserve">• </w:t>
      </w:r>
      <w:r>
        <w:rPr>
          <w:rFonts w:ascii="Calibri" w:hAnsi="Calibri"/>
          <w:b/>
          <w:color w:val="0F172A"/>
          <w:sz w:val="20"/>
        </w:rPr>
        <w:t>Physical Optimization Strategies:</w:t>
      </w:r>
      <w:r>
        <w:rPr>
          <w:rFonts w:ascii="Calibri" w:hAnsi="Calibri"/>
          <w:color w:val="222222"/>
          <w:sz w:val="20"/>
        </w:rPr>
        <w:t xml:space="preserve"> Exact decision-trees governing when a document warrants printing, desk-layout spatial architectures, and protocols for digitizing handwritten marginalia back into enterprise repositories.</w:t>
      </w:r>
    </w:p>
    <w:p>
      <w:pPr>
        <w:keepNext/>
        <w:spacing w:before="280" w:after="80"/>
      </w:pPr>
      <w:r>
        <w:rPr>
          <w:rFonts w:ascii="Calibri" w:hAnsi="Calibri"/>
          <w:b/>
          <w:color w:val="2C5E8A"/>
          <w:sz w:val="26"/>
        </w:rPr>
        <w:t>7.3 The Critical Scientific Boundary</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2" w:space="0" w:color="B45309"/>
              <w:bottom w:val="none"/>
              <w:right w:val="none"/>
            </w:tcBorders>
            <w:tcMar>
              <w:top w:w="100" w:type="dxa"/>
              <w:bottom w:w="100" w:type="dxa"/>
              <w:left w:w="160" w:type="dxa"/>
              <w:right w:w="160" w:type="dxa"/>
            </w:tcMar>
          </w:tcPr>
          <w:p>
            <w:pPr>
              <w:spacing w:before="40" w:after="80" w:line="276" w:lineRule="auto"/>
            </w:pPr>
            <w:r>
              <w:rPr>
                <w:rFonts w:ascii="Calibri" w:hAnsi="Calibri"/>
                <w:b/>
                <w:color w:val="B45309"/>
                <w:sz w:val="19"/>
              </w:rPr>
              <w:t xml:space="preserve">[⚠️ SOURCE NOTE &amp; SCIENTIFIC BOUNDARY] </w:t>
            </w:r>
            <w:r>
              <w:rPr>
                <w:rFonts w:ascii="Calibri" w:hAnsi="Calibri"/>
                <w:b/>
                <w:color w:val="141414"/>
                <w:sz w:val="20"/>
              </w:rPr>
              <w:t>Scientific Boundary &amp; Non-Inferential Caution</w:t>
            </w:r>
          </w:p>
          <w:p>
            <w:pPr>
              <w:spacing w:before="20" w:after="60" w:line="276" w:lineRule="auto"/>
            </w:pPr>
            <w:r>
              <w:rPr>
                <w:rFonts w:ascii="Calibri" w:hAnsi="Calibri"/>
                <w:color w:val="334155"/>
                <w:sz w:val="19"/>
              </w:rPr>
            </w:r>
            <w:r>
              <w:rPr>
                <w:rFonts w:ascii="Calibri" w:hAnsi="Calibri"/>
                <w:b/>
                <w:color w:val="0F172A"/>
                <w:sz w:val="19"/>
              </w:rPr>
              <w:t>Important Scientific Distinction:</w:t>
            </w:r>
            <w:r>
              <w:rPr>
                <w:rFonts w:ascii="Calibri" w:hAnsi="Calibri"/>
                <w:color w:val="334155"/>
                <w:sz w:val="19"/>
              </w:rPr>
            </w:r>
          </w:p>
          <w:p>
            <w:pPr>
              <w:spacing w:before="20" w:after="60" w:line="276" w:lineRule="auto"/>
            </w:pPr>
            <w:r>
              <w:rPr>
                <w:rFonts w:ascii="Calibri" w:hAnsi="Calibri"/>
                <w:color w:val="334155"/>
                <w:sz w:val="19"/>
              </w:rPr>
              <w:t>• The empirical evidence synthesized in this report rigorously proves that specific reading environments produce specific cognitive and physiological deficits (e.g., screens cause Digital Eye Strain and lower reading comprehension).</w:t>
            </w:r>
          </w:p>
          <w:p>
            <w:pPr>
              <w:spacing w:before="20" w:after="60" w:line="276" w:lineRule="auto"/>
            </w:pPr>
            <w:r>
              <w:rPr>
                <w:rFonts w:ascii="Calibri" w:hAnsi="Calibri"/>
                <w:color w:val="334155"/>
                <w:sz w:val="19"/>
              </w:rPr>
              <w:t>• This report confirms the existence, scale, and neurobiological mechanisms of these deficits.</w:t>
            </w:r>
          </w:p>
          <w:p>
            <w:pPr>
              <w:spacing w:before="20" w:after="60" w:line="276" w:lineRule="auto"/>
            </w:pPr>
            <w:r>
              <w:rPr>
                <w:rFonts w:ascii="Calibri" w:hAnsi="Calibri"/>
                <w:color w:val="334155"/>
                <w:sz w:val="19"/>
              </w:rPr>
              <w:t xml:space="preserve">• </w:t>
            </w:r>
            <w:r>
              <w:rPr>
                <w:rFonts w:ascii="Calibri" w:hAnsi="Calibri"/>
                <w:b/>
                <w:color w:val="0F172A"/>
                <w:sz w:val="19"/>
              </w:rPr>
              <w:t>It does NOT automatically prove that the PDRF solves these problems.</w:t>
            </w:r>
            <w:r>
              <w:rPr>
                <w:rFonts w:ascii="Calibri" w:hAnsi="Calibri"/>
                <w:color w:val="334155"/>
                <w:sz w:val="19"/>
              </w:rPr>
            </w:r>
          </w:p>
          <w:p>
            <w:pPr>
              <w:spacing w:before="20" w:after="20" w:line="276" w:lineRule="auto"/>
            </w:pPr>
            <w:r>
              <w:rPr>
                <w:rFonts w:ascii="Calibri" w:hAnsi="Calibri"/>
                <w:color w:val="334155"/>
                <w:sz w:val="19"/>
              </w:rPr>
              <w:t xml:space="preserve">• Claiming that PDRF improves professional comprehension or mitigates screen fatigue requires </w:t>
            </w:r>
            <w:r>
              <w:rPr>
                <w:rFonts w:ascii="Calibri" w:hAnsi="Calibri"/>
                <w:b/>
                <w:color w:val="0F172A"/>
                <w:sz w:val="19"/>
              </w:rPr>
              <w:t>independent, controlled experimental validation of the framework itself</w:t>
            </w:r>
            <w:r>
              <w:rPr>
                <w:rFonts w:ascii="Calibri" w:hAnsi="Calibri"/>
                <w:color w:val="334155"/>
                <w:sz w:val="19"/>
              </w:rPr>
              <w:t>.</w:t>
            </w:r>
          </w:p>
        </w:tc>
      </w:tr>
    </w:tbl>
    <w:p>
      <w:pPr>
        <w:spacing w:before="0" w:after="60"/>
      </w:pPr>
    </w:p>
    <w:p>
      <w:pPr>
        <w:keepNext/>
        <w:spacing w:before="400" w:after="120"/>
      </w:pPr>
      <w:r>
        <w:rPr>
          <w:rFonts w:ascii="Calibri" w:hAnsi="Calibri"/>
          <w:b/>
          <w:color w:val="1B365D"/>
          <w:sz w:val="31"/>
        </w:rPr>
        <w:t>Part 8: Synthesis, Evidence Gaps, and Final Conclusions</w:t>
      </w:r>
    </w:p>
    <w:p>
      <w:pPr>
        <w:keepNext/>
        <w:spacing w:before="280" w:after="80"/>
      </w:pPr>
      <w:r>
        <w:rPr>
          <w:rFonts w:ascii="Calibri" w:hAnsi="Calibri"/>
          <w:b/>
          <w:color w:val="2C5E8A"/>
          <w:sz w:val="26"/>
        </w:rPr>
        <w:t>8.1 Evidence Quality Assessment &amp; Macro Robustness</w:t>
      </w:r>
    </w:p>
    <w:p>
      <w:pPr>
        <w:spacing w:before="40" w:after="100" w:line="276" w:lineRule="auto"/>
      </w:pPr>
      <w:r>
        <w:rPr>
          <w:rFonts w:ascii="Calibri" w:hAnsi="Calibri"/>
          <w:color w:val="222222"/>
          <w:sz w:val="20"/>
        </w:rPr>
        <w:t>The evidence base supporting this research is exceptionally robust regarding macro-level market metrics, legal statutes, and cognitive science:</w:t>
      </w:r>
    </w:p>
    <w:p>
      <w:pPr>
        <w:pStyle w:val="ListBullet"/>
        <w:spacing w:before="20" w:after="60" w:line="276" w:lineRule="auto"/>
        <w:ind w:left="360"/>
      </w:pPr>
      <w:r>
        <w:rPr>
          <w:rFonts w:ascii="Calibri" w:hAnsi="Calibri"/>
          <w:color w:val="222222"/>
          <w:sz w:val="20"/>
        </w:rPr>
      </w:r>
      <w:r>
        <w:rPr>
          <w:rFonts w:ascii="Calibri" w:hAnsi="Calibri"/>
          <w:b/>
          <w:color w:val="0F172A"/>
          <w:sz w:val="20"/>
        </w:rPr>
        <w:t>Cognitive Science Robustness:</w:t>
      </w:r>
      <w:r>
        <w:rPr>
          <w:rFonts w:ascii="Calibri" w:hAnsi="Calibri"/>
          <w:color w:val="222222"/>
          <w:sz w:val="20"/>
        </w:rPr>
        <w:t xml:space="preserve"> Tier 1 academic meta-analyses detailing reading comprehension deficits and eye-tracking saccade metrics draw on tens of thousands of participants globally.</w:t>
      </w:r>
    </w:p>
    <w:p>
      <w:pPr>
        <w:pStyle w:val="ListBullet"/>
        <w:spacing w:before="20" w:after="60" w:line="276" w:lineRule="auto"/>
        <w:ind w:left="360"/>
      </w:pPr>
      <w:r>
        <w:rPr>
          <w:rFonts w:ascii="Calibri" w:hAnsi="Calibri"/>
          <w:color w:val="222222"/>
          <w:sz w:val="20"/>
        </w:rPr>
      </w:r>
      <w:r>
        <w:rPr>
          <w:rFonts w:ascii="Calibri" w:hAnsi="Calibri"/>
          <w:b/>
          <w:color w:val="0F172A"/>
          <w:sz w:val="20"/>
        </w:rPr>
        <w:t>Market Expenditure Robustness:</w:t>
      </w:r>
      <w:r>
        <w:rPr>
          <w:rFonts w:ascii="Calibri" w:hAnsi="Calibri"/>
          <w:color w:val="222222"/>
          <w:sz w:val="20"/>
        </w:rPr>
        <w:t xml:space="preserve"> Tier 2 and Tier 3 institutional data from the Managed Print Services (MPS) market ($50.18B scaling to $117.52B at 9.62% CAGR) provides indisputable financial proof that enterprise printing remains a massive, growing operational investment.</w:t>
      </w:r>
    </w:p>
    <w:p>
      <w:pPr>
        <w:pStyle w:val="ListBullet"/>
        <w:spacing w:before="20" w:after="60" w:line="276" w:lineRule="auto"/>
        <w:ind w:left="360"/>
      </w:pPr>
      <w:r>
        <w:rPr>
          <w:rFonts w:ascii="Calibri" w:hAnsi="Calibri"/>
          <w:color w:val="222222"/>
          <w:sz w:val="20"/>
        </w:rPr>
      </w:r>
      <w:r>
        <w:rPr>
          <w:rFonts w:ascii="Calibri" w:hAnsi="Calibri"/>
          <w:b/>
          <w:color w:val="0F172A"/>
          <w:sz w:val="20"/>
        </w:rPr>
        <w:t>Legal &amp; Regulatory Robustness:</w:t>
      </w:r>
      <w:r>
        <w:rPr>
          <w:rFonts w:ascii="Calibri" w:hAnsi="Calibri"/>
          <w:color w:val="222222"/>
          <w:sz w:val="20"/>
        </w:rPr>
        <w:t xml:space="preserve"> Statutory requirements from the US SEC (Rule 17a-4), FINRA (Rule 4511), EU BaFin/MiFID II (WpHG), and the Indian Evidence Act (Section 65B) provide concrete legal verification of workflow requirements.</w:t>
      </w:r>
    </w:p>
    <w:p>
      <w:pPr>
        <w:keepNext/>
        <w:spacing w:before="280" w:after="80"/>
      </w:pPr>
      <w:r>
        <w:rPr>
          <w:rFonts w:ascii="Calibri" w:hAnsi="Calibri"/>
          <w:b/>
          <w:color w:val="2C5E8A"/>
          <w:sz w:val="26"/>
        </w:rPr>
        <w:t>8.2 Gaps in Available Evidence: The 2026 Ethnographic Time-Tracking Gap</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2" w:space="0" w:color="B45309"/>
              <w:bottom w:val="none"/>
              <w:right w:val="none"/>
            </w:tcBorders>
            <w:tcMar>
              <w:top w:w="100" w:type="dxa"/>
              <w:bottom w:w="100" w:type="dxa"/>
              <w:left w:w="160" w:type="dxa"/>
              <w:right w:w="160" w:type="dxa"/>
            </w:tcMar>
          </w:tcPr>
          <w:p>
            <w:pPr>
              <w:spacing w:before="40" w:after="80" w:line="276" w:lineRule="auto"/>
            </w:pPr>
            <w:r>
              <w:rPr>
                <w:rFonts w:ascii="Calibri" w:hAnsi="Calibri"/>
                <w:b/>
                <w:color w:val="B45309"/>
                <w:sz w:val="19"/>
              </w:rPr>
              <w:t xml:space="preserve">[⚠️ SOURCE NOTE &amp; SCIENTIFIC BOUNDARY] </w:t>
            </w:r>
            <w:r>
              <w:rPr>
                <w:rFonts w:ascii="Calibri" w:hAnsi="Calibri"/>
                <w:b/>
                <w:color w:val="141414"/>
                <w:sz w:val="20"/>
              </w:rPr>
              <w:t>Specific Research Gap — Role-Specific Time Distributions</w:t>
            </w:r>
          </w:p>
          <w:p>
            <w:pPr>
              <w:spacing w:before="20" w:after="60" w:line="276" w:lineRule="auto"/>
            </w:pPr>
            <w:r>
              <w:rPr>
                <w:rFonts w:ascii="Calibri" w:hAnsi="Calibri"/>
                <w:color w:val="334155"/>
                <w:sz w:val="19"/>
              </w:rPr>
            </w:r>
            <w:r>
              <w:rPr>
                <w:rFonts w:ascii="Calibri" w:hAnsi="Calibri"/>
                <w:b/>
                <w:color w:val="0F172A"/>
                <w:sz w:val="19"/>
              </w:rPr>
              <w:t>The Unmeasured Metric:</w:t>
            </w:r>
            <w:r>
              <w:rPr>
                <w:rFonts w:ascii="Calibri" w:hAnsi="Calibri"/>
                <w:color w:val="334155"/>
                <w:sz w:val="19"/>
              </w:rPr>
              <w:t xml:space="preserve"> While macro-level spending and cognitive mechanics are definitively proven, there remains a distinct absence of granular, role-specific ethnographic time-tracking data in 2026.</w:t>
            </w:r>
          </w:p>
          <w:p>
            <w:pPr>
              <w:spacing w:before="20" w:after="60" w:line="276" w:lineRule="auto"/>
            </w:pPr>
            <w:r>
              <w:rPr>
                <w:rFonts w:ascii="Calibri" w:hAnsi="Calibri"/>
                <w:color w:val="334155"/>
                <w:sz w:val="19"/>
              </w:rPr>
            </w:r>
            <w:r>
              <w:rPr>
                <w:rFonts w:ascii="Calibri" w:hAnsi="Calibri"/>
                <w:b/>
                <w:color w:val="0F172A"/>
                <w:sz w:val="19"/>
              </w:rPr>
              <w:t>What Is Missing:</w:t>
            </w:r>
            <w:r>
              <w:rPr>
                <w:rFonts w:ascii="Calibri" w:hAnsi="Calibri"/>
                <w:color w:val="334155"/>
                <w:sz w:val="19"/>
              </w:rPr>
              <w:t xml:space="preserve"> No verified global study currently tracks the exact minute-by-minute percentage of the workday an individual equity analyst or credit underwriter spends looking at paper versus looking at a screen.</w:t>
            </w:r>
          </w:p>
          <w:p>
            <w:pPr>
              <w:spacing w:before="20" w:after="20" w:line="276" w:lineRule="auto"/>
            </w:pPr>
            <w:r>
              <w:rPr>
                <w:rFonts w:ascii="Calibri" w:hAnsi="Calibri"/>
                <w:color w:val="334155"/>
                <w:sz w:val="19"/>
              </w:rPr>
            </w:r>
            <w:r>
              <w:rPr>
                <w:rFonts w:ascii="Calibri" w:hAnsi="Calibri"/>
                <w:b/>
                <w:color w:val="0F172A"/>
                <w:sz w:val="19"/>
              </w:rPr>
              <w:t>Future Research Requirement:</w:t>
            </w:r>
            <w:r>
              <w:rPr>
                <w:rFonts w:ascii="Calibri" w:hAnsi="Calibri"/>
                <w:color w:val="334155"/>
                <w:sz w:val="19"/>
              </w:rPr>
              <w:t xml:space="preserve"> Localized workplace observational studies, eye-tracking screen-time logging, and corporate time-motion audits are required to establish exact numerical time splits across job titles.</w:t>
            </w:r>
          </w:p>
        </w:tc>
      </w:tr>
    </w:tbl>
    <w:p>
      <w:pPr>
        <w:spacing w:before="0" w:after="60"/>
      </w:pPr>
    </w:p>
    <w:p>
      <w:pPr>
        <w:keepNext/>
        <w:spacing w:before="280" w:after="80"/>
      </w:pPr>
      <w:r>
        <w:rPr>
          <w:rFonts w:ascii="Calibri" w:hAnsi="Calibri"/>
          <w:b/>
          <w:color w:val="2C5E8A"/>
          <w:sz w:val="26"/>
        </w:rPr>
        <w:t>8.3 Final Synthesis: The Structural Hybridity of Modern Finance</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2" w:space="0" w:color="334155"/>
              <w:bottom w:val="none"/>
              <w:right w:val="none"/>
            </w:tcBorders>
            <w:tcMar>
              <w:top w:w="100" w:type="dxa"/>
              <w:bottom w:w="100" w:type="dxa"/>
              <w:left w:w="160" w:type="dxa"/>
              <w:right w:w="160" w:type="dxa"/>
            </w:tcMar>
          </w:tcPr>
          <w:p>
            <w:pPr>
              <w:spacing w:before="40" w:after="80" w:line="276" w:lineRule="auto"/>
            </w:pPr>
            <w:r>
              <w:rPr>
                <w:rFonts w:ascii="Calibri" w:hAnsi="Calibri"/>
                <w:b/>
                <w:color w:val="334155"/>
                <w:sz w:val="19"/>
              </w:rPr>
              <w:t xml:space="preserve">[📄 SOURCE INFORMATION] </w:t>
            </w:r>
            <w:r>
              <w:rPr>
                <w:rFonts w:ascii="Calibri" w:hAnsi="Calibri"/>
                <w:b/>
                <w:color w:val="141414"/>
                <w:sz w:val="20"/>
              </w:rPr>
              <w:t>Final Conclusion on the State of Professional Information Work</w:t>
            </w:r>
          </w:p>
          <w:p>
            <w:pPr>
              <w:spacing w:before="20" w:after="60" w:line="276" w:lineRule="auto"/>
            </w:pPr>
            <w:r>
              <w:rPr>
                <w:rFonts w:ascii="Calibri" w:hAnsi="Calibri"/>
                <w:color w:val="334155"/>
                <w:sz w:val="19"/>
              </w:rPr>
            </w:r>
            <w:r>
              <w:rPr>
                <w:rFonts w:ascii="Calibri" w:hAnsi="Calibri"/>
                <w:b/>
                <w:color w:val="0F172A"/>
                <w:sz w:val="19"/>
              </w:rPr>
              <w:t>The Reality of 2026:</w:t>
            </w:r>
            <w:r>
              <w:rPr>
                <w:rFonts w:ascii="Calibri" w:hAnsi="Calibri"/>
                <w:color w:val="334155"/>
                <w:sz w:val="19"/>
              </w:rPr>
              <w:t xml:space="preserve"> In 2026, professional financial information consumption is neither completely paperless nor bound to legacy physical systems; it is genuinely and structurally hybrid.</w:t>
            </w:r>
          </w:p>
          <w:p>
            <w:pPr>
              <w:spacing w:before="20" w:after="60" w:line="276" w:lineRule="auto"/>
            </w:pPr>
            <w:r>
              <w:rPr>
                <w:rFonts w:ascii="Calibri" w:hAnsi="Calibri"/>
                <w:color w:val="334155"/>
                <w:sz w:val="19"/>
              </w:rPr>
            </w:r>
            <w:r>
              <w:rPr>
                <w:rFonts w:ascii="Calibri" w:hAnsi="Calibri"/>
                <w:b/>
                <w:color w:val="0F172A"/>
                <w:sz w:val="19"/>
              </w:rPr>
              <w:t>The Biological / Technological Mismatch:</w:t>
            </w:r>
            <w:r>
              <w:rPr>
                <w:rFonts w:ascii="Calibri" w:hAnsi="Calibri"/>
                <w:color w:val="334155"/>
                <w:sz w:val="19"/>
              </w:rPr>
              <w:t xml:space="preserve"> Digital enterprise software has evolved at exponential speeds, but human neurobiology remains unchanged. The scientifically proven Screen Inferiority Effect, coupled with high rates of Digital Eye Strain (69%) and cognitive load disruption, ensures that screens remain suboptimal for deep analytical reasoning with dense text.</w:t>
            </w:r>
          </w:p>
          <w:p>
            <w:pPr>
              <w:spacing w:before="20" w:after="60" w:line="276" w:lineRule="auto"/>
            </w:pPr>
            <w:r>
              <w:rPr>
                <w:rFonts w:ascii="Calibri" w:hAnsi="Calibri"/>
                <w:color w:val="334155"/>
                <w:sz w:val="19"/>
              </w:rPr>
            </w:r>
            <w:r>
              <w:rPr>
                <w:rFonts w:ascii="Calibri" w:hAnsi="Calibri"/>
                <w:b/>
                <w:color w:val="0F172A"/>
                <w:sz w:val="19"/>
              </w:rPr>
              <w:t>The Role of Paper:</w:t>
            </w:r>
            <w:r>
              <w:rPr>
                <w:rFonts w:ascii="Calibri" w:hAnsi="Calibri"/>
                <w:color w:val="334155"/>
                <w:sz w:val="19"/>
              </w:rPr>
              <w:t xml:space="preserve"> Physical documents remain an indispensable cognitive prosthesis for deep comprehension, multi-document spatial cross-referencing, and statutory legal enforceability.</w:t>
            </w:r>
          </w:p>
          <w:p>
            <w:pPr>
              <w:spacing w:before="20" w:after="20" w:line="276" w:lineRule="auto"/>
            </w:pPr>
            <w:r>
              <w:rPr>
                <w:rFonts w:ascii="Calibri" w:hAnsi="Calibri"/>
                <w:color w:val="334155"/>
                <w:sz w:val="19"/>
              </w:rPr>
            </w:r>
            <w:r>
              <w:rPr>
                <w:rFonts w:ascii="Calibri" w:hAnsi="Calibri"/>
                <w:b/>
                <w:color w:val="0F172A"/>
                <w:sz w:val="19"/>
              </w:rPr>
              <w:t>The Path Forward for PDRF:</w:t>
            </w:r>
            <w:r>
              <w:rPr>
                <w:rFonts w:ascii="Calibri" w:hAnsi="Calibri"/>
                <w:color w:val="334155"/>
                <w:sz w:val="19"/>
              </w:rPr>
              <w:t xml:space="preserve"> To deliver true professional value, the Professional Document Reading Framework must treat digital screens and physical documents as co-equal, complementary environments, equipping professionals with the metacognitive tools to seamlessly exploit the distinct advantages of each.</w:t>
            </w:r>
          </w:p>
        </w:tc>
      </w:tr>
    </w:tbl>
    <w:p>
      <w:pPr>
        <w:spacing w:before="0" w:after="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Professional Document Reading Framework (PDRF) Empirical Assessment  •  Transformed Cognitive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2026 Global Study: Digital-Screen vs Physical-Document Dependence | Cognitive Learning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8C96A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C96A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