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Calibri" w:hAnsi="Calibri"/>
          <w:b/>
          <w:color w:val="1A365D"/>
          <w:sz w:val="44"/>
        </w:rPr>
        <w:t>Strategic Commercialization &amp; Enterprise Engagement Report</w:t>
      </w:r>
    </w:p>
    <w:p>
      <w:pPr>
        <w:spacing w:after="240"/>
      </w:pPr>
      <w:r>
        <w:rPr>
          <w:rFonts w:ascii="Calibri" w:hAnsi="Calibri"/>
          <w:b/>
          <w:color w:val="3182CE"/>
          <w:sz w:val="26"/>
        </w:rPr>
        <w:t>Universal Cognitive Learning &amp; Information Architecture Transformation Guide: The Haldankar Method</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DOCUMENT METADATA &amp; COGNITIVE LEARNING PROTOCOL</w:t>
            </w:r>
          </w:p>
          <w:p>
            <w:pPr>
              <w:spacing w:before="40" w:after="80"/>
            </w:pPr>
            <w:r>
              <w:rPr>
                <w:rFonts w:ascii="Calibri" w:hAnsi="Calibri"/>
                <w:color w:val="282828"/>
                <w:sz w:val="20"/>
              </w:rPr>
              <w:t>• Target Audience: Haldankar Method Founder, B2B Sales Teams, &amp; Enterprise Financial Executives</w:t>
            </w:r>
          </w:p>
          <w:p>
            <w:pPr>
              <w:spacing w:before="40" w:after="80"/>
            </w:pPr>
            <w:r>
              <w:rPr>
                <w:rFonts w:ascii="Calibri" w:hAnsi="Calibri"/>
                <w:color w:val="282828"/>
                <w:sz w:val="20"/>
              </w:rPr>
              <w:t>• Domain Context: Indian Banking, NBFCs, Credit Rating Agencies, &amp; Investment Research Firms</w:t>
            </w:r>
          </w:p>
          <w:p>
            <w:pPr>
              <w:spacing w:before="40" w:after="80"/>
            </w:pPr>
            <w:r>
              <w:rPr>
                <w:rFonts w:ascii="Calibri" w:hAnsi="Calibri"/>
                <w:color w:val="282828"/>
                <w:sz w:val="20"/>
              </w:rPr>
              <w:t>• Learning Architecture: 9-Step Progressive Conceptual Building (Familiar Idea → Real-Life Scenario → Mechanism → Strategic Purpose → Technical Lexicon → Structural Components → Systemic Relationships → Operational Application → Source-Level Detail)</w:t>
            </w:r>
          </w:p>
          <w:p>
            <w:pPr>
              <w:spacing w:before="40" w:after="80"/>
            </w:pPr>
            <w:r>
              <w:rPr>
                <w:rFonts w:ascii="Calibri" w:hAnsi="Calibri"/>
                <w:color w:val="282828"/>
                <w:sz w:val="20"/>
              </w:rPr>
              <w:t>• Source Completeness Guarantee: 100% preservation of all technical concepts, original text, metadata type tags (Types A, B, C, D, E), timelines, pricing figures, compliance laws (DPDP Act 2023, RBI IT Governance), curriculum levels, practical exercise rubrics, tables, and readiness scores.</w:t>
            </w:r>
          </w:p>
        </w:tc>
      </w:tr>
    </w:tbl>
    <w:p>
      <w:pPr>
        <w:spacing w:after="80"/>
      </w:pPr>
    </w:p>
    <w:p>
      <w:pPr>
        <w:spacing w:before="240" w:after="120"/>
      </w:pPr>
      <w:r>
        <w:rPr>
          <w:rFonts w:ascii="Calibri" w:hAnsi="Calibri"/>
          <w:b/>
          <w:color w:val="1A365D"/>
          <w:sz w:val="32"/>
        </w:rPr>
        <w:t>Master Table of Contents &amp; Learning Roadmap</w:t>
      </w:r>
    </w:p>
    <w:p>
      <w:pPr>
        <w:spacing w:before="20" w:after="40"/>
      </w:pPr>
      <w:r>
        <w:rPr>
          <w:rFonts w:ascii="Calibri" w:hAnsi="Calibri"/>
          <w:color w:val="4A5568"/>
          <w:sz w:val="19"/>
        </w:rPr>
        <w:t>• PART 1: Executive Assessment                    • PART 2: What Is Already Established</w:t>
      </w:r>
    </w:p>
    <w:p>
      <w:pPr>
        <w:spacing w:before="20" w:after="40"/>
      </w:pPr>
      <w:r>
        <w:rPr>
          <w:rFonts w:ascii="Calibri" w:hAnsi="Calibri"/>
          <w:color w:val="4A5568"/>
          <w:sz w:val="19"/>
        </w:rPr>
        <w:t>• PART 3: What Is Not Yet Established             • PART 4: What Business Is This Actually In?</w:t>
      </w:r>
    </w:p>
    <w:p>
      <w:pPr>
        <w:spacing w:before="20" w:after="40"/>
      </w:pPr>
      <w:r>
        <w:rPr>
          <w:rFonts w:ascii="Calibri" w:hAnsi="Calibri"/>
          <w:color w:val="4A5568"/>
          <w:sz w:val="19"/>
        </w:rPr>
        <w:t>• PART 5: Target Customer Segments                • PART 6: Buyer Roles and Decision-Makers</w:t>
      </w:r>
    </w:p>
    <w:p>
      <w:pPr>
        <w:spacing w:before="20" w:after="40"/>
      </w:pPr>
      <w:r>
        <w:rPr>
          <w:rFonts w:ascii="Calibri" w:hAnsi="Calibri"/>
          <w:color w:val="4A5568"/>
          <w:sz w:val="19"/>
        </w:rPr>
        <w:t>• PART 7: Professional Language Guide             • PART 8: Communication</w:t>
      </w:r>
    </w:p>
    <w:p>
      <w:pPr>
        <w:spacing w:before="20" w:after="40"/>
      </w:pPr>
      <w:r>
        <w:rPr>
          <w:rFonts w:ascii="Calibri" w:hAnsi="Calibri"/>
          <w:color w:val="4A5568"/>
          <w:sz w:val="19"/>
        </w:rPr>
        <w:t>• PART 9: Sales Process                           • PART 10: Discovery</w:t>
      </w:r>
    </w:p>
    <w:p>
      <w:pPr>
        <w:spacing w:before="20" w:after="40"/>
      </w:pPr>
      <w:r>
        <w:rPr>
          <w:rFonts w:ascii="Calibri" w:hAnsi="Calibri"/>
          <w:color w:val="4A5568"/>
          <w:sz w:val="19"/>
        </w:rPr>
        <w:t>• PART 11: Demonstration                          • PART 12: Pilot Projects</w:t>
      </w:r>
    </w:p>
    <w:p>
      <w:pPr>
        <w:spacing w:before="20" w:after="40"/>
      </w:pPr>
      <w:r>
        <w:rPr>
          <w:rFonts w:ascii="Calibri" w:hAnsi="Calibri"/>
          <w:color w:val="4A5568"/>
          <w:sz w:val="19"/>
        </w:rPr>
        <w:t>• PART 13: Pricing                                • PART 14: Proposal</w:t>
      </w:r>
    </w:p>
    <w:p>
      <w:pPr>
        <w:spacing w:before="20" w:after="40"/>
      </w:pPr>
      <w:r>
        <w:rPr>
          <w:rFonts w:ascii="Calibri" w:hAnsi="Calibri"/>
          <w:color w:val="4A5568"/>
          <w:sz w:val="19"/>
        </w:rPr>
        <w:t>• PART 15: Procurement                            • PART 16: Contracts and Risk</w:t>
      </w:r>
    </w:p>
    <w:p>
      <w:pPr>
        <w:spacing w:before="20" w:after="40"/>
      </w:pPr>
      <w:r>
        <w:rPr>
          <w:rFonts w:ascii="Calibri" w:hAnsi="Calibri"/>
          <w:color w:val="4A5568"/>
          <w:sz w:val="19"/>
        </w:rPr>
        <w:t>• PART 17: Data Security                          • PART 18: Objections</w:t>
      </w:r>
    </w:p>
    <w:p>
      <w:pPr>
        <w:spacing w:before="20" w:after="40"/>
      </w:pPr>
      <w:r>
        <w:rPr>
          <w:rFonts w:ascii="Calibri" w:hAnsi="Calibri"/>
          <w:color w:val="4A5568"/>
          <w:sz w:val="19"/>
        </w:rPr>
        <w:t>• PART 19: Negotiation                            • PART 20: Competitive Landscape</w:t>
      </w:r>
    </w:p>
    <w:p>
      <w:pPr>
        <w:spacing w:before="20" w:after="40"/>
      </w:pPr>
      <w:r>
        <w:rPr>
          <w:rFonts w:ascii="Calibri" w:hAnsi="Calibri"/>
          <w:color w:val="4A5568"/>
          <w:sz w:val="19"/>
        </w:rPr>
        <w:t>• PART 21: Market Research                        • PART 22: First Client Strategy</w:t>
      </w:r>
    </w:p>
    <w:p>
      <w:pPr>
        <w:spacing w:before="20" w:after="40"/>
      </w:pPr>
      <w:r>
        <w:rPr>
          <w:rFonts w:ascii="Calibri" w:hAnsi="Calibri"/>
          <w:color w:val="4A5568"/>
          <w:sz w:val="19"/>
        </w:rPr>
        <w:t>• PART 23: 90-Day Commercial Plan                 • PART 24: Founder Learning Curriculum</w:t>
      </w:r>
    </w:p>
    <w:p>
      <w:pPr>
        <w:spacing w:before="20" w:after="40"/>
      </w:pPr>
      <w:r>
        <w:rPr>
          <w:rFonts w:ascii="Calibri" w:hAnsi="Calibri"/>
          <w:color w:val="4A5568"/>
          <w:sz w:val="19"/>
        </w:rPr>
        <w:t>• PART 25: Practical Exercises                    • PART 26: Business Vocabulary</w:t>
      </w:r>
    </w:p>
    <w:p>
      <w:pPr>
        <w:spacing w:before="20" w:after="40"/>
      </w:pPr>
      <w:r>
        <w:rPr>
          <w:rFonts w:ascii="Calibri" w:hAnsi="Calibri"/>
          <w:color w:val="4A5568"/>
          <w:sz w:val="19"/>
        </w:rPr>
        <w:t>• PART 27: Communication Library                  • PART 28: Beginner Mistakes</w:t>
      </w:r>
    </w:p>
    <w:p>
      <w:pPr>
        <w:spacing w:before="20" w:after="40"/>
      </w:pPr>
      <w:r>
        <w:rPr>
          <w:rFonts w:ascii="Calibri" w:hAnsi="Calibri"/>
          <w:color w:val="4A5568"/>
          <w:sz w:val="19"/>
        </w:rPr>
        <w:t>• PART 29: Hard Truths                            • PART 30: Commercial Readiness Score</w:t>
      </w:r>
    </w:p>
    <w:p>
      <w:pPr>
        <w:spacing w:after="240"/>
      </w:pPr>
    </w:p>
    <w:p>
      <w:pPr>
        <w:spacing w:before="320" w:after="120"/>
      </w:pPr>
      <w:r>
        <w:rPr>
          <w:rFonts w:ascii="Calibri" w:hAnsi="Calibri"/>
          <w:b/>
          <w:color w:val="1A365D"/>
          <w:sz w:val="32"/>
        </w:rPr>
        <w:t>PART 1 — Executive Assessment</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Imagine trying to read a critical medical prescription written in faint, messy handwriting versus a clean, color-coded electronic prescription where life-threatening dosage warnings are highlighted in bold red boxes. The medical knowledge is identical in both cases, but the clear presentation prevents fatal medical errors.</w:t>
            </w:r>
          </w:p>
          <w:p>
            <w:pPr>
              <w:spacing w:before="40" w:after="80"/>
            </w:pPr>
            <w:r>
              <w:rPr>
                <w:rFonts w:ascii="Calibri" w:hAnsi="Calibri"/>
                <w:color w:val="282828"/>
                <w:sz w:val="20"/>
              </w:rPr>
              <w:t>Real-World Business Scenario: A senior credit officer at a Mumbai NBFC receives a 120-page Credit Appraisal Memo (CAM) at 11:00 PM. Hidden on page 84 in standard 10pt font is a footnoted regulatory non-compliance penalty. Due to eye fatigue and dense, uniform formatting, the officer misses it and approves a ₹50 Crore loan. Three months later, the loan defaults, costing the firm millions.</w:t>
            </w:r>
          </w:p>
        </w:tc>
      </w:tr>
    </w:tbl>
    <w:p>
      <w:pPr>
        <w:spacing w:after="80"/>
      </w:pPr>
    </w:p>
    <w:p>
      <w:pPr>
        <w:spacing w:before="80" w:after="80"/>
      </w:pPr>
      <w:r>
        <w:rPr>
          <w:b/>
          <w:color w:val="2B6CB0"/>
        </w:rPr>
        <w:t xml:space="preserve">⚙️ Step 3 — Mechanism &amp; Operational Inner Workings: </w:t>
      </w:r>
      <w:r>
        <w:rPr>
          <w:rFonts w:ascii="Calibri" w:hAnsi="Calibri"/>
          <w:sz w:val="21"/>
        </w:rPr>
        <w:t>Information representation operates by establishing standard visual rules that map directly to the semantic meaning of data. Instead of relying on random aesthetic design choices, visual elements (spacing, hierarchy, typography) are calibrated deterministically to guide human eye scanning patterns directly to high-risk variables.</w:t>
      </w:r>
    </w:p>
    <w:p>
      <w:pPr>
        <w:spacing w:before="80" w:after="80"/>
      </w:pPr>
      <w:r>
        <w:rPr>
          <w:b/>
          <w:color w:val="2B6CB0"/>
        </w:rPr>
        <w:t xml:space="preserve">🎯 Step 4 — Strategic Purpose &amp; Problem Solved: </w:t>
      </w:r>
      <w:r>
        <w:rPr>
          <w:rFonts w:ascii="Calibri" w:hAnsi="Calibri"/>
          <w:sz w:val="21"/>
        </w:rPr>
        <w:t>Financial institutions do not purchase subjective aesthetics or 'better reading conditions.' They buy risk reduction, faster transaction turnaround times, and strict regulatory compliance. The assessment shifts the core value narrative from human factors to quantifiable operational risk mitigation.</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Haldankar Method: </w:t>
      </w:r>
      <w:r>
        <w:rPr>
          <w:rFonts w:ascii="Calibri" w:hAnsi="Calibri"/>
          <w:sz w:val="20"/>
        </w:rPr>
        <w:t>A proprietary framework for visual and structural information engineering.</w:t>
      </w:r>
    </w:p>
    <w:p>
      <w:pPr>
        <w:spacing w:before="20" w:after="40"/>
        <w:ind w:left="288"/>
      </w:pPr>
      <w:r>
        <w:rPr>
          <w:rFonts w:ascii="Calibri" w:hAnsi="Calibri"/>
          <w:b/>
          <w:sz w:val="20"/>
        </w:rPr>
        <w:t xml:space="preserve">• Contextual Information Representation System (CIRF): </w:t>
      </w:r>
      <w:r>
        <w:rPr>
          <w:rFonts w:ascii="Calibri" w:hAnsi="Calibri"/>
          <w:sz w:val="20"/>
        </w:rPr>
        <w:t>A systematic, domain-specific visual language that visually encodes semantic meaning within financial documentation.</w:t>
      </w:r>
    </w:p>
    <w:p>
      <w:pPr>
        <w:spacing w:before="20" w:after="40"/>
        <w:ind w:left="288"/>
      </w:pPr>
      <w:r>
        <w:rPr>
          <w:rFonts w:ascii="Calibri" w:hAnsi="Calibri"/>
          <w:b/>
          <w:sz w:val="20"/>
        </w:rPr>
        <w:t xml:space="preserve">• Operational Risk Mitigation: </w:t>
      </w:r>
      <w:r>
        <w:rPr>
          <w:rFonts w:ascii="Calibri" w:hAnsi="Calibri"/>
          <w:sz w:val="20"/>
        </w:rPr>
        <w:t>Preventing monetary loss caused by human processing errors or delays in dense data workflows.</w:t>
      </w:r>
    </w:p>
    <w:p>
      <w:pPr>
        <w:spacing w:before="120" w:after="40"/>
      </w:pPr>
      <w:r>
        <w:rPr>
          <w:b/>
          <w:color w:val="2B6CB0"/>
          <w:sz w:val="22"/>
        </w:rPr>
        <w:t>🏗️ Step 6 — Detailed Structure &amp; System Components:</w:t>
      </w:r>
    </w:p>
    <w:p>
      <w:pPr>
        <w:spacing w:before="20" w:after="40"/>
        <w:ind w:left="288"/>
      </w:pPr>
      <w:r>
        <w:rPr>
          <w:rFonts w:ascii="Calibri" w:hAnsi="Calibri"/>
          <w:sz w:val="20"/>
        </w:rPr>
        <w:t>▪ Core Intellectual Asset: Contextual Information Representation System (CIRF).</w:t>
      </w:r>
    </w:p>
    <w:p>
      <w:pPr>
        <w:spacing w:before="20" w:after="40"/>
        <w:ind w:left="288"/>
      </w:pPr>
      <w:r>
        <w:rPr>
          <w:rFonts w:ascii="Calibri" w:hAnsi="Calibri"/>
          <w:sz w:val="20"/>
        </w:rPr>
        <w:t>▪ Market Context: Rigid, highly risk-averse Indian enterprise financial market.</w:t>
      </w:r>
    </w:p>
    <w:p>
      <w:pPr>
        <w:spacing w:before="20" w:after="40"/>
        <w:ind w:left="288"/>
      </w:pPr>
      <w:r>
        <w:rPr>
          <w:rFonts w:ascii="Calibri" w:hAnsi="Calibri"/>
          <w:sz w:val="20"/>
        </w:rPr>
        <w:t>▪ Strategic Shift Required: Transitioning from academic typography/human factors to quantifiable financial P&amp;L impact (error reduction, workflow velocity, regulatory compliance).</w:t>
      </w:r>
    </w:p>
    <w:p>
      <w:pPr>
        <w:spacing w:before="80" w:after="80"/>
      </w:pPr>
      <w:r>
        <w:rPr>
          <w:b/>
          <w:color w:val="2B6CB0"/>
        </w:rPr>
        <w:t xml:space="preserve">🔗 Step 7 — Relationships &amp; Systemic Connections: </w:t>
      </w:r>
      <w:r>
        <w:rPr>
          <w:rFonts w:ascii="Calibri" w:hAnsi="Calibri"/>
          <w:sz w:val="21"/>
        </w:rPr>
        <w:t>Connects directly to Service 01 (theoretical grounding), Service 02 (Python transformation engine), and Service 03 (enterprise CIRF rulebook deployment).</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To sell this system to Indian financial institutions, you must pitch faster transaction velocity and error prevention to COOs, not typography or reading comfort.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Strategic Commercialization and Enterprise Engagement Report: The Haldankar Method</w:t>
              <w:br/>
              <w:t>PART 1 — Executive Assessment</w:t>
              <w:br/>
              <w:t>The business opportunity presented by the Haldankar Method, specifically the Contextual Information Representation System (CIRF), represents a highly sophisticated intellectual asset attempting to enter a rigid, risk-averse corporate market. Based on expert evaluation (Type: C - Expert Inference), the core proposition—that information should be represented according to its semantic meaning within a specific business environment rather than generic design principles—is profoundly valuable. However, the commercial execution currently lacks the enterprise-grade mechanics required for survival.</w:t>
              <w:br/>
              <w:t>The transition from a conceptual framework to a monetizable professional service requires translating cognitive efficiency into quantifiable financial metrics. Financial institutions do not purchase "better reading conditions"; they purchase error reduction, faster transaction processing, and regulatory compliance. The business opportunity is exceptionally viable, but only if the narrative shifts entirely from typography and human factors to operational risk mitigation and workflow velocity (Type: D - Your recommendation).</w:t>
            </w:r>
          </w:p>
        </w:tc>
      </w:tr>
    </w:tbl>
    <w:p>
      <w:pPr>
        <w:spacing w:after="80"/>
      </w:pPr>
    </w:p>
    <w:p>
      <w:pPr>
        <w:spacing w:before="320" w:after="120"/>
      </w:pPr>
      <w:r>
        <w:rPr>
          <w:rFonts w:ascii="Calibri" w:hAnsi="Calibri"/>
          <w:b/>
          <w:color w:val="1A365D"/>
          <w:sz w:val="32"/>
        </w:rPr>
        <w:t>PART 2 — What Is Already Established</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Think of a modern skyscraper: first, architects create structural physics research; second, engineers build precise automated steel fabrication tools; third, construction managers establish building codes for city zones. All three stages are supported by proven engineering principles.</w:t>
            </w:r>
          </w:p>
          <w:p>
            <w:pPr>
              <w:spacing w:before="40" w:after="80"/>
            </w:pPr>
            <w:r>
              <w:rPr>
                <w:rFonts w:ascii="Calibri" w:hAnsi="Calibri"/>
                <w:color w:val="282828"/>
                <w:sz w:val="20"/>
              </w:rPr>
              <w:t>Real-World Business Scenario: A commercial bank uses Python software to instantly transform unformatted raw credit summaries into structured documents following standard visual rules, ensuring every analyst reads regulatory risks in the exact same visual location.</w:t>
            </w:r>
          </w:p>
        </w:tc>
      </w:tr>
    </w:tbl>
    <w:p>
      <w:pPr>
        <w:spacing w:after="80"/>
      </w:pPr>
    </w:p>
    <w:p>
      <w:pPr>
        <w:spacing w:before="80" w:after="80"/>
      </w:pPr>
      <w:r>
        <w:rPr>
          <w:b/>
          <w:color w:val="2B6CB0"/>
        </w:rPr>
        <w:t xml:space="preserve">⚙️ Step 3 — Mechanism &amp; Operational Inner Workings: </w:t>
      </w:r>
      <w:r>
        <w:rPr>
          <w:rFonts w:ascii="Calibri" w:hAnsi="Calibri"/>
          <w:sz w:val="21"/>
        </w:rPr>
        <w:t>The intellectual architecture builds progressively from foundational cognitive research, through an automated deterministic Python engine, up to organizational-level semantic language standardization.</w:t>
      </w:r>
    </w:p>
    <w:p>
      <w:pPr>
        <w:spacing w:before="80" w:after="80"/>
      </w:pPr>
      <w:r>
        <w:rPr>
          <w:b/>
          <w:color w:val="2B6CB0"/>
        </w:rPr>
        <w:t xml:space="preserve">🎯 Step 4 — Strategic Purpose &amp; Problem Solved: </w:t>
      </w:r>
      <w:r>
        <w:rPr>
          <w:rFonts w:ascii="Calibri" w:hAnsi="Calibri"/>
          <w:sz w:val="21"/>
        </w:rPr>
        <w:t>To provide a mathematically rigid, hallucination-free foundation for document transformation that guarantees zero modification of underlying data while optimizing human comprehension speed.</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Service 01 (Knowledge Sharing): </w:t>
      </w:r>
      <w:r>
        <w:rPr>
          <w:rFonts w:ascii="Calibri" w:hAnsi="Calibri"/>
          <w:sz w:val="20"/>
        </w:rPr>
        <w:t>Educational foundation explaining visual perception and cognitive load theory.</w:t>
      </w:r>
    </w:p>
    <w:p>
      <w:pPr>
        <w:spacing w:before="20" w:after="40"/>
        <w:ind w:left="288"/>
      </w:pPr>
      <w:r>
        <w:rPr>
          <w:rFonts w:ascii="Calibri" w:hAnsi="Calibri"/>
          <w:b/>
          <w:sz w:val="20"/>
        </w:rPr>
        <w:t xml:space="preserve">• Service 02 (Professional Document Transformation): </w:t>
      </w:r>
      <w:r>
        <w:rPr>
          <w:rFonts w:ascii="Calibri" w:hAnsi="Calibri"/>
          <w:sz w:val="20"/>
        </w:rPr>
        <w:t>A deterministic, Python-based engine applying predefined structural rules without AI hallucinations.</w:t>
      </w:r>
    </w:p>
    <w:p>
      <w:pPr>
        <w:spacing w:before="20" w:after="40"/>
        <w:ind w:left="288"/>
      </w:pPr>
      <w:r>
        <w:rPr>
          <w:rFonts w:ascii="Calibri" w:hAnsi="Calibri"/>
          <w:b/>
          <w:sz w:val="20"/>
        </w:rPr>
        <w:t xml:space="preserve">• Service 03 (CIRF): </w:t>
      </w:r>
      <w:r>
        <w:rPr>
          <w:rFonts w:ascii="Calibri" w:hAnsi="Calibri"/>
          <w:sz w:val="20"/>
        </w:rPr>
        <w:t>Primary commercial offering establishing business-unit-specific semantic visual language.</w:t>
      </w:r>
    </w:p>
    <w:p>
      <w:pPr>
        <w:spacing w:before="20" w:after="40"/>
        <w:ind w:left="288"/>
      </w:pPr>
      <w:r>
        <w:rPr>
          <w:rFonts w:ascii="Calibri" w:hAnsi="Calibri"/>
          <w:b/>
          <w:sz w:val="20"/>
        </w:rPr>
        <w:t xml:space="preserve">• Architecture of a Decision: </w:t>
      </w:r>
      <w:r>
        <w:rPr>
          <w:rFonts w:ascii="Calibri" w:hAnsi="Calibri"/>
          <w:sz w:val="20"/>
        </w:rPr>
        <w:t>Philosophical framework governing control, boundaries, and preemptive error prevention.</w:t>
      </w:r>
    </w:p>
    <w:p>
      <w:pPr>
        <w:spacing w:before="120" w:after="40"/>
      </w:pPr>
      <w:r>
        <w:rPr>
          <w:b/>
          <w:color w:val="2B6CB0"/>
          <w:sz w:val="22"/>
        </w:rPr>
        <w:t>🏗️ Step 6 — Detailed Structure &amp; System Components:</w:t>
      </w:r>
    </w:p>
    <w:p>
      <w:pPr>
        <w:spacing w:before="20" w:after="40"/>
        <w:ind w:left="288"/>
      </w:pPr>
      <w:r>
        <w:rPr>
          <w:rFonts w:ascii="Calibri" w:hAnsi="Calibri"/>
          <w:sz w:val="20"/>
        </w:rPr>
        <w:t>▪ 1. Service 01: Human interaction &amp; cognitive load theoretical underpinning.</w:t>
      </w:r>
    </w:p>
    <w:p>
      <w:pPr>
        <w:spacing w:before="20" w:after="40"/>
        <w:ind w:left="288"/>
      </w:pPr>
      <w:r>
        <w:rPr>
          <w:rFonts w:ascii="Calibri" w:hAnsi="Calibri"/>
          <w:sz w:val="20"/>
        </w:rPr>
        <w:t>▪ 2. Service 02: Deterministic Python execution engine (zero data altering).</w:t>
      </w:r>
    </w:p>
    <w:p>
      <w:pPr>
        <w:spacing w:before="20" w:after="40"/>
        <w:ind w:left="288"/>
      </w:pPr>
      <w:r>
        <w:rPr>
          <w:rFonts w:ascii="Calibri" w:hAnsi="Calibri"/>
          <w:sz w:val="20"/>
        </w:rPr>
        <w:t>▪ 3. Service 03: Organizational CIRF semantic visual language.</w:t>
      </w:r>
    </w:p>
    <w:p>
      <w:pPr>
        <w:spacing w:before="20" w:after="40"/>
        <w:ind w:left="288"/>
      </w:pPr>
      <w:r>
        <w:rPr>
          <w:rFonts w:ascii="Calibri" w:hAnsi="Calibri"/>
          <w:sz w:val="20"/>
        </w:rPr>
        <w:t>▪ 4. Conceptual Frameworks: Preemptive problem-solving and boundary management.</w:t>
      </w:r>
    </w:p>
    <w:p>
      <w:pPr>
        <w:spacing w:before="20" w:after="40"/>
        <w:ind w:left="288"/>
      </w:pPr>
      <w:r>
        <w:rPr>
          <w:rFonts w:ascii="Calibri" w:hAnsi="Calibri"/>
          <w:sz w:val="20"/>
        </w:rPr>
        <w:t>▪ 5. Cognitive Psychology Research: Proven impact of spatial distribution, visual hierarchy, and typography on speed/comprehension.</w:t>
      </w:r>
    </w:p>
    <w:p>
      <w:pPr>
        <w:spacing w:before="80" w:after="80"/>
      </w:pPr>
      <w:r>
        <w:rPr>
          <w:b/>
          <w:color w:val="2B6CB0"/>
        </w:rPr>
        <w:t xml:space="preserve">🔗 Step 7 — Relationships &amp; Systemic Connections: </w:t>
      </w:r>
      <w:r>
        <w:rPr>
          <w:rFonts w:ascii="Calibri" w:hAnsi="Calibri"/>
          <w:sz w:val="21"/>
        </w:rPr>
        <w:t>Combines cognitive science (Type: A) with custom software (Service 02) and business strategy (Service 03).</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You possess a complete 3-tier product suite (Education -&gt; Transformation Tool -&gt; Enterprise System) backed by scientific fact.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 — What Is Already Established</w:t>
              <w:br/>
              <w:t>An analysis of the foundational documentation reveals a robust intellectual architecture (Type: E - My own source material). The current assets are structured in a logical progression:</w:t>
              <w:br/>
              <w:t>Service 01 (Knowledge Sharing): An educational foundation explaining human interaction with visual information and cognitive load, establishing the theoretical underpinning.</w:t>
              <w:br/>
              <w:t>Service 02 (Professional Document Transformation): A deterministic, Python-based engine that applies predefined structural rules to existing documents without algorithmic hallucinations or subjective design choices.</w:t>
              <w:br/>
              <w:t>Service 03 (CIRF): The primary commercial offering intended for organizational adoption, creating a business-unit-specific semantic language (e.g., standardizing how a regulatory event is visually encoded across a bank).</w:t>
              <w:br/>
              <w:t>Conceptual Frameworks: The "Architecture of a Decision" provides philosophical grounding regarding control, boundaries, and preemptive problem-solving, which heavily informs the methodology's approach to preventing cognitive errors before they occur.</w:t>
              <w:br/>
              <w:t>Cognitive Research Validation: The underlying premise that typography, spatial distribution, and visual hierarchy affect reading speed and comprehension is well-supported by established cognitive psychology research (Type: A - Established fact).</w:t>
            </w:r>
          </w:p>
        </w:tc>
      </w:tr>
    </w:tbl>
    <w:p>
      <w:pPr>
        <w:spacing w:after="80"/>
      </w:pPr>
    </w:p>
    <w:p>
      <w:pPr>
        <w:spacing w:before="320" w:after="120"/>
      </w:pPr>
      <w:r>
        <w:rPr>
          <w:rFonts w:ascii="Calibri" w:hAnsi="Calibri"/>
          <w:b/>
          <w:color w:val="1A365D"/>
          <w:sz w:val="32"/>
        </w:rPr>
        <w:t>PART 3 — What Is Not Yet Established</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Having a high-performance engine in your garage is useless if you don't have license plates, insurance, a legal registration certificate, or a priced ticket to enter a commercial race track.</w:t>
            </w:r>
          </w:p>
          <w:p>
            <w:pPr>
              <w:spacing w:before="40" w:after="80"/>
            </w:pPr>
            <w:r>
              <w:rPr>
                <w:rFonts w:ascii="Calibri" w:hAnsi="Calibri"/>
                <w:color w:val="282828"/>
                <w:sz w:val="20"/>
              </w:rPr>
              <w:t>Real-World Business Scenario: A founder pitches a bank COO. The COO asks: 'How does your software comply with the DPDP Act 2023? What is your enterprise pricing model? What is your vendor onboarding compliance check?' The founder has no answers, so the deal stalls indefinitely.</w:t>
            </w:r>
          </w:p>
        </w:tc>
      </w:tr>
    </w:tbl>
    <w:p>
      <w:pPr>
        <w:spacing w:after="80"/>
      </w:pPr>
    </w:p>
    <w:p>
      <w:pPr>
        <w:spacing w:before="80" w:after="80"/>
      </w:pPr>
      <w:r>
        <w:rPr>
          <w:b/>
          <w:color w:val="2B6CB0"/>
        </w:rPr>
        <w:t xml:space="preserve">⚙️ Step 3 — Mechanism &amp; Operational Inner Workings: </w:t>
      </w:r>
      <w:r>
        <w:rPr>
          <w:rFonts w:ascii="Calibri" w:hAnsi="Calibri"/>
          <w:sz w:val="21"/>
        </w:rPr>
        <w:t>Enterprise sales require operational infrastructure: financial ROI models, compliance certifications, long sales pipeline management, and formal objection handling.</w:t>
      </w:r>
    </w:p>
    <w:p>
      <w:pPr>
        <w:spacing w:before="80" w:after="80"/>
      </w:pPr>
      <w:r>
        <w:rPr>
          <w:b/>
          <w:color w:val="2B6CB0"/>
        </w:rPr>
        <w:t xml:space="preserve">🎯 Step 4 — Strategic Purpose &amp; Problem Solved: </w:t>
      </w:r>
      <w:r>
        <w:rPr>
          <w:rFonts w:ascii="Calibri" w:hAnsi="Calibri"/>
          <w:sz w:val="21"/>
        </w:rPr>
        <w:t>Identifying commercial vulnerabilities so the founder can build corporate-ready sales mechanisms and procurement assets.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B2B Sales Cycle: </w:t>
      </w:r>
      <w:r>
        <w:rPr>
          <w:rFonts w:ascii="Calibri" w:hAnsi="Calibri"/>
          <w:sz w:val="20"/>
        </w:rPr>
        <w:t>The multi-month timeline required for enterprise procurement (84-120 days mid-market, up to 270 days enterprise).</w:t>
      </w:r>
    </w:p>
    <w:p>
      <w:pPr>
        <w:spacing w:before="20" w:after="40"/>
        <w:ind w:left="288"/>
      </w:pPr>
      <w:r>
        <w:rPr>
          <w:rFonts w:ascii="Calibri" w:hAnsi="Calibri"/>
          <w:b/>
          <w:sz w:val="20"/>
        </w:rPr>
        <w:t xml:space="preserve">• DPDP Act 2023: </w:t>
      </w:r>
      <w:r>
        <w:rPr>
          <w:rFonts w:ascii="Calibri" w:hAnsi="Calibri"/>
          <w:sz w:val="20"/>
        </w:rPr>
        <w:t>Digital Personal Data Protection Act of India governing data processing and privacy liability.</w:t>
      </w:r>
    </w:p>
    <w:p>
      <w:pPr>
        <w:spacing w:before="20" w:after="40"/>
        <w:ind w:left="288"/>
      </w:pPr>
      <w:r>
        <w:rPr>
          <w:rFonts w:ascii="Calibri" w:hAnsi="Calibri"/>
          <w:b/>
          <w:sz w:val="20"/>
        </w:rPr>
        <w:t xml:space="preserve">• RBI IT Governance Mandates: </w:t>
      </w:r>
      <w:r>
        <w:rPr>
          <w:rFonts w:ascii="Calibri" w:hAnsi="Calibri"/>
          <w:sz w:val="20"/>
        </w:rPr>
        <w:t>Reserve Bank of India regulatory directives governing third-party vendor IT security and auditability.</w:t>
      </w:r>
    </w:p>
    <w:p>
      <w:pPr>
        <w:spacing w:before="120" w:after="40"/>
      </w:pPr>
      <w:r>
        <w:rPr>
          <w:b/>
          <w:color w:val="2B6CB0"/>
          <w:sz w:val="22"/>
        </w:rPr>
        <w:t>🏗️ Step 6 — Detailed Structure &amp; System Components:</w:t>
      </w:r>
    </w:p>
    <w:p>
      <w:pPr>
        <w:spacing w:before="20" w:after="40"/>
        <w:ind w:left="288"/>
      </w:pPr>
      <w:r>
        <w:rPr>
          <w:rFonts w:ascii="Calibri" w:hAnsi="Calibri"/>
          <w:sz w:val="20"/>
        </w:rPr>
        <w:t>▪ 1. Value Proposition Gap: Absence of P&amp;L-linked financial return metrics.</w:t>
      </w:r>
    </w:p>
    <w:p>
      <w:pPr>
        <w:spacing w:before="20" w:after="40"/>
        <w:ind w:left="288"/>
      </w:pPr>
      <w:r>
        <w:rPr>
          <w:rFonts w:ascii="Calibri" w:hAnsi="Calibri"/>
          <w:sz w:val="20"/>
        </w:rPr>
        <w:t>▪ 2. Sales Velocity Gap: Misalignment with 84-120 day mid-market and 270 day enterprise timelines.</w:t>
      </w:r>
    </w:p>
    <w:p>
      <w:pPr>
        <w:spacing w:before="20" w:after="40"/>
        <w:ind w:left="288"/>
      </w:pPr>
      <w:r>
        <w:rPr>
          <w:rFonts w:ascii="Calibri" w:hAnsi="Calibri"/>
          <w:sz w:val="20"/>
        </w:rPr>
        <w:t>▪ 3. Procurement Gap: Lack of DPDP Act 2023 &amp; RBI IT Governance compliance frameworks.</w:t>
      </w:r>
    </w:p>
    <w:p>
      <w:pPr>
        <w:spacing w:before="20" w:after="40"/>
        <w:ind w:left="288"/>
      </w:pPr>
      <w:r>
        <w:rPr>
          <w:rFonts w:ascii="Calibri" w:hAnsi="Calibri"/>
          <w:sz w:val="20"/>
        </w:rPr>
        <w:t>▪ 4. Commercial Packaging Gap: Missing structured pricing methodology and CISO/COO objection matrices.</w:t>
      </w:r>
    </w:p>
    <w:p>
      <w:pPr>
        <w:spacing w:before="80" w:after="80"/>
      </w:pPr>
      <w:r>
        <w:rPr>
          <w:b/>
          <w:color w:val="2B6CB0"/>
        </w:rPr>
        <w:t xml:space="preserve">🔗 Step 7 — Relationships &amp; Systemic Connections: </w:t>
      </w:r>
      <w:r>
        <w:rPr>
          <w:rFonts w:ascii="Calibri" w:hAnsi="Calibri"/>
          <w:sz w:val="21"/>
        </w:rPr>
        <w:t>Bridges the gap between technical execution (Part 2) and commercial market entry (Parts 8-17).</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Before pitching Mumbai financial institutions, you must build enterprise procurement and compliance readiness.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3 — What Is Not Yet Established</w:t>
              <w:br/>
              <w:t>The commercial gaps are significant and require immediate remediation for the founder to operate credibly in the Mumbai B2B market (Type: C - Expert Inference). The enterprise currently lacks a quantifiable value proposition tied to corporate profit-and-loss statements. Furthermore, there is a profound absence of understanding regarding B2B sales cycles, which typically span 84 to 120 days for mid-market engagements and up to 270 days for enterprise deals.</w:t>
              <w:br/>
              <w:t>The structural readiness for procurement is virtually non-existent, specifically regarding vendor onboarding, compliance with the Digital Personal Data Protection (DPDP) Act of 2023, and Reserve Bank of India (RBI) IT Governance mandates. Finally, the service lacks a structured pricing methodology aligned with Indian consulting benchmarks, and a robust objection-handling matrix designed for skeptical Chief Operating Officers (COOs) and Chief Information Security Officers (CISOs).</w:t>
            </w:r>
          </w:p>
        </w:tc>
      </w:tr>
    </w:tbl>
    <w:p>
      <w:pPr>
        <w:spacing w:after="80"/>
      </w:pPr>
    </w:p>
    <w:p>
      <w:pPr>
        <w:spacing w:before="320" w:after="120"/>
      </w:pPr>
      <w:r>
        <w:rPr>
          <w:rFonts w:ascii="Calibri" w:hAnsi="Calibri"/>
          <w:b/>
          <w:color w:val="1A365D"/>
          <w:sz w:val="32"/>
        </w:rPr>
        <w:t>PART 4 — What Business Is This Actually In?</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An airport runway light system is not in the business of 'pretty lighting'; it is in the business of landing planes safely without catastrophic crashes.</w:t>
            </w:r>
          </w:p>
          <w:p>
            <w:pPr>
              <w:spacing w:before="40" w:after="80"/>
            </w:pPr>
            <w:r>
              <w:rPr>
                <w:rFonts w:ascii="Calibri" w:hAnsi="Calibri"/>
                <w:color w:val="282828"/>
                <w:sz w:val="20"/>
              </w:rPr>
              <w:t>Real-World Business Scenario: When an investment firm evaluates a ₹100 Crore corporate acquisition, executives review complex financial reports. A visual misinterpretation of debt metrics delays sign-off by 48 hours, causing them to lose the deal to a competitor. CIRF accelerates their decision speed.</w:t>
            </w:r>
          </w:p>
        </w:tc>
      </w:tr>
    </w:tbl>
    <w:p>
      <w:pPr>
        <w:spacing w:after="80"/>
      </w:pPr>
    </w:p>
    <w:p>
      <w:pPr>
        <w:spacing w:before="80" w:after="80"/>
      </w:pPr>
      <w:r>
        <w:rPr>
          <w:b/>
          <w:color w:val="2B6CB0"/>
        </w:rPr>
        <w:t xml:space="preserve">⚙️ Step 3 — Mechanism &amp; Operational Inner Workings: </w:t>
      </w:r>
      <w:r>
        <w:rPr>
          <w:rFonts w:ascii="Calibri" w:hAnsi="Calibri"/>
          <w:sz w:val="21"/>
        </w:rPr>
        <w:t>By standardizing semantic representation across documents, information visual noise is eliminated, reducing cognitive latency (reading processing time) and preventing executive oversight.</w:t>
      </w:r>
    </w:p>
    <w:p>
      <w:pPr>
        <w:spacing w:before="80" w:after="80"/>
      </w:pPr>
      <w:r>
        <w:rPr>
          <w:b/>
          <w:color w:val="2B6CB0"/>
        </w:rPr>
        <w:t xml:space="preserve">🎯 Step 4 — Strategic Purpose &amp; Problem Solved: </w:t>
      </w:r>
      <w:r>
        <w:rPr>
          <w:rFonts w:ascii="Calibri" w:hAnsi="Calibri"/>
          <w:sz w:val="21"/>
        </w:rPr>
        <w:t>Positioning the service as high-value executive decision acceleration rather than low-value graphic design or administrative document formatting.</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Decision-Support Information Architecture: </w:t>
      </w:r>
      <w:r>
        <w:rPr>
          <w:rFonts w:ascii="Calibri" w:hAnsi="Calibri"/>
          <w:sz w:val="20"/>
        </w:rPr>
        <w:t>The structural design of complex data to optimize speed, accuracy, and clarity in high-stakes decision-making.</w:t>
      </w:r>
    </w:p>
    <w:p>
      <w:pPr>
        <w:spacing w:before="20" w:after="40"/>
        <w:ind w:left="288"/>
      </w:pPr>
      <w:r>
        <w:rPr>
          <w:rFonts w:ascii="Calibri" w:hAnsi="Calibri"/>
          <w:b/>
          <w:sz w:val="20"/>
        </w:rPr>
        <w:t xml:space="preserve">• Cognitive Latency: </w:t>
      </w:r>
      <w:r>
        <w:rPr>
          <w:rFonts w:ascii="Calibri" w:hAnsi="Calibri"/>
          <w:sz w:val="20"/>
        </w:rPr>
        <w:t>The delay in human mental processing caused by visually unorganized or ambiguous information presentation.</w:t>
      </w:r>
    </w:p>
    <w:p>
      <w:pPr>
        <w:spacing w:before="120" w:after="40"/>
      </w:pPr>
      <w:r>
        <w:rPr>
          <w:b/>
          <w:color w:val="2B6CB0"/>
          <w:sz w:val="22"/>
        </w:rPr>
        <w:t>🏗️ Step 6 — Detailed Structure &amp; System Components:</w:t>
      </w:r>
    </w:p>
    <w:p>
      <w:pPr>
        <w:spacing w:before="20" w:after="40"/>
        <w:ind w:left="288"/>
      </w:pPr>
      <w:r>
        <w:rPr>
          <w:rFonts w:ascii="Calibri" w:hAnsi="Calibri"/>
          <w:sz w:val="20"/>
        </w:rPr>
        <w:t>▪ Incorrect Categorization: Graphic design, document formatting, typography optimization.</w:t>
      </w:r>
    </w:p>
    <w:p>
      <w:pPr>
        <w:spacing w:before="20" w:after="40"/>
        <w:ind w:left="288"/>
      </w:pPr>
      <w:r>
        <w:rPr>
          <w:rFonts w:ascii="Calibri" w:hAnsi="Calibri"/>
          <w:sz w:val="20"/>
        </w:rPr>
        <w:t>▪ True Categorization: Decision-Support Information Architecture.</w:t>
      </w:r>
    </w:p>
    <w:p>
      <w:pPr>
        <w:spacing w:before="20" w:after="40"/>
        <w:ind w:left="288"/>
      </w:pPr>
      <w:r>
        <w:rPr>
          <w:rFonts w:ascii="Calibri" w:hAnsi="Calibri"/>
          <w:sz w:val="20"/>
        </w:rPr>
        <w:t>▪ Core Value Delivered: Elimination of cognitive delay, mitigation of operational risk, acceleration of high-stakes executive decisions.</w:t>
      </w:r>
    </w:p>
    <w:p>
      <w:pPr>
        <w:spacing w:before="80" w:after="80"/>
      </w:pPr>
      <w:r>
        <w:rPr>
          <w:b/>
          <w:color w:val="2B6CB0"/>
        </w:rPr>
        <w:t xml:space="preserve">🔗 Step 7 — Relationships &amp; Systemic Connections: </w:t>
      </w:r>
      <w:r>
        <w:rPr>
          <w:rFonts w:ascii="Calibri" w:hAnsi="Calibri"/>
          <w:sz w:val="21"/>
        </w:rPr>
        <w:t>Re-frames Part 1 Executive Assessment into the core marketing and sales positioning of Part 7 and Part 11.</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Never describe your offering as document design; sell executive decision acceleration and operational risk reduction.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4 — What Business Is This Actually In?</w:t>
              <w:br/>
              <w:t>The strongest commercial interpretation of CIRF is not "document formatting," "typography optimization," or "graphic design" (Type: D - Your recommendation). The actual business is Decision-Support Information Architecture.</w:t>
              <w:br/>
              <w:t>When a multi-million rupee loan is approved, or an equity trade is executed, the decision relies on dense financial documentation. If the representation of that information causes a cognitive delay or a misinterpretation, the organization loses money or assumes uncalculated risk. The methodology standardizes information representation so that semantic meaning is instantly recognizable, thereby reducing cognitive latency and mitigating operational risk. The business ultimately sells the acceleration of accurate executive and operational decision-making.</w:t>
            </w:r>
          </w:p>
        </w:tc>
      </w:tr>
    </w:tbl>
    <w:p>
      <w:pPr>
        <w:spacing w:after="80"/>
      </w:pPr>
    </w:p>
    <w:p>
      <w:pPr>
        <w:spacing w:before="320" w:after="120"/>
      </w:pPr>
      <w:r>
        <w:rPr>
          <w:rFonts w:ascii="Calibri" w:hAnsi="Calibri"/>
          <w:b/>
          <w:color w:val="1A365D"/>
          <w:sz w:val="32"/>
        </w:rPr>
        <w:t>PART 5 — Target Customer Segments</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If you invent a high-speed emergency blood-testing device, you don't sell it to wellness spas first—you target hospital Emergency Rooms where seconds save lives and budgets are allocated for critical care.</w:t>
            </w:r>
          </w:p>
          <w:p>
            <w:pPr>
              <w:spacing w:before="40" w:after="80"/>
            </w:pPr>
            <w:r>
              <w:rPr>
                <w:rFonts w:ascii="Calibri" w:hAnsi="Calibri"/>
                <w:color w:val="282828"/>
                <w:sz w:val="20"/>
              </w:rPr>
              <w:t>Real-World Business Scenario: A Mumbai NBFC processes 500 Credit Appraisal Memos (CAMs) per week to disburse commercial loans. Slow document review directly limits their loan origination revenue. They are the ideal first customer.</w:t>
            </w:r>
          </w:p>
        </w:tc>
      </w:tr>
    </w:tbl>
    <w:p>
      <w:pPr>
        <w:spacing w:after="80"/>
      </w:pPr>
    </w:p>
    <w:p>
      <w:pPr>
        <w:spacing w:before="80" w:after="80"/>
      </w:pPr>
      <w:r>
        <w:rPr>
          <w:b/>
          <w:color w:val="2B6CB0"/>
        </w:rPr>
        <w:t xml:space="preserve">⚙️ Step 3 — Mechanism &amp; Operational Inner Workings: </w:t>
      </w:r>
      <w:r>
        <w:rPr>
          <w:rFonts w:ascii="Calibri" w:hAnsi="Calibri"/>
          <w:sz w:val="21"/>
        </w:rPr>
        <w:t>Customer prioritization ranks target industries by document density, decision urgency, financial capacity for pilot programs, and regulatory pressure.</w:t>
      </w:r>
    </w:p>
    <w:p>
      <w:pPr>
        <w:spacing w:before="80" w:after="80"/>
      </w:pPr>
      <w:r>
        <w:rPr>
          <w:b/>
          <w:color w:val="2B6CB0"/>
        </w:rPr>
        <w:t xml:space="preserve">🎯 Step 4 — Strategic Purpose &amp; Problem Solved: </w:t>
      </w:r>
      <w:r>
        <w:rPr>
          <w:rFonts w:ascii="Calibri" w:hAnsi="Calibri"/>
          <w:sz w:val="21"/>
        </w:rPr>
        <w:t>Focusing limited startup sales resources on high-probability buyers with immediate document processing pain.</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Non-Banking Financial Companies (NBFCs): </w:t>
      </w:r>
      <w:r>
        <w:rPr>
          <w:rFonts w:ascii="Calibri" w:hAnsi="Calibri"/>
          <w:sz w:val="20"/>
        </w:rPr>
        <w:t>Financial institutions providing banking services without holding a full banking license.</w:t>
      </w:r>
    </w:p>
    <w:p>
      <w:pPr>
        <w:spacing w:before="20" w:after="40"/>
        <w:ind w:left="288"/>
      </w:pPr>
      <w:r>
        <w:rPr>
          <w:rFonts w:ascii="Calibri" w:hAnsi="Calibri"/>
          <w:b/>
          <w:sz w:val="20"/>
        </w:rPr>
        <w:t xml:space="preserve">• Credit Appraisal Memo (CAM): </w:t>
      </w:r>
      <w:r>
        <w:rPr>
          <w:rFonts w:ascii="Calibri" w:hAnsi="Calibri"/>
          <w:sz w:val="20"/>
        </w:rPr>
        <w:t>Primary financial document evaluating borrower creditworthiness, risk metrics, and loan repayment capacity.</w:t>
      </w:r>
    </w:p>
    <w:p>
      <w:pPr>
        <w:spacing w:before="120" w:after="40"/>
      </w:pPr>
      <w:r>
        <w:rPr>
          <w:b/>
          <w:color w:val="2B6CB0"/>
          <w:sz w:val="22"/>
        </w:rPr>
        <w:t>🏗️ Step 6 — Detailed Structure &amp; System Components:</w:t>
      </w:r>
    </w:p>
    <w:p>
      <w:pPr>
        <w:spacing w:before="20" w:after="40"/>
        <w:ind w:left="288"/>
      </w:pPr>
      <w:r>
        <w:rPr>
          <w:rFonts w:ascii="Calibri" w:hAnsi="Calibri"/>
          <w:sz w:val="20"/>
        </w:rPr>
        <w:t>▪ Rank 1: Credit Rating Agencies &amp; NBFCs (High complexity, High urgency, Very High probability of problem, 90-150 day sales cycle).</w:t>
      </w:r>
    </w:p>
    <w:p>
      <w:pPr>
        <w:spacing w:before="20" w:after="40"/>
        <w:ind w:left="288"/>
      </w:pPr>
      <w:r>
        <w:rPr>
          <w:rFonts w:ascii="Calibri" w:hAnsi="Calibri"/>
          <w:sz w:val="20"/>
        </w:rPr>
        <w:t>▪ Rank 2: Investment Research Firms (High complexity, Medium urgency, Very High probability, 60-120 day sales cycle).</w:t>
      </w:r>
    </w:p>
    <w:p>
      <w:pPr>
        <w:spacing w:before="20" w:after="40"/>
        <w:ind w:left="288"/>
      </w:pPr>
      <w:r>
        <w:rPr>
          <w:rFonts w:ascii="Calibri" w:hAnsi="Calibri"/>
          <w:sz w:val="20"/>
        </w:rPr>
        <w:t>▪ Rank 3: Corporate Strategy Teams (Medium complexity, Medium urgency, High probability, 90-120 day sales cycle).</w:t>
      </w:r>
    </w:p>
    <w:p>
      <w:pPr>
        <w:spacing w:before="20" w:after="40"/>
        <w:ind w:left="288"/>
      </w:pPr>
      <w:r>
        <w:rPr>
          <w:rFonts w:ascii="Calibri" w:hAnsi="Calibri"/>
          <w:sz w:val="20"/>
        </w:rPr>
        <w:t>▪ Rank 4: Tier-1 Commercial Banks (Very High complexity, High urgency, Very High probability, 180-270 day sales cycle).</w:t>
      </w:r>
    </w:p>
    <w:p>
      <w:pPr>
        <w:spacing w:before="20" w:after="40"/>
        <w:ind w:left="288"/>
      </w:pPr>
      <w:r>
        <w:rPr>
          <w:rFonts w:ascii="Calibri" w:hAnsi="Calibri"/>
          <w:sz w:val="20"/>
        </w:rPr>
        <w:t>▪ Rank 5: General Consulting Firms (Medium complexity, Low urgency, Medium probability, 60-90 day sales cycle).</w:t>
      </w:r>
    </w:p>
    <w:p>
      <w:pPr>
        <w:spacing w:before="80" w:after="80"/>
      </w:pPr>
      <w:r>
        <w:rPr>
          <w:b/>
          <w:color w:val="2B6CB0"/>
        </w:rPr>
        <w:t xml:space="preserve">🔗 Step 7 — Relationships &amp; Systemic Connections: </w:t>
      </w:r>
      <w:r>
        <w:rPr>
          <w:rFonts w:ascii="Calibri" w:hAnsi="Calibri"/>
          <w:sz w:val="21"/>
        </w:rPr>
        <w:t>Establishes market target priorities for the Sales Process (Part 9) and First Client Strategy (Part 22).</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Target mid-market NBFCs and investment research firms first; save Tier-1 commercial banks for later due to long procurement timelines.</w:t>
            </w:r>
          </w:p>
        </w:tc>
      </w:tr>
    </w:tbl>
    <w:p>
      <w:pPr>
        <w:spacing w:after="80"/>
      </w:pP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Rank</w:t>
            </w:r>
          </w:p>
        </w:tc>
        <w:tc>
          <w:tcPr>
            <w:tcW w:type="dxa" w:w="1656"/>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Organization Type</w:t>
            </w:r>
          </w:p>
        </w:tc>
        <w:tc>
          <w:tcPr>
            <w:tcW w:type="dxa" w:w="1656"/>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Decision Complexity</w:t>
            </w:r>
          </w:p>
        </w:tc>
        <w:tc>
          <w:tcPr>
            <w:tcW w:type="dxa" w:w="1656"/>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Urgency</w:t>
            </w:r>
          </w:p>
        </w:tc>
        <w:tc>
          <w:tcPr>
            <w:tcW w:type="dxa" w:w="1656"/>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Probability of Problem</w:t>
            </w:r>
          </w:p>
        </w:tc>
        <w:tc>
          <w:tcPr>
            <w:tcW w:type="dxa" w:w="1656"/>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Sales Cycle Length</w:t>
            </w:r>
          </w:p>
        </w:tc>
      </w:tr>
      <w:tr>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1</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Credit Rating Agencies &amp; NBFCs</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High (Credit Appraisals)</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High</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Very High</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90 - 150 days</w:t>
            </w:r>
          </w:p>
        </w:tc>
      </w:tr>
      <w:tr>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2</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Investment Research Firms</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High (Equity Reports)</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Medium</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Very High</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60 - 120 days</w:t>
            </w:r>
          </w:p>
        </w:tc>
      </w:tr>
      <w:tr>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3</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Corporate Strategy Teams</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Medium (M&amp;A Memos)</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Medium</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High</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90 - 120 days</w:t>
            </w:r>
          </w:p>
        </w:tc>
      </w:tr>
      <w:tr>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4</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Tier-1 Commercial Banks</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Very High</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High</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Very High</w:t>
            </w:r>
          </w:p>
        </w:tc>
        <w:tc>
          <w:tcPr>
            <w:tcW w:type="dxa" w:w="1656"/>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180 - 270 days</w:t>
            </w:r>
          </w:p>
        </w:tc>
      </w:tr>
      <w:tr>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5</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General Consulting Firms</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Medium</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Low</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Medium</w:t>
            </w:r>
          </w:p>
        </w:tc>
        <w:tc>
          <w:tcPr>
            <w:tcW w:type="dxa" w:w="1656"/>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60 - 90 days</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5 — Target Customer Segments</w:t>
              <w:br/>
              <w:t>To acquire initial market traction, customer segments must be ranked by their reliance on dense information, urgency of accurate decision-making, ability to fund pilot projects, and regulatory scrutiny (Type: C - Expert Inference).</w:t>
              <w:br/>
              <w:t>Non-Banking Financial Companies (NBFCs) and investment research firms represent the optimal initial targets. They process massive volumes of Credit Appraisal Memos (CAMs) and equity research reports, where processing speed directly impacts revenue generation.</w:t>
              <w:br/>
              <w:br/>
              <w:t>Table 1 — Target Customer Segment Rankings</w:t>
              <w:br/>
              <w:t>Rank | Organization Type | Decision Complexity | Urgency | Probability of Problem | Sales Cycle Length</w:t>
              <w:br/>
              <w:t>1 | Credit Rating Agencies &amp; NBFCs | High (Credit Appraisals) | High | Very High | 90 - 150 days</w:t>
              <w:br/>
              <w:t>2 | Investment Research Firms | High (Equity Reports) | Medium | Very High | 60 - 120 days</w:t>
              <w:br/>
              <w:t>3 | Corporate Strategy Teams | Medium (M&amp;A Memos) | Medium | High | 90 - 120 days</w:t>
              <w:br/>
              <w:t>4 | Tier-1 Commercial Banks | Very High | High | Very High | 180 - 270 days</w:t>
              <w:br/>
              <w:t>5 | General Consulting Firms | Medium | Low | Medium | 60 - 90 days</w:t>
            </w:r>
          </w:p>
        </w:tc>
      </w:tr>
    </w:tbl>
    <w:p>
      <w:pPr>
        <w:spacing w:after="80"/>
      </w:pPr>
    </w:p>
    <w:p>
      <w:pPr>
        <w:spacing w:before="320" w:after="120"/>
      </w:pPr>
      <w:r>
        <w:rPr>
          <w:rFonts w:ascii="Calibri" w:hAnsi="Calibri"/>
          <w:b/>
          <w:color w:val="1A365D"/>
          <w:sz w:val="32"/>
        </w:rPr>
        <w:t>PART 6 — Buyer Roles and Decision-Makers</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Buying a house involves multiple decision-makers: the buyer who signs the check, the family member who wants the layout, and the home inspector who can kill the deal if the foundation has cracks.</w:t>
            </w:r>
          </w:p>
          <w:p>
            <w:pPr>
              <w:spacing w:before="40" w:after="80"/>
            </w:pPr>
            <w:r>
              <w:rPr>
                <w:rFonts w:ascii="Calibri" w:hAnsi="Calibri"/>
                <w:color w:val="282828"/>
                <w:sz w:val="20"/>
              </w:rPr>
              <w:t>Real-World Business Scenario: At a financial firm, the Head of Credit (Champion) loves CIRF. But the Chief Information Security Officer (CISO) blocks the deal because they fear data leaks under RBI rules. You must manage all stakeholders.</w:t>
            </w:r>
          </w:p>
        </w:tc>
      </w:tr>
    </w:tbl>
    <w:p>
      <w:pPr>
        <w:spacing w:after="80"/>
      </w:pPr>
    </w:p>
    <w:p>
      <w:pPr>
        <w:spacing w:before="80" w:after="80"/>
      </w:pPr>
      <w:r>
        <w:rPr>
          <w:b/>
          <w:color w:val="2B6CB0"/>
        </w:rPr>
        <w:t xml:space="preserve">⚙️ Step 3 — Mechanism &amp; Operational Inner Workings: </w:t>
      </w:r>
      <w:r>
        <w:rPr>
          <w:rFonts w:ascii="Calibri" w:hAnsi="Calibri"/>
          <w:sz w:val="21"/>
        </w:rPr>
        <w:t>Enterprise procurement relies on a committee structure averaging 6.8 to 11.2 individuals with distinct operational motivations and veto powers.</w:t>
      </w:r>
    </w:p>
    <w:p>
      <w:pPr>
        <w:spacing w:before="80" w:after="80"/>
      </w:pPr>
      <w:r>
        <w:rPr>
          <w:b/>
          <w:color w:val="2B6CB0"/>
        </w:rPr>
        <w:t xml:space="preserve">🎯 Step 4 — Strategic Purpose &amp; Problem Solved: </w:t>
      </w:r>
      <w:r>
        <w:rPr>
          <w:rFonts w:ascii="Calibri" w:hAnsi="Calibri"/>
          <w:sz w:val="21"/>
        </w:rPr>
        <w:t>Navigating corporate governance to secure pilot funding while preventing technical or compliance vetoes.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Economic Buyer: </w:t>
      </w:r>
      <w:r>
        <w:rPr>
          <w:rFonts w:ascii="Calibri" w:hAnsi="Calibri"/>
          <w:sz w:val="20"/>
        </w:rPr>
        <w:t>The executive (COO/Head of Operations) controlling budget sign-off, seeking turnaround speed and error reduction.</w:t>
      </w:r>
    </w:p>
    <w:p>
      <w:pPr>
        <w:spacing w:before="20" w:after="40"/>
        <w:ind w:left="288"/>
      </w:pPr>
      <w:r>
        <w:rPr>
          <w:rFonts w:ascii="Calibri" w:hAnsi="Calibri"/>
          <w:b/>
          <w:sz w:val="20"/>
        </w:rPr>
        <w:t xml:space="preserve">• Champion: </w:t>
      </w:r>
      <w:r>
        <w:rPr>
          <w:rFonts w:ascii="Calibri" w:hAnsi="Calibri"/>
          <w:sz w:val="20"/>
        </w:rPr>
        <w:t>The internal leader (Head of Research/Credit Underwriting) experiencing daily operational pain who advocates for the solution.</w:t>
      </w:r>
    </w:p>
    <w:p>
      <w:pPr>
        <w:spacing w:before="20" w:after="40"/>
        <w:ind w:left="288"/>
      </w:pPr>
      <w:r>
        <w:rPr>
          <w:rFonts w:ascii="Calibri" w:hAnsi="Calibri"/>
          <w:b/>
          <w:sz w:val="20"/>
        </w:rPr>
        <w:t xml:space="preserve">• Veto Power: </w:t>
      </w:r>
      <w:r>
        <w:rPr>
          <w:rFonts w:ascii="Calibri" w:hAnsi="Calibri"/>
          <w:sz w:val="20"/>
        </w:rPr>
        <w:t>Stakeholders (CRO/CISO) concerned strictly with data privacy, security, and regulatory compliance who can block deals.</w:t>
      </w:r>
    </w:p>
    <w:p>
      <w:pPr>
        <w:spacing w:before="20" w:after="40"/>
        <w:ind w:left="288"/>
      </w:pPr>
      <w:r>
        <w:rPr>
          <w:rFonts w:ascii="Calibri" w:hAnsi="Calibri"/>
          <w:b/>
          <w:sz w:val="20"/>
        </w:rPr>
        <w:t xml:space="preserve">• End User: </w:t>
      </w:r>
      <w:r>
        <w:rPr>
          <w:rFonts w:ascii="Calibri" w:hAnsi="Calibri"/>
          <w:sz w:val="20"/>
        </w:rPr>
        <w:t>Analysts and researchers who execute daily workflows with transformed documents.</w:t>
      </w:r>
    </w:p>
    <w:p>
      <w:pPr>
        <w:spacing w:before="120" w:after="40"/>
      </w:pPr>
      <w:r>
        <w:rPr>
          <w:b/>
          <w:color w:val="2B6CB0"/>
          <w:sz w:val="22"/>
        </w:rPr>
        <w:t>🏗️ Step 6 — Detailed Structure &amp; System Components:</w:t>
      </w:r>
    </w:p>
    <w:p>
      <w:pPr>
        <w:spacing w:before="20" w:after="40"/>
        <w:ind w:left="288"/>
      </w:pPr>
      <w:r>
        <w:rPr>
          <w:rFonts w:ascii="Calibri" w:hAnsi="Calibri"/>
          <w:sz w:val="20"/>
        </w:rPr>
        <w:t>▪ Buying Committee Size: 6.8 to 11.2 individuals (Type: A - Established fact).</w:t>
      </w:r>
    </w:p>
    <w:p>
      <w:pPr>
        <w:spacing w:before="20" w:after="40"/>
        <w:ind w:left="288"/>
      </w:pPr>
      <w:r>
        <w:rPr>
          <w:rFonts w:ascii="Calibri" w:hAnsi="Calibri"/>
          <w:sz w:val="20"/>
        </w:rPr>
        <w:t>▪ Economic Buyer: COO / Head of Operations (Budget holder, focuses on operational efficiency).</w:t>
      </w:r>
    </w:p>
    <w:p>
      <w:pPr>
        <w:spacing w:before="20" w:after="40"/>
        <w:ind w:left="288"/>
      </w:pPr>
      <w:r>
        <w:rPr>
          <w:rFonts w:ascii="Calibri" w:hAnsi="Calibri"/>
          <w:sz w:val="20"/>
        </w:rPr>
        <w:t>▪ Champion: Head of Research / Credit Underwriting (Internal advocate, experiences document friction daily).</w:t>
      </w:r>
    </w:p>
    <w:p>
      <w:pPr>
        <w:spacing w:before="20" w:after="40"/>
        <w:ind w:left="288"/>
      </w:pPr>
      <w:r>
        <w:rPr>
          <w:rFonts w:ascii="Calibri" w:hAnsi="Calibri"/>
          <w:sz w:val="20"/>
        </w:rPr>
        <w:t>▪ Veto Power: CRO / CISO (Data security, RBI compliance, DPDP Act adherence).</w:t>
      </w:r>
    </w:p>
    <w:p>
      <w:pPr>
        <w:spacing w:before="20" w:after="40"/>
        <w:ind w:left="288"/>
      </w:pPr>
      <w:r>
        <w:rPr>
          <w:rFonts w:ascii="Calibri" w:hAnsi="Calibri"/>
          <w:sz w:val="20"/>
        </w:rPr>
        <w:t>▪ End User: Credit Analysts / Equity Researchers.</w:t>
      </w:r>
    </w:p>
    <w:p>
      <w:pPr>
        <w:spacing w:before="20" w:after="40"/>
        <w:ind w:left="288"/>
      </w:pPr>
      <w:r>
        <w:rPr>
          <w:rFonts w:ascii="Calibri" w:hAnsi="Calibri"/>
          <w:sz w:val="20"/>
        </w:rPr>
        <w:t>▪ Outreach Sequence: Champion (validate pain) -&gt; Economic Buyer (secure pilot budget) -&gt; CISO/CRO (pass compliance checks).</w:t>
      </w:r>
    </w:p>
    <w:p>
      <w:pPr>
        <w:spacing w:before="80" w:after="80"/>
      </w:pPr>
      <w:r>
        <w:rPr>
          <w:b/>
          <w:color w:val="2B6CB0"/>
        </w:rPr>
        <w:t xml:space="preserve">🔗 Step 7 — Relationships &amp; Systemic Connections: </w:t>
      </w:r>
      <w:r>
        <w:rPr>
          <w:rFonts w:ascii="Calibri" w:hAnsi="Calibri"/>
          <w:sz w:val="21"/>
        </w:rPr>
        <w:t>Directly informs the Communication Strategy (Part 8), Discovery (Part 10), and Procurement (Part 15).</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Start by engaging the Champion to validate workflow pain, then immediately pitch the COO for budget while satisfying CISO security requirements.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6 — Buyer Roles and Decision-Makers</w:t>
              <w:br/>
              <w:t>Approaching an organization requires navigating a complex buying committee, which averages 6.8 to 11.2 individuals in modern B2B transactions (Type: A - Established fact).</w:t>
              <w:br/>
              <w:t>The economic buyer is typically the Chief Operating Officer (COO) or Head of Operations. This individual controls the budget and cares about operational efficiency, turnaround times, and error reduction. This is the primary target for initial funding. The champion is often the Head of Research or Head of Credit Underwriting. This individual experiences the pain of inefficient documents daily and will advocate for the methodology internally.</w:t>
              <w:br/>
              <w:t>The veto power lies with the Chief Risk Officer (CRO) or Chief Information Security Officer (CISO). They do not buy the service, but they can block it. Their sole concern is data security, RBI compliance, and DPDP Act adherence. Finally, the end user is the credit analyst or equity researcher. Outreach must begin with the champion to validate the specific workflow friction, followed rapidly by engaging the economic buyer to secure pilot funding.</w:t>
            </w:r>
          </w:p>
        </w:tc>
      </w:tr>
    </w:tbl>
    <w:p>
      <w:pPr>
        <w:spacing w:after="80"/>
      </w:pPr>
    </w:p>
    <w:p>
      <w:pPr>
        <w:spacing w:before="320" w:after="120"/>
      </w:pPr>
      <w:r>
        <w:rPr>
          <w:rFonts w:ascii="Calibri" w:hAnsi="Calibri"/>
          <w:b/>
          <w:color w:val="1A365D"/>
          <w:sz w:val="32"/>
        </w:rPr>
        <w:t>PART 7 — Professional Language Guide</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If a carpenter talks about 'banging pieces of wood together,' they sound like an amateur. If they talk about 'precision structural joinery and load-bearing timber frame construction,' they sound like a master builder.</w:t>
            </w:r>
          </w:p>
          <w:p>
            <w:pPr>
              <w:spacing w:before="40" w:after="80"/>
            </w:pPr>
            <w:r>
              <w:rPr>
                <w:rFonts w:ascii="Calibri" w:hAnsi="Calibri"/>
                <w:color w:val="282828"/>
                <w:sz w:val="20"/>
              </w:rPr>
              <w:t>Real-World Business Scenario: When speaking to an NBFC COO, saying 'we fix your font sizes and make your reports look pretty' gets you dismissed immediately. Saying 'we engineer decision-support information architecture to reduce workflow latency' gets you an executive proposal meeting.</w:t>
            </w:r>
          </w:p>
        </w:tc>
      </w:tr>
    </w:tbl>
    <w:p>
      <w:pPr>
        <w:spacing w:after="80"/>
      </w:pPr>
    </w:p>
    <w:p>
      <w:pPr>
        <w:spacing w:before="80" w:after="80"/>
      </w:pPr>
      <w:r>
        <w:rPr>
          <w:b/>
          <w:color w:val="2B6CB0"/>
        </w:rPr>
        <w:t xml:space="preserve">⚙️ Step 3 — Mechanism &amp; Operational Inner Workings: </w:t>
      </w:r>
      <w:r>
        <w:rPr>
          <w:rFonts w:ascii="Calibri" w:hAnsi="Calibri"/>
          <w:sz w:val="21"/>
        </w:rPr>
        <w:t>Lexicon transformation replaces subjective aesthetic terms with objective corporate metrics that map directly to balance sheet impact.</w:t>
      </w:r>
    </w:p>
    <w:p>
      <w:pPr>
        <w:spacing w:before="80" w:after="80"/>
      </w:pPr>
      <w:r>
        <w:rPr>
          <w:b/>
          <w:color w:val="2B6CB0"/>
        </w:rPr>
        <w:t xml:space="preserve">🎯 Step 4 — Strategic Purpose &amp; Problem Solved: </w:t>
      </w:r>
      <w:r>
        <w:rPr>
          <w:rFonts w:ascii="Calibri" w:hAnsi="Calibri"/>
          <w:sz w:val="21"/>
        </w:rPr>
        <w:t>Establishing immediate executive authority and boardroom credibility during high-stakes corporate sales engagements.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Information Architecture: </w:t>
      </w:r>
      <w:r>
        <w:rPr>
          <w:rFonts w:ascii="Calibri" w:hAnsi="Calibri"/>
          <w:sz w:val="20"/>
        </w:rPr>
        <w:t>Structural engineering of visual data systems.</w:t>
      </w:r>
    </w:p>
    <w:p>
      <w:pPr>
        <w:spacing w:before="20" w:after="40"/>
        <w:ind w:left="288"/>
      </w:pPr>
      <w:r>
        <w:rPr>
          <w:rFonts w:ascii="Calibri" w:hAnsi="Calibri"/>
          <w:b/>
          <w:sz w:val="20"/>
        </w:rPr>
        <w:t xml:space="preserve">• Semantic Representation: </w:t>
      </w:r>
      <w:r>
        <w:rPr>
          <w:rFonts w:ascii="Calibri" w:hAnsi="Calibri"/>
          <w:sz w:val="20"/>
        </w:rPr>
        <w:t>Visual encoding determined strictly by underlying business meaning.</w:t>
      </w:r>
    </w:p>
    <w:p>
      <w:pPr>
        <w:spacing w:before="20" w:after="40"/>
        <w:ind w:left="288"/>
      </w:pPr>
      <w:r>
        <w:rPr>
          <w:rFonts w:ascii="Calibri" w:hAnsi="Calibri"/>
          <w:b/>
          <w:sz w:val="20"/>
        </w:rPr>
        <w:t xml:space="preserve">• Decision-Support Framework: </w:t>
      </w:r>
      <w:r>
        <w:rPr>
          <w:rFonts w:ascii="Calibri" w:hAnsi="Calibri"/>
          <w:sz w:val="20"/>
        </w:rPr>
        <w:t>Information presentation designed specifically for executive evaluation.</w:t>
      </w:r>
    </w:p>
    <w:p>
      <w:pPr>
        <w:spacing w:before="120" w:after="40"/>
      </w:pPr>
      <w:r>
        <w:rPr>
          <w:b/>
          <w:color w:val="2B6CB0"/>
          <w:sz w:val="22"/>
        </w:rPr>
        <w:t>🏗️ Step 6 — Detailed Structure &amp; System Components:</w:t>
      </w:r>
    </w:p>
    <w:p>
      <w:pPr>
        <w:spacing w:before="20" w:after="40"/>
        <w:ind w:left="288"/>
      </w:pPr>
      <w:r>
        <w:rPr>
          <w:rFonts w:ascii="Calibri" w:hAnsi="Calibri"/>
          <w:sz w:val="20"/>
        </w:rPr>
        <w:t>▪ 1. Document Formatting -&gt; Information Architecture</w:t>
      </w:r>
    </w:p>
    <w:p>
      <w:pPr>
        <w:spacing w:before="20" w:after="40"/>
        <w:ind w:left="288"/>
      </w:pPr>
      <w:r>
        <w:rPr>
          <w:rFonts w:ascii="Calibri" w:hAnsi="Calibri"/>
          <w:sz w:val="20"/>
        </w:rPr>
        <w:t>▪ 2. Font Size / Typography -&gt; Semantic Representation</w:t>
      </w:r>
    </w:p>
    <w:p>
      <w:pPr>
        <w:spacing w:before="20" w:after="40"/>
        <w:ind w:left="288"/>
      </w:pPr>
      <w:r>
        <w:rPr>
          <w:rFonts w:ascii="Calibri" w:hAnsi="Calibri"/>
          <w:sz w:val="20"/>
        </w:rPr>
        <w:t>▪ 3. Professional Reading -&gt; Decision-Support Framework</w:t>
      </w:r>
    </w:p>
    <w:p>
      <w:pPr>
        <w:spacing w:before="20" w:after="40"/>
        <w:ind w:left="288"/>
      </w:pPr>
      <w:r>
        <w:rPr>
          <w:rFonts w:ascii="Calibri" w:hAnsi="Calibri"/>
          <w:sz w:val="20"/>
        </w:rPr>
        <w:t>▪ 4. Cognitive Load -&gt; Workflow Friction / Latency</w:t>
      </w:r>
    </w:p>
    <w:p>
      <w:pPr>
        <w:spacing w:before="20" w:after="40"/>
        <w:ind w:left="288"/>
      </w:pPr>
      <w:r>
        <w:rPr>
          <w:rFonts w:ascii="Calibri" w:hAnsi="Calibri"/>
          <w:sz w:val="20"/>
        </w:rPr>
        <w:t>▪ 5. Beautiful / Clean -&gt; Deterministic / Standardized</w:t>
      </w:r>
    </w:p>
    <w:p>
      <w:pPr>
        <w:spacing w:before="80" w:after="80"/>
      </w:pPr>
      <w:r>
        <w:rPr>
          <w:b/>
          <w:color w:val="2B6CB0"/>
        </w:rPr>
        <w:t xml:space="preserve">🔗 Step 7 — Relationships &amp; Systemic Connections: </w:t>
      </w:r>
      <w:r>
        <w:rPr>
          <w:rFonts w:ascii="Calibri" w:hAnsi="Calibri"/>
          <w:sz w:val="21"/>
        </w:rPr>
        <w:t>Translates Part 1 Executive Assessment into the specific sales vocabulary used in Parts 8-11.</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Adopt enterprise consulting language in all emails, pitch decks, proposals, and corporate interactions.</w:t>
            </w:r>
          </w:p>
        </w:tc>
      </w:tr>
    </w:tbl>
    <w:p>
      <w:pPr>
        <w:spacing w:after="80"/>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Term to Avoid</w:t>
            </w:r>
          </w:p>
        </w:tc>
        <w:tc>
          <w:tcPr>
            <w:tcW w:type="dxa" w:w="2484"/>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Why it Sounds Amateur</w:t>
            </w:r>
          </w:p>
        </w:tc>
        <w:tc>
          <w:tcPr>
            <w:tcW w:type="dxa" w:w="2484"/>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Professional Replacement</w:t>
            </w:r>
          </w:p>
        </w:tc>
        <w:tc>
          <w:tcPr>
            <w:tcW w:type="dxa" w:w="2484"/>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Why it Works</w:t>
            </w:r>
          </w:p>
        </w:tc>
      </w:tr>
      <w:tr>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Document Formatting</w:t>
            </w:r>
          </w:p>
        </w:tc>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Implies administrative or secretarial work.</w:t>
            </w:r>
          </w:p>
        </w:tc>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Information Architecture</w:t>
            </w:r>
          </w:p>
        </w:tc>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Implies structural engineering of data.</w:t>
            </w:r>
          </w:p>
        </w:tc>
      </w:tr>
      <w:tr>
        <w:tc>
          <w:tcPr>
            <w:tcW w:type="dxa" w:w="2484"/>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Font Size / Typography</w:t>
            </w:r>
          </w:p>
        </w:tc>
        <w:tc>
          <w:tcPr>
            <w:tcW w:type="dxa" w:w="2484"/>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Sounds like graphic design or aesthetics.</w:t>
            </w:r>
          </w:p>
        </w:tc>
        <w:tc>
          <w:tcPr>
            <w:tcW w:type="dxa" w:w="2484"/>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Semantic Representation</w:t>
            </w:r>
          </w:p>
        </w:tc>
        <w:tc>
          <w:tcPr>
            <w:tcW w:type="dxa" w:w="2484"/>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Focuses on meaning and encoding.</w:t>
            </w:r>
          </w:p>
        </w:tc>
      </w:tr>
      <w:tr>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Professional Reading</w:t>
            </w:r>
          </w:p>
        </w:tc>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Sounds academic and disconnected from profit.</w:t>
            </w:r>
          </w:p>
        </w:tc>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Decision-Support Framework</w:t>
            </w:r>
          </w:p>
        </w:tc>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Connects directly to executive outcomes.</w:t>
            </w:r>
          </w:p>
        </w:tc>
      </w:tr>
      <w:tr>
        <w:tc>
          <w:tcPr>
            <w:tcW w:type="dxa" w:w="2484"/>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Cognitive Load</w:t>
            </w:r>
          </w:p>
        </w:tc>
        <w:tc>
          <w:tcPr>
            <w:tcW w:type="dxa" w:w="2484"/>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Too psychological for financial buyers.</w:t>
            </w:r>
          </w:p>
        </w:tc>
        <w:tc>
          <w:tcPr>
            <w:tcW w:type="dxa" w:w="2484"/>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Workflow Friction / Latency</w:t>
            </w:r>
          </w:p>
        </w:tc>
        <w:tc>
          <w:tcPr>
            <w:tcW w:type="dxa" w:w="2484"/>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Translates psychology into operational time loss.</w:t>
            </w:r>
          </w:p>
        </w:tc>
      </w:tr>
      <w:tr>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Beautiful / Clean</w:t>
            </w:r>
          </w:p>
        </w:tc>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Subjective and unscientific.</w:t>
            </w:r>
          </w:p>
        </w:tc>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Deterministic / Standardized</w:t>
            </w:r>
          </w:p>
        </w:tc>
        <w:tc>
          <w:tcPr>
            <w:tcW w:type="dxa" w:w="2484"/>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Implies rigorous, rule-based reliability.</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7 — Professional Language Guide</w:t>
              <w:br/>
              <w:t>To establish credibility, the terminology utilized must shift from academic theory to corporate value realization (Type: D - Your recommendation). Using the correct lexicon signals that the service provider belongs in the boardroom.</w:t>
              <w:br/>
              <w:br/>
              <w:t>Table 2 — Professional Lexicon Transformation Guide</w:t>
              <w:br/>
              <w:t>Term to Avoid | Why it Sounds Amateur | Professional Replacement | Why it Works</w:t>
              <w:br/>
              <w:t>Document Formatting | Implies administrative or secretarial work. | Information Architecture | Implies structural engineering of data.</w:t>
              <w:br/>
              <w:t>Font Size / Typography | Sounds like graphic design or aesthetics. | Semantic Representation | Focuses on meaning and encoding.</w:t>
              <w:br/>
              <w:t>Professional Reading | Sounds academic and disconnected from profit. | Decision-Support Framework | Connects directly to executive outcomes.</w:t>
              <w:br/>
              <w:t>Cognitive Load | Too psychological for financial buyers. | Workflow Friction / Latency | Translates psychology into operational time loss.</w:t>
              <w:br/>
              <w:t>Beautiful / Clean | Subjective and unscientific. | Deterministic / Standardized | Implies rigorous, rule-based reliability.</w:t>
            </w:r>
          </w:p>
        </w:tc>
      </w:tr>
    </w:tbl>
    <w:p>
      <w:pPr>
        <w:spacing w:after="80"/>
      </w:pPr>
    </w:p>
    <w:p>
      <w:pPr>
        <w:spacing w:before="320" w:after="120"/>
      </w:pPr>
      <w:r>
        <w:rPr>
          <w:rFonts w:ascii="Calibri" w:hAnsi="Calibri"/>
          <w:b/>
          <w:color w:val="1A365D"/>
          <w:sz w:val="32"/>
        </w:rPr>
        <w:t>PART 8 — Communication</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great invitation card gives clear event details, respects your time, and asks for a simple yes/no response, rather than sending a 10-page dense brochure demanding a 2-hour meeting.</w:t>
            </w:r>
          </w:p>
          <w:p>
            <w:pPr>
              <w:spacing w:before="40" w:after="80"/>
            </w:pPr>
            <w:r>
              <w:rPr>
                <w:rFonts w:ascii="Calibri" w:hAnsi="Calibri"/>
                <w:color w:val="282828"/>
                <w:sz w:val="20"/>
              </w:rPr>
              <w:t>Real-World Business Scenario: A cold email sent to an NBFC Underwriting Head states: 'Most underwriting teams lose hours extracting risk variables from unstructured CAMs. Our deterministic system standardizes semantic representation so risk markers are instantly recognizable. Is standardizing decision-support docs a priority this quarter?'</w:t>
            </w:r>
          </w:p>
        </w:tc>
      </w:tr>
    </w:tbl>
    <w:p>
      <w:pPr>
        <w:spacing w:after="80"/>
      </w:pPr>
    </w:p>
    <w:p>
      <w:pPr>
        <w:spacing w:before="80" w:after="80"/>
      </w:pPr>
      <w:r>
        <w:rPr>
          <w:b/>
          <w:color w:val="2B6CB0"/>
        </w:rPr>
        <w:t xml:space="preserve">⚙️ Step 3 — Mechanism &amp; Operational Inner Workings: </w:t>
      </w:r>
      <w:r>
        <w:rPr>
          <w:rFonts w:ascii="Calibri" w:hAnsi="Calibri"/>
          <w:sz w:val="21"/>
        </w:rPr>
        <w:t>Optimizing communication for maximum relevance, corporate credibility, and minimal cognitive friction to achieve high executive reply rates.</w:t>
      </w:r>
    </w:p>
    <w:p>
      <w:pPr>
        <w:spacing w:before="80" w:after="80"/>
      </w:pPr>
      <w:r>
        <w:rPr>
          <w:b/>
          <w:color w:val="2B6CB0"/>
        </w:rPr>
        <w:t xml:space="preserve">🎯 Step 4 — Strategic Purpose &amp; Problem Solved: </w:t>
      </w:r>
      <w:r>
        <w:rPr>
          <w:rFonts w:ascii="Calibri" w:hAnsi="Calibri"/>
          <w:sz w:val="21"/>
        </w:rPr>
        <w:t>Generating qualified discovery calls from busy financial executives without sounding salesy or academic.</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Cognitive Friction: </w:t>
      </w:r>
      <w:r>
        <w:rPr>
          <w:rFonts w:ascii="Calibri" w:hAnsi="Calibri"/>
          <w:sz w:val="20"/>
        </w:rPr>
        <w:t>Mental effort required to parse complex or unorganized sales outreach.</w:t>
      </w:r>
    </w:p>
    <w:p>
      <w:pPr>
        <w:spacing w:before="20" w:after="40"/>
        <w:ind w:left="288"/>
      </w:pPr>
      <w:r>
        <w:rPr>
          <w:rFonts w:ascii="Calibri" w:hAnsi="Calibri"/>
          <w:b/>
          <w:sz w:val="20"/>
        </w:rPr>
        <w:t xml:space="preserve">• Deterministic Rule-Set: </w:t>
      </w:r>
      <w:r>
        <w:rPr>
          <w:rFonts w:ascii="Calibri" w:hAnsi="Calibri"/>
          <w:sz w:val="20"/>
        </w:rPr>
        <w:t>Mathematical, non-probabilistic software rules that generate consistent visual outputs.</w:t>
      </w:r>
    </w:p>
    <w:p>
      <w:pPr>
        <w:spacing w:before="120" w:after="40"/>
      </w:pPr>
      <w:r>
        <w:rPr>
          <w:b/>
          <w:color w:val="2B6CB0"/>
          <w:sz w:val="22"/>
        </w:rPr>
        <w:t>🏗️ Step 6 — Detailed Structure &amp; System Components:</w:t>
      </w:r>
    </w:p>
    <w:p>
      <w:pPr>
        <w:spacing w:before="20" w:after="40"/>
        <w:ind w:left="288"/>
      </w:pPr>
      <w:r>
        <w:rPr>
          <w:rFonts w:ascii="Calibri" w:hAnsi="Calibri"/>
          <w:sz w:val="20"/>
        </w:rPr>
        <w:t>▪ 1. Cold Email Mechanics: Value-focused subject lines ('CAM processing velocity'), specific operational bottlenecks, low-friction CTA asking for interest.</w:t>
      </w:r>
    </w:p>
    <w:p>
      <w:pPr>
        <w:spacing w:before="20" w:after="40"/>
        <w:ind w:left="288"/>
      </w:pPr>
      <w:r>
        <w:rPr>
          <w:rFonts w:ascii="Calibri" w:hAnsi="Calibri"/>
          <w:sz w:val="20"/>
        </w:rPr>
        <w:t>▪ 2. Outreach Template for Head of Credit Operations: Address CAM/GST extraction friction -&gt; introduce CIRF semantic standardization -&gt; soft interest CTA.</w:t>
      </w:r>
    </w:p>
    <w:p>
      <w:pPr>
        <w:spacing w:before="20" w:after="40"/>
        <w:ind w:left="288"/>
      </w:pPr>
      <w:r>
        <w:rPr>
          <w:rFonts w:ascii="Calibri" w:hAnsi="Calibri"/>
          <w:sz w:val="20"/>
        </w:rPr>
        <w:t>▪ 3. LinkedIn Optimization: Headline as a specialized consultant landing page, featured before/after teardowns, connection notes referencing operational moves.</w:t>
      </w:r>
    </w:p>
    <w:p>
      <w:pPr>
        <w:spacing w:before="80" w:after="80"/>
      </w:pPr>
      <w:r>
        <w:rPr>
          <w:b/>
          <w:color w:val="2B6CB0"/>
        </w:rPr>
        <w:t xml:space="preserve">🔗 Step 7 — Relationships &amp; Systemic Connections: </w:t>
      </w:r>
      <w:r>
        <w:rPr>
          <w:rFonts w:ascii="Calibri" w:hAnsi="Calibri"/>
          <w:sz w:val="21"/>
        </w:rPr>
        <w:t>Translates the Lexicon Guide (Part 7) into cold email scripts and social selling assets for the Sales Process (Part 9).</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Keep cold outreach under 150 words, focus strictly on client operational bottlenecks, and ask for interest rather than booking calendar time.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8 — Communication</w:t>
              <w:br/>
              <w:t>A high-quality B2B cold email must optimize for relevance, credibility, and low cognitive friction (Type: B - Industry practice). The subject line must indicate business value, not a sales pitch (e.g., "CAM processing velocity at [Company]"). The problem statement should directly address a known operational bottleneck. Relevance and credibility are established by mentioning a specific workflow (e.g., Credit Appraisal Memos) and proposing a deterministic solution. Finally, the call to action should ask for interest, not time.</w:t>
              <w:br/>
              <w:t>For a Head of Credit Operations, the communication should be structured as follows: First, acknowledge that most NBFC underwriting teams lose significant hours extracting critical risk variables from unstructured CAMs and GST filings. Next, introduce the deterministic Information Architecture system (CIRF) that standardizes semantic representation—ensuring that regulatory events, risk markers, and financial states are instantly recognizable without subjective formatting. Conclude by asking if standardizing decision-support documentation is a priority for their team this quarter.</w:t>
              <w:br/>
              <w:t>The LinkedIn profile must function as a landing page for a specialized consultant, not a generic resume. The headline should read: "Standardizing Decision-Support Information Architecture for Financial Services." The featured section must include case studies demonstrating a document before and after CIRF transformation, highlighting the reduction in visual search time. Content publication should focus on tearing down public financial disclosures and demonstrating how semantic rules prevent misinterpretation. Connection requests to executives must never contain a pitch; they should include a brief note referencing a recent operational move by their company.</w:t>
            </w:r>
          </w:p>
        </w:tc>
      </w:tr>
    </w:tbl>
    <w:p>
      <w:pPr>
        <w:spacing w:after="80"/>
      </w:pPr>
    </w:p>
    <w:p>
      <w:pPr>
        <w:spacing w:before="320" w:after="120"/>
      </w:pPr>
      <w:r>
        <w:rPr>
          <w:rFonts w:ascii="Calibri" w:hAnsi="Calibri"/>
          <w:b/>
          <w:color w:val="1A365D"/>
          <w:sz w:val="32"/>
        </w:rPr>
        <w:t>PART 9 — Sales Process</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surgical procedure follows a mandatory 10-step protocol: diagnostic scan -&gt; pre-op prep -&gt; anesthesia -&gt; surgical incision -&gt; procedure -&gt; closure -&gt; recovery monitoring. Skipping step 2 or 6 causes patient failure.</w:t>
            </w:r>
          </w:p>
          <w:p>
            <w:pPr>
              <w:spacing w:before="40" w:after="80"/>
            </w:pPr>
            <w:r>
              <w:rPr>
                <w:rFonts w:ascii="Calibri" w:hAnsi="Calibri"/>
                <w:color w:val="282828"/>
                <w:sz w:val="20"/>
              </w:rPr>
              <w:t>Real-World Business Scenario: A founder meets a prospect, skips discovery, and immediately sends a contract. The prospect gets confused by the price and disappears. Following the sequential 20-stage sales funnel prevents deal drop-off.</w:t>
            </w:r>
          </w:p>
        </w:tc>
      </w:tr>
    </w:tbl>
    <w:p>
      <w:pPr>
        <w:spacing w:after="80"/>
      </w:pPr>
    </w:p>
    <w:p>
      <w:pPr>
        <w:spacing w:before="80" w:after="80"/>
      </w:pPr>
      <w:r>
        <w:rPr>
          <w:b/>
          <w:color w:val="2B6CB0"/>
        </w:rPr>
        <w:t xml:space="preserve">⚙️ Step 3 — Mechanism &amp; Operational Inner Workings: </w:t>
      </w:r>
      <w:r>
        <w:rPr>
          <w:rFonts w:ascii="Calibri" w:hAnsi="Calibri"/>
          <w:sz w:val="21"/>
        </w:rPr>
        <w:t>A sequential B2B sales pipeline ensures that qualification, pain quantification, and security compliance are fully validated before price proposals are issued.</w:t>
      </w:r>
    </w:p>
    <w:p>
      <w:pPr>
        <w:spacing w:before="80" w:after="80"/>
      </w:pPr>
      <w:r>
        <w:rPr>
          <w:b/>
          <w:color w:val="2B6CB0"/>
        </w:rPr>
        <w:t xml:space="preserve">🎯 Step 4 — Strategic Purpose &amp; Problem Solved: </w:t>
      </w:r>
      <w:r>
        <w:rPr>
          <w:rFonts w:ascii="Calibri" w:hAnsi="Calibri"/>
          <w:sz w:val="21"/>
        </w:rPr>
        <w:t>Managing enterprise sales velocity and eliminating stalled deals (which average 118 days across industries and 180+ days for enterprise deals).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Sales Funnel Velocity: </w:t>
      </w:r>
      <w:r>
        <w:rPr>
          <w:rFonts w:ascii="Calibri" w:hAnsi="Calibri"/>
          <w:sz w:val="20"/>
        </w:rPr>
        <w:t>The speed at which a sales prospect moves from initial outreach to executed contract.</w:t>
      </w:r>
    </w:p>
    <w:p>
      <w:pPr>
        <w:spacing w:before="20" w:after="40"/>
        <w:ind w:left="288"/>
      </w:pPr>
      <w:r>
        <w:rPr>
          <w:rFonts w:ascii="Calibri" w:hAnsi="Calibri"/>
          <w:b/>
          <w:sz w:val="20"/>
        </w:rPr>
        <w:t xml:space="preserve">• Master Services Agreement (MSA): </w:t>
      </w:r>
      <w:r>
        <w:rPr>
          <w:rFonts w:ascii="Calibri" w:hAnsi="Calibri"/>
          <w:sz w:val="20"/>
        </w:rPr>
        <w:t>Overarching enterprise contract governing overall legal terms, IP, and liability.</w:t>
      </w:r>
    </w:p>
    <w:p>
      <w:pPr>
        <w:spacing w:before="120" w:after="40"/>
      </w:pPr>
      <w:r>
        <w:rPr>
          <w:b/>
          <w:color w:val="2B6CB0"/>
          <w:sz w:val="22"/>
        </w:rPr>
        <w:t>🏗️ Step 6 — Detailed Structure &amp; System Components:</w:t>
      </w:r>
    </w:p>
    <w:p>
      <w:pPr>
        <w:spacing w:before="20" w:after="40"/>
        <w:ind w:left="288"/>
      </w:pPr>
      <w:r>
        <w:rPr>
          <w:rFonts w:ascii="Calibri" w:hAnsi="Calibri"/>
          <w:sz w:val="20"/>
        </w:rPr>
        <w:t>▪ Average Sales Cycle: 118 days across industries; 180+ days for enterprises (Type: A - Established fact).</w:t>
      </w:r>
    </w:p>
    <w:p>
      <w:pPr>
        <w:spacing w:before="20" w:after="40"/>
        <w:ind w:left="288"/>
      </w:pPr>
      <w:r>
        <w:rPr>
          <w:rFonts w:ascii="Calibri" w:hAnsi="Calibri"/>
          <w:sz w:val="20"/>
        </w:rPr>
        <w:t>▪ Phase 1: Target Account Research (NBFC loan origination focus).</w:t>
      </w:r>
    </w:p>
    <w:p>
      <w:pPr>
        <w:spacing w:before="20" w:after="40"/>
        <w:ind w:left="288"/>
      </w:pPr>
      <w:r>
        <w:rPr>
          <w:rFonts w:ascii="Calibri" w:hAnsi="Calibri"/>
          <w:sz w:val="20"/>
        </w:rPr>
        <w:t>▪ Phase 2: Outreach Sequence (Engaging Champion/Head of Underwriting).</w:t>
      </w:r>
    </w:p>
    <w:p>
      <w:pPr>
        <w:spacing w:before="20" w:after="40"/>
        <w:ind w:left="288"/>
      </w:pPr>
      <w:r>
        <w:rPr>
          <w:rFonts w:ascii="Calibri" w:hAnsi="Calibri"/>
          <w:sz w:val="20"/>
        </w:rPr>
        <w:t>▪ Phase 3: Discovery Phase (Uncovering cost of document friction).</w:t>
      </w:r>
    </w:p>
    <w:p>
      <w:pPr>
        <w:spacing w:before="20" w:after="40"/>
        <w:ind w:left="288"/>
      </w:pPr>
      <w:r>
        <w:rPr>
          <w:rFonts w:ascii="Calibri" w:hAnsi="Calibri"/>
          <w:sz w:val="20"/>
        </w:rPr>
        <w:t>▪ Phase 4: Qualification (Confirming budget, authority, need, timeline).</w:t>
      </w:r>
    </w:p>
    <w:p>
      <w:pPr>
        <w:spacing w:before="20" w:after="40"/>
        <w:ind w:left="288"/>
      </w:pPr>
      <w:r>
        <w:rPr>
          <w:rFonts w:ascii="Calibri" w:hAnsi="Calibri"/>
          <w:sz w:val="20"/>
        </w:rPr>
        <w:t>▪ Phase 5: Demonstration (Contextual before/after transformation).</w:t>
      </w:r>
    </w:p>
    <w:p>
      <w:pPr>
        <w:spacing w:before="20" w:after="40"/>
        <w:ind w:left="288"/>
      </w:pPr>
      <w:r>
        <w:rPr>
          <w:rFonts w:ascii="Calibri" w:hAnsi="Calibri"/>
          <w:sz w:val="20"/>
        </w:rPr>
        <w:t>▪ Phase 6: Paid 30-Day Pilot (Non-sensitive dataset proof of concept).</w:t>
      </w:r>
    </w:p>
    <w:p>
      <w:pPr>
        <w:spacing w:before="20" w:after="40"/>
        <w:ind w:left="288"/>
      </w:pPr>
      <w:r>
        <w:rPr>
          <w:rFonts w:ascii="Calibri" w:hAnsi="Calibri"/>
          <w:sz w:val="20"/>
        </w:rPr>
        <w:t>▪ Phase 7: Formal Proposal (Enterprise rollout scope).</w:t>
      </w:r>
    </w:p>
    <w:p>
      <w:pPr>
        <w:spacing w:before="20" w:after="40"/>
        <w:ind w:left="288"/>
      </w:pPr>
      <w:r>
        <w:rPr>
          <w:rFonts w:ascii="Calibri" w:hAnsi="Calibri"/>
          <w:sz w:val="20"/>
        </w:rPr>
        <w:t>▪ Phase 8: Procurement &amp; Negotiation (Legal, DPDP compliance, pricing).</w:t>
      </w:r>
    </w:p>
    <w:p>
      <w:pPr>
        <w:spacing w:before="20" w:after="40"/>
        <w:ind w:left="288"/>
      </w:pPr>
      <w:r>
        <w:rPr>
          <w:rFonts w:ascii="Calibri" w:hAnsi="Calibri"/>
          <w:sz w:val="20"/>
        </w:rPr>
        <w:t>▪ Phase 9: Contract &amp; Implementation (MSA, SOW, rule-set rollout).</w:t>
      </w:r>
    </w:p>
    <w:p>
      <w:pPr>
        <w:spacing w:before="20" w:after="40"/>
        <w:ind w:left="288"/>
      </w:pPr>
      <w:r>
        <w:rPr>
          <w:rFonts w:ascii="Calibri" w:hAnsi="Calibri"/>
          <w:sz w:val="20"/>
        </w:rPr>
        <w:t>▪ Phase 10: Measurement &amp; Case Study Generation.</w:t>
      </w:r>
    </w:p>
    <w:p>
      <w:pPr>
        <w:spacing w:before="80" w:after="80"/>
      </w:pPr>
      <w:r>
        <w:rPr>
          <w:b/>
          <w:color w:val="2B6CB0"/>
        </w:rPr>
        <w:t xml:space="preserve">🔗 Step 7 — Relationships &amp; Systemic Connections: </w:t>
      </w:r>
      <w:r>
        <w:rPr>
          <w:rFonts w:ascii="Calibri" w:hAnsi="Calibri"/>
          <w:sz w:val="21"/>
        </w:rPr>
        <w:t>Integrates Buyer Roles (Part 6) and Discovery (Part 10) into a systematic pipeline.</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Never skip funnel stages; ensure discovery and paid pilots occur before issuing full enterprise proposals.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9 — Sales Process</w:t>
              <w:br/>
              <w:t>The end-to-end B2B sales funnel operates sequentially. Skipping steps invariably leads to stalled deals, which currently average 118 days across all industries and stretch up to 180+ days for enterprises (Type: A - Established fact).</w:t>
              <w:br/>
              <w:t>The process begins with target account research, identifying NBFCs scaling their loan origination. This is followed by identifying the specific individual, such as the Head of Underwriting, and executing the communication sequence. Upon receiving a reply, the discovery phase uncovers the specific cost of document friction. Qualification confirms they have the budget and authority to solve the problem. The demonstration phase shows a contextual transformation of their specific document type, leading to a paid 30-day pilot on a non-sensitive dataset.</w:t>
              <w:br/>
              <w:t>Following a successful pilot, a formal proposal is submitted for enterprise-wide rollout. Procurement and negotiation involve legal, DPDP compliance, and pricing agreements. Finally, the contract and implementation phase involves executing the Master Services Agreement (MSA) and rolling out the ruleset, followed by measurement and case study generation for future expansion.</w:t>
            </w:r>
          </w:p>
        </w:tc>
      </w:tr>
    </w:tbl>
    <w:p>
      <w:pPr>
        <w:spacing w:after="80"/>
      </w:pPr>
    </w:p>
    <w:p>
      <w:pPr>
        <w:spacing w:before="320" w:after="120"/>
      </w:pPr>
      <w:r>
        <w:rPr>
          <w:rFonts w:ascii="Calibri" w:hAnsi="Calibri"/>
          <w:b/>
          <w:color w:val="1A365D"/>
          <w:sz w:val="32"/>
        </w:rPr>
        <w:t>PART 10 — Discovery</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doctor does not walk into the exam room and immediately hand you a prescription for heart medication. They ask where it hurts, measure blood pressure, review lab charts, and diagnose the root cause first.</w:t>
            </w:r>
          </w:p>
          <w:p>
            <w:pPr>
              <w:spacing w:before="40" w:after="80"/>
            </w:pPr>
            <w:r>
              <w:rPr>
                <w:rFonts w:ascii="Calibri" w:hAnsi="Calibri"/>
                <w:color w:val="282828"/>
                <w:sz w:val="20"/>
              </w:rPr>
              <w:t>Real-World Business Scenario: During a meeting with an NBFC, you ask: 'When your team reviews a 100-page CAM, where does the process stall? What happens if an analyst misses a hidden debt metric?' You calculate that saving 15% parsing time yields ₹25 Lakhs in annual capacity gains.</w:t>
            </w:r>
          </w:p>
        </w:tc>
      </w:tr>
    </w:tbl>
    <w:p>
      <w:pPr>
        <w:spacing w:after="80"/>
      </w:pPr>
    </w:p>
    <w:p>
      <w:pPr>
        <w:spacing w:before="80" w:after="80"/>
      </w:pPr>
      <w:r>
        <w:rPr>
          <w:b/>
          <w:color w:val="2B6CB0"/>
        </w:rPr>
        <w:t xml:space="preserve">⚙️ Step 3 — Mechanism &amp; Operational Inner Workings: </w:t>
      </w:r>
      <w:r>
        <w:rPr>
          <w:rFonts w:ascii="Calibri" w:hAnsi="Calibri"/>
          <w:sz w:val="21"/>
        </w:rPr>
        <w:t>Discovery uses diagnostic questioning to expose the financial and operational losses caused by the status quo, turning intangible pain into quantified metrics.</w:t>
      </w:r>
    </w:p>
    <w:p>
      <w:pPr>
        <w:spacing w:before="80" w:after="80"/>
      </w:pPr>
      <w:r>
        <w:rPr>
          <w:b/>
          <w:color w:val="2B6CB0"/>
        </w:rPr>
        <w:t xml:space="preserve">🎯 Step 4 — Strategic Purpose &amp; Problem Solved: </w:t>
      </w:r>
      <w:r>
        <w:rPr>
          <w:rFonts w:ascii="Calibri" w:hAnsi="Calibri"/>
          <w:sz w:val="21"/>
        </w:rPr>
        <w:t>Calculating the client's internal cost of document inefficiency so that enterprise pricing is fully justified by documented ROI.</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Diagnostic Consultation: </w:t>
      </w:r>
      <w:r>
        <w:rPr>
          <w:rFonts w:ascii="Calibri" w:hAnsi="Calibri"/>
          <w:sz w:val="20"/>
        </w:rPr>
        <w:t>A discovery methodology focused on uncovering financial loss rather than pitching product features.</w:t>
      </w:r>
    </w:p>
    <w:p>
      <w:pPr>
        <w:spacing w:before="20" w:after="40"/>
        <w:ind w:left="288"/>
      </w:pPr>
      <w:r>
        <w:rPr>
          <w:rFonts w:ascii="Calibri" w:hAnsi="Calibri"/>
          <w:b/>
          <w:sz w:val="20"/>
        </w:rPr>
        <w:t xml:space="preserve">• Status Quo Friction: </w:t>
      </w:r>
      <w:r>
        <w:rPr>
          <w:rFonts w:ascii="Calibri" w:hAnsi="Calibri"/>
          <w:sz w:val="20"/>
        </w:rPr>
        <w:t>The ongoing time and monetary losses an organization accepts simply because they haven't adopted standard information architecture.</w:t>
      </w:r>
    </w:p>
    <w:p>
      <w:pPr>
        <w:spacing w:before="120" w:after="40"/>
      </w:pPr>
      <w:r>
        <w:rPr>
          <w:b/>
          <w:color w:val="2B6CB0"/>
          <w:sz w:val="22"/>
        </w:rPr>
        <w:t>🏗️ Step 6 — Detailed Structure &amp; System Components:</w:t>
      </w:r>
    </w:p>
    <w:p>
      <w:pPr>
        <w:spacing w:before="20" w:after="40"/>
        <w:ind w:left="288"/>
      </w:pPr>
      <w:r>
        <w:rPr>
          <w:rFonts w:ascii="Calibri" w:hAnsi="Calibri"/>
          <w:sz w:val="20"/>
        </w:rPr>
        <w:t>▪ Objective: Quantify operational pain and financial impact.</w:t>
      </w:r>
    </w:p>
    <w:p>
      <w:pPr>
        <w:spacing w:before="20" w:after="40"/>
        <w:ind w:left="288"/>
      </w:pPr>
      <w:r>
        <w:rPr>
          <w:rFonts w:ascii="Calibri" w:hAnsi="Calibri"/>
          <w:sz w:val="20"/>
        </w:rPr>
        <w:t>▪ Diagnostic Protocol: Walk through CAM lifecycle to pinpoint bottleneck locations.</w:t>
      </w:r>
    </w:p>
    <w:p>
      <w:pPr>
        <w:spacing w:before="20" w:after="40"/>
        <w:ind w:left="288"/>
      </w:pPr>
      <w:r>
        <w:rPr>
          <w:rFonts w:ascii="Calibri" w:hAnsi="Calibri"/>
          <w:sz w:val="20"/>
        </w:rPr>
        <w:t>▪ Downstream Risk Probing: Examine financial damage caused by analyst oversight in dense reports.</w:t>
      </w:r>
    </w:p>
    <w:p>
      <w:pPr>
        <w:spacing w:before="20" w:after="40"/>
        <w:ind w:left="288"/>
      </w:pPr>
      <w:r>
        <w:rPr>
          <w:rFonts w:ascii="Calibri" w:hAnsi="Calibri"/>
          <w:sz w:val="20"/>
        </w:rPr>
        <w:t>▪ Standardization Assessment: Evaluate current cross-departmental visual formatting inconsistencies.</w:t>
      </w:r>
    </w:p>
    <w:p>
      <w:pPr>
        <w:spacing w:before="20" w:after="40"/>
        <w:ind w:left="288"/>
      </w:pPr>
      <w:r>
        <w:rPr>
          <w:rFonts w:ascii="Calibri" w:hAnsi="Calibri"/>
          <w:sz w:val="20"/>
        </w:rPr>
        <w:t>▪ ROI Calculation: Probe how a 15% reduction in compliance doc parsing time impacts quarterly transaction volume.</w:t>
      </w:r>
    </w:p>
    <w:p>
      <w:pPr>
        <w:spacing w:before="20" w:after="40"/>
        <w:ind w:left="288"/>
      </w:pPr>
      <w:r>
        <w:rPr>
          <w:rFonts w:ascii="Calibri" w:hAnsi="Calibri"/>
          <w:sz w:val="20"/>
        </w:rPr>
        <w:t>▪ Critical Rule: Listen and diagnose during discovery; save product pitching for the demonstration phase.</w:t>
      </w:r>
    </w:p>
    <w:p>
      <w:pPr>
        <w:spacing w:before="80" w:after="80"/>
      </w:pPr>
      <w:r>
        <w:rPr>
          <w:b/>
          <w:color w:val="2B6CB0"/>
        </w:rPr>
        <w:t xml:space="preserve">🔗 Step 7 — Relationships &amp; Systemic Connections: </w:t>
      </w:r>
      <w:r>
        <w:rPr>
          <w:rFonts w:ascii="Calibri" w:hAnsi="Calibri"/>
          <w:sz w:val="21"/>
        </w:rPr>
        <w:t>Provides the empirical financial data required for Pricing (Part 13) and Proposals (Part 14).</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Ask probing operational questions, quantify client financial loss, and refrain from pitching solutions until the discovery diagnosis is complete.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10 — Discovery</w:t>
              <w:br/>
              <w:t>Discovery is not an interrogation; it is a diagnostic consultation aimed at uncovering the economic impact of the status quo (Type: B - Industry practice). The objective is to quantify the pain.</w:t>
              <w:br/>
              <w:t>A professional discovery framework for CIRF involves asking the client to walk through the lifecycle of a Credit Appraisal Memo to identify where the process stalls. Questions should probe the downstream financial impact when an analyst misinterprets a data point in a dense equity report. The service provider should inquire how the organization currently standardizes the way critical risk events are flagged across different business units. Finally, the discussion should quantify the value by asking how a 15% reduction in the time required to parse a compliance document would impact quarterly transaction volume. The beginner mistake is attempting to pitch the solution during discovery; the professional listens, quantifies the pain, and saves the solution for the demonstration phase.</w:t>
            </w:r>
          </w:p>
        </w:tc>
      </w:tr>
    </w:tbl>
    <w:p>
      <w:pPr>
        <w:spacing w:after="80"/>
      </w:pPr>
    </w:p>
    <w:p>
      <w:pPr>
        <w:spacing w:before="320" w:after="120"/>
      </w:pPr>
      <w:r>
        <w:rPr>
          <w:rFonts w:ascii="Calibri" w:hAnsi="Calibri"/>
          <w:b/>
          <w:color w:val="1A365D"/>
          <w:sz w:val="32"/>
        </w:rPr>
        <w:t>PART 11 — Demonstration</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Showing a before-and-after photo of a renovated house side-by-side demonstrates quality 100 times faster than describing building materials in text.</w:t>
            </w:r>
          </w:p>
          <w:p>
            <w:pPr>
              <w:spacing w:before="40" w:after="80"/>
            </w:pPr>
            <w:r>
              <w:rPr>
                <w:rFonts w:ascii="Calibri" w:hAnsi="Calibri"/>
                <w:color w:val="282828"/>
                <w:sz w:val="20"/>
              </w:rPr>
              <w:t>Real-World Business Scenario: You take a redacted, messy CAM from the prospect, run it through CIRF, and place original and transformed versions side-by-side. The COO instantly sees that 'Regulatory Risks' are color-coded in exact spatial positions across all 10 pages.</w:t>
            </w:r>
          </w:p>
        </w:tc>
      </w:tr>
    </w:tbl>
    <w:p>
      <w:pPr>
        <w:spacing w:after="80"/>
      </w:pPr>
    </w:p>
    <w:p>
      <w:pPr>
        <w:spacing w:before="80" w:after="80"/>
      </w:pPr>
      <w:r>
        <w:rPr>
          <w:b/>
          <w:color w:val="2B6CB0"/>
        </w:rPr>
        <w:t xml:space="preserve">⚙️ Step 3 — Mechanism &amp; Operational Inner Workings: </w:t>
      </w:r>
      <w:r>
        <w:rPr>
          <w:rFonts w:ascii="Calibri" w:hAnsi="Calibri"/>
          <w:sz w:val="21"/>
        </w:rPr>
        <w:t>Demonstrations use visual contrast and cold structural logic to prove operational value without relying on subjective or unscientific marketing claims.</w:t>
      </w:r>
    </w:p>
    <w:p>
      <w:pPr>
        <w:spacing w:before="80" w:after="80"/>
      </w:pPr>
      <w:r>
        <w:rPr>
          <w:b/>
          <w:color w:val="2B6CB0"/>
        </w:rPr>
        <w:t xml:space="preserve">🎯 Step 4 — Strategic Purpose &amp; Problem Solved: </w:t>
      </w:r>
      <w:r>
        <w:rPr>
          <w:rFonts w:ascii="Calibri" w:hAnsi="Calibri"/>
          <w:sz w:val="21"/>
        </w:rPr>
        <w:t>Proving document clarity and deterministic output reliability to both business executives and IT compliance evaluators.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Side-by-Side Visual Contrast: </w:t>
      </w:r>
      <w:r>
        <w:rPr>
          <w:rFonts w:ascii="Calibri" w:hAnsi="Calibri"/>
          <w:sz w:val="20"/>
        </w:rPr>
        <w:t>Direct visual comparison demonstrating visual search time reduction.</w:t>
      </w:r>
    </w:p>
    <w:p>
      <w:pPr>
        <w:spacing w:before="20" w:after="40"/>
        <w:ind w:left="288"/>
      </w:pPr>
      <w:r>
        <w:rPr>
          <w:rFonts w:ascii="Calibri" w:hAnsi="Calibri"/>
          <w:b/>
          <w:sz w:val="20"/>
        </w:rPr>
        <w:t xml:space="preserve">• Deterministic Python Engine: </w:t>
      </w:r>
      <w:r>
        <w:rPr>
          <w:rFonts w:ascii="Calibri" w:hAnsi="Calibri"/>
          <w:sz w:val="20"/>
        </w:rPr>
        <w:t>Codebase executing rigid visual rules without generative AI risk or data hallucination.</w:t>
      </w:r>
    </w:p>
    <w:p>
      <w:pPr>
        <w:spacing w:before="120" w:after="40"/>
      </w:pPr>
      <w:r>
        <w:rPr>
          <w:b/>
          <w:color w:val="2B6CB0"/>
          <w:sz w:val="22"/>
        </w:rPr>
        <w:t>🏗️ Step 6 — Detailed Structure &amp; System Components:</w:t>
      </w:r>
    </w:p>
    <w:p>
      <w:pPr>
        <w:spacing w:before="20" w:after="40"/>
        <w:ind w:left="288"/>
      </w:pPr>
      <w:r>
        <w:rPr>
          <w:rFonts w:ascii="Calibri" w:hAnsi="Calibri"/>
          <w:sz w:val="20"/>
        </w:rPr>
        <w:t>▪ Executive View (5-Minute Window): Demonstrate instant visual identification of 'Regulatory Risk' markers via semantic spatial rules across 10 pages.</w:t>
      </w:r>
    </w:p>
    <w:p>
      <w:pPr>
        <w:spacing w:before="20" w:after="40"/>
        <w:ind w:left="288"/>
      </w:pPr>
      <w:r>
        <w:rPr>
          <w:rFonts w:ascii="Calibri" w:hAnsi="Calibri"/>
          <w:sz w:val="20"/>
        </w:rPr>
        <w:t>▪ Technical View (IT/Compliance): Explain the cold deterministic Python ruleset, proving zero generative AI hallucinations or data alterations.</w:t>
      </w:r>
    </w:p>
    <w:p>
      <w:pPr>
        <w:spacing w:before="20" w:after="40"/>
        <w:ind w:left="288"/>
      </w:pPr>
      <w:r>
        <w:rPr>
          <w:rFonts w:ascii="Calibri" w:hAnsi="Calibri"/>
          <w:sz w:val="20"/>
        </w:rPr>
        <w:t>▪ Core Value Claim: Establishing a universal visual language eliminates cognitive friction caused by inconsistent document formatting.</w:t>
      </w:r>
    </w:p>
    <w:p>
      <w:pPr>
        <w:spacing w:before="80" w:after="80"/>
      </w:pPr>
      <w:r>
        <w:rPr>
          <w:b/>
          <w:color w:val="2B6CB0"/>
        </w:rPr>
        <w:t xml:space="preserve">🔗 Step 7 — Relationships &amp; Systemic Connections: </w:t>
      </w:r>
      <w:r>
        <w:rPr>
          <w:rFonts w:ascii="Calibri" w:hAnsi="Calibri"/>
          <w:sz w:val="21"/>
        </w:rPr>
        <w:t>Validates the technical claims of Part 2 (Service 02) to overcome CISO objections (Part 18).</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Always use redacted client document samples for side-by-side contrast demonstrations, tailoring the pitch to executive vs technical evaluators.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11 — Demonstration</w:t>
              <w:br/>
              <w:t>To demonstrate value without making unscientific claims, the demonstration must rely on contrast and structural logic (Type: C - Expert Inference). The service provider should request a redacted, non-confidential sample document from the prospect. The demonstration should display the original document adjacent to the CIRF-transformed document.</w:t>
              <w:br/>
              <w:t>To an executive in a five-minute window, the demonstration must show how a "Regulatory Risk" is instantly identifiable via a specific semantic rule (e.g., double underline with a specific spatial hierarchy) across ten different pages, proving standardization. To a technical person, the focus shifts to explaining the deterministic Python ruleset, proving that the transformation requires no subjective human intervention or generative AI hallucinations. The core claim must not be a specific speed increase, but rather the standardization of semantic meaning, stating that establishing a universal visual language eliminates the cognitive friction caused by inconsistent formatting.</w:t>
            </w:r>
          </w:p>
        </w:tc>
      </w:tr>
    </w:tbl>
    <w:p>
      <w:pPr>
        <w:spacing w:after="80"/>
      </w:pPr>
    </w:p>
    <w:p>
      <w:pPr>
        <w:spacing w:before="320" w:after="120"/>
      </w:pPr>
      <w:r>
        <w:rPr>
          <w:rFonts w:ascii="Calibri" w:hAnsi="Calibri"/>
          <w:b/>
          <w:color w:val="1A365D"/>
          <w:sz w:val="32"/>
        </w:rPr>
        <w:t>PART 12 — Pilot Projects</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car manufacturer test-drives a prototype vehicle on a private track for 30 days before opening a full mass-production assembly line.</w:t>
            </w:r>
          </w:p>
          <w:p>
            <w:pPr>
              <w:spacing w:before="40" w:after="80"/>
            </w:pPr>
            <w:r>
              <w:rPr>
                <w:rFonts w:ascii="Calibri" w:hAnsi="Calibri"/>
                <w:color w:val="282828"/>
                <w:sz w:val="20"/>
              </w:rPr>
              <w:t>Real-World Business Scenario: Instead of asking an NBFC for a ₹50 Lakh enterprise agreement upfront, you launch a 30-day paid pilot for ₹2 Lakhs transforming 50 credit reports for a single 10-person underwriting team to prove visual search time savings.</w:t>
            </w:r>
          </w:p>
        </w:tc>
      </w:tr>
    </w:tbl>
    <w:p>
      <w:pPr>
        <w:spacing w:after="80"/>
      </w:pPr>
    </w:p>
    <w:p>
      <w:pPr>
        <w:spacing w:before="80" w:after="80"/>
      </w:pPr>
      <w:r>
        <w:rPr>
          <w:b/>
          <w:color w:val="2B6CB0"/>
        </w:rPr>
        <w:t xml:space="preserve">⚙️ Step 3 — Mechanism &amp; Operational Inner Workings: </w:t>
      </w:r>
      <w:r>
        <w:rPr>
          <w:rFonts w:ascii="Calibri" w:hAnsi="Calibri"/>
          <w:sz w:val="21"/>
        </w:rPr>
        <w:t>Pilots de-risk organizational adoption by establishing strict boundaries on timeline, document volume, deliverables, and pre-agreed success metrics.</w:t>
      </w:r>
    </w:p>
    <w:p>
      <w:pPr>
        <w:spacing w:before="80" w:after="80"/>
      </w:pPr>
      <w:r>
        <w:rPr>
          <w:b/>
          <w:color w:val="2B6CB0"/>
        </w:rPr>
        <w:t xml:space="preserve">🎯 Step 4 — Strategic Purpose &amp; Problem Solved: </w:t>
      </w:r>
      <w:r>
        <w:rPr>
          <w:rFonts w:ascii="Calibri" w:hAnsi="Calibri"/>
          <w:sz w:val="21"/>
        </w:rPr>
        <w:t>Lowering buyer risk perception while establishing empirical proof required for full enterprise contract expansion.</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Proof of Concept (PoC): </w:t>
      </w:r>
      <w:r>
        <w:rPr>
          <w:rFonts w:ascii="Calibri" w:hAnsi="Calibri"/>
          <w:sz w:val="20"/>
        </w:rPr>
        <w:t>A bounded pilot project designed to validate operational efficacy in a real client environment.</w:t>
      </w:r>
    </w:p>
    <w:p>
      <w:pPr>
        <w:spacing w:before="20" w:after="40"/>
        <w:ind w:left="288"/>
      </w:pPr>
      <w:r>
        <w:rPr>
          <w:rFonts w:ascii="Calibri" w:hAnsi="Calibri"/>
          <w:b/>
          <w:sz w:val="20"/>
        </w:rPr>
        <w:t xml:space="preserve">• Semantic Rulebook: </w:t>
      </w:r>
      <w:r>
        <w:rPr>
          <w:rFonts w:ascii="Calibri" w:hAnsi="Calibri"/>
          <w:sz w:val="20"/>
        </w:rPr>
        <w:t>Custom organizational visual documentation defining precise formatting standards per business unit.</w:t>
      </w:r>
    </w:p>
    <w:p>
      <w:pPr>
        <w:spacing w:before="120" w:after="40"/>
      </w:pPr>
      <w:r>
        <w:rPr>
          <w:b/>
          <w:color w:val="2B6CB0"/>
          <w:sz w:val="22"/>
        </w:rPr>
        <w:t>🏗️ Step 6 — Detailed Structure &amp; System Components:</w:t>
      </w:r>
    </w:p>
    <w:p>
      <w:pPr>
        <w:spacing w:before="20" w:after="40"/>
        <w:ind w:left="288"/>
      </w:pPr>
      <w:r>
        <w:rPr>
          <w:rFonts w:ascii="Calibri" w:hAnsi="Calibri"/>
          <w:sz w:val="20"/>
        </w:rPr>
        <w:t>▪ Pilot Boundaries: 1 document type (e.g., CAMs), 1 business unit, 30 to 45 day duration.</w:t>
      </w:r>
    </w:p>
    <w:p>
      <w:pPr>
        <w:spacing w:before="20" w:after="40"/>
        <w:ind w:left="288"/>
      </w:pPr>
      <w:r>
        <w:rPr>
          <w:rFonts w:ascii="Calibri" w:hAnsi="Calibri"/>
          <w:sz w:val="20"/>
        </w:rPr>
        <w:t>▪ Core Deliverables: Transformed document batch + customized semantic rulebook.</w:t>
      </w:r>
    </w:p>
    <w:p>
      <w:pPr>
        <w:spacing w:before="20" w:after="40"/>
        <w:ind w:left="288"/>
      </w:pPr>
      <w:r>
        <w:rPr>
          <w:rFonts w:ascii="Calibri" w:hAnsi="Calibri"/>
          <w:sz w:val="20"/>
        </w:rPr>
        <w:t>▪ Success Criteria: Underwriting team confirmation that standardized hierarchy reduces risk metric lookup time.</w:t>
      </w:r>
    </w:p>
    <w:p>
      <w:pPr>
        <w:spacing w:before="20" w:after="40"/>
        <w:ind w:left="288"/>
      </w:pPr>
      <w:r>
        <w:rPr>
          <w:rFonts w:ascii="Calibri" w:hAnsi="Calibri"/>
          <w:sz w:val="20"/>
        </w:rPr>
        <w:t>▪ Small Pilot Model (Small Team): Transform 50 non-confidential documents via Python engine to prove quality.</w:t>
      </w:r>
    </w:p>
    <w:p>
      <w:pPr>
        <w:spacing w:before="20" w:after="40"/>
        <w:ind w:left="288"/>
      </w:pPr>
      <w:r>
        <w:rPr>
          <w:rFonts w:ascii="Calibri" w:hAnsi="Calibri"/>
          <w:sz w:val="20"/>
        </w:rPr>
        <w:t>▪ Medium Pilot Model (Department): Custom CIRF rulebook + training for 10-person department team.</w:t>
      </w:r>
    </w:p>
    <w:p>
      <w:pPr>
        <w:spacing w:before="20" w:after="40"/>
        <w:ind w:left="288"/>
      </w:pPr>
      <w:r>
        <w:rPr>
          <w:rFonts w:ascii="Calibri" w:hAnsi="Calibri"/>
          <w:sz w:val="20"/>
        </w:rPr>
        <w:t>▪ Enterprise Pilot Model (Organization): Integration of Python ruleset into workflow with IT/RBI data security protocols.</w:t>
      </w:r>
    </w:p>
    <w:p>
      <w:pPr>
        <w:spacing w:before="80" w:after="80"/>
      </w:pPr>
      <w:r>
        <w:rPr>
          <w:b/>
          <w:color w:val="2B6CB0"/>
        </w:rPr>
        <w:t xml:space="preserve">🔗 Step 7 — Relationships &amp; Systemic Connections: </w:t>
      </w:r>
      <w:r>
        <w:rPr>
          <w:rFonts w:ascii="Calibri" w:hAnsi="Calibri"/>
          <w:sz w:val="21"/>
        </w:rPr>
        <w:t>Converts Demonstration success (Part 11) into formal Enterprise Proposals (Part 14).</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Offer 30 to 45 day paid pilots scoped tightly to one business unit and document type to build enterprise validation.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12 — Pilot Projects</w:t>
              <w:br/>
              <w:t>Organizations rarely purchase enterprise-wide implementations without testing, as pilots reduce perceived risk and validate operational claims (Type: B - Industry practice). The scope must be strictly limited to one document type (e.g., internal research reports) and one business unit, spanning a duration of 30 to 45 days. Deliverables include a transformed batch of documents and a customized semantic rulebook for that specific document type. Success criteria must be agreed upon in advance, such as the underwriting team confirming that the standardized hierarchy reduces the time required to locate core risk metrics.</w:t>
              <w:br/>
              <w:t>The small pilot model, intended for a small team, involves the transformation of 50 non-confidential documents using the Python engine to prove output quality. The medium pilot, designed for a department, includes the development of a department-specific rulebook (CIRF) and training for a 10-person team to utilize the new representation system. The enterprise pilot involves the integration of the deterministic ruleset into a specific organizational workflow, requiring IT coordination and strict data security protocols to comply with RBI mandates.</w:t>
            </w:r>
          </w:p>
        </w:tc>
      </w:tr>
    </w:tbl>
    <w:p>
      <w:pPr>
        <w:spacing w:after="80"/>
      </w:pPr>
    </w:p>
    <w:p>
      <w:pPr>
        <w:spacing w:before="320" w:after="120"/>
      </w:pPr>
      <w:r>
        <w:rPr>
          <w:rFonts w:ascii="Calibri" w:hAnsi="Calibri"/>
          <w:b/>
          <w:color w:val="1A365D"/>
          <w:sz w:val="32"/>
        </w:rPr>
        <w:t>PART 13 — Pricing</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surgeon doesn't charge you based on the $5 cost of the scalpel or 30 minutes of labor; they charge based on the life-saving value and technical expertise of the procedure.</w:t>
            </w:r>
          </w:p>
          <w:p>
            <w:pPr>
              <w:spacing w:before="40" w:after="80"/>
            </w:pPr>
            <w:r>
              <w:rPr>
                <w:rFonts w:ascii="Calibri" w:hAnsi="Calibri"/>
                <w:color w:val="282828"/>
                <w:sz w:val="20"/>
              </w:rPr>
              <w:t>Real-World Business Scenario: If CIRF saves an NBFC ₹1 Crore annually in underwriting risk errors, charging ₹10 Lakhs for an enterprise rulebook is cheap, even if the Python script takes only seconds to execute.</w:t>
            </w:r>
          </w:p>
        </w:tc>
      </w:tr>
    </w:tbl>
    <w:p>
      <w:pPr>
        <w:spacing w:after="80"/>
      </w:pPr>
    </w:p>
    <w:p>
      <w:pPr>
        <w:spacing w:before="80" w:after="80"/>
      </w:pPr>
      <w:r>
        <w:rPr>
          <w:b/>
          <w:color w:val="2B6CB0"/>
        </w:rPr>
        <w:t xml:space="preserve">⚙️ Step 3 — Mechanism &amp; Operational Inner Workings: </w:t>
      </w:r>
      <w:r>
        <w:rPr>
          <w:rFonts w:ascii="Calibri" w:hAnsi="Calibri"/>
          <w:sz w:val="21"/>
        </w:rPr>
        <w:t>Value-based pricing decouples service fees from hourly labor, anchoring prices to financial value created and Indian management consulting benchmarks.</w:t>
      </w:r>
    </w:p>
    <w:p>
      <w:pPr>
        <w:spacing w:before="80" w:after="80"/>
      </w:pPr>
      <w:r>
        <w:rPr>
          <w:b/>
          <w:color w:val="2B6CB0"/>
        </w:rPr>
        <w:t xml:space="preserve">🎯 Step 4 — Strategic Purpose &amp; Problem Solved: </w:t>
      </w:r>
      <w:r>
        <w:rPr>
          <w:rFonts w:ascii="Calibri" w:hAnsi="Calibri"/>
          <w:sz w:val="21"/>
        </w:rPr>
        <w:t>Capturing premium enterprise margins while separating intellectual property licensing from technology execution.</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Value-Based Pricing: </w:t>
      </w:r>
      <w:r>
        <w:rPr>
          <w:rFonts w:ascii="Calibri" w:hAnsi="Calibri"/>
          <w:sz w:val="20"/>
        </w:rPr>
        <w:t>Pricing strategy based on financial impact created rather than hourly cost of execution.</w:t>
      </w:r>
    </w:p>
    <w:p>
      <w:pPr>
        <w:spacing w:before="20" w:after="40"/>
        <w:ind w:left="288"/>
      </w:pPr>
      <w:r>
        <w:rPr>
          <w:rFonts w:ascii="Calibri" w:hAnsi="Calibri"/>
          <w:b/>
          <w:sz w:val="20"/>
        </w:rPr>
        <w:t xml:space="preserve">• Intellectual Property Licensing: </w:t>
      </w:r>
      <w:r>
        <w:rPr>
          <w:rFonts w:ascii="Calibri" w:hAnsi="Calibri"/>
          <w:sz w:val="20"/>
        </w:rPr>
        <w:t>Charging recurring fees for the right to deploy proprietary rule-sets and engines.</w:t>
      </w:r>
    </w:p>
    <w:p>
      <w:pPr>
        <w:spacing w:before="120" w:after="40"/>
      </w:pPr>
      <w:r>
        <w:rPr>
          <w:b/>
          <w:color w:val="2B6CB0"/>
          <w:sz w:val="22"/>
        </w:rPr>
        <w:t>🏗️ Step 6 — Detailed Structure &amp; System Components:</w:t>
      </w:r>
    </w:p>
    <w:p>
      <w:pPr>
        <w:spacing w:before="20" w:after="40"/>
        <w:ind w:left="288"/>
      </w:pPr>
      <w:r>
        <w:rPr>
          <w:rFonts w:ascii="Calibri" w:hAnsi="Calibri"/>
          <w:sz w:val="20"/>
        </w:rPr>
        <w:t>▪ Indian Consulting Market Benchmarks: Entry-level ₹2,000–₹5,000/hr; Mid-level strategy ₹5,000–₹15,000/hr; Specialists up to ₹50,000/hr. Project consulting: ₹1,00,000 to ₹10,00,000+.</w:t>
      </w:r>
    </w:p>
    <w:p>
      <w:pPr>
        <w:spacing w:before="20" w:after="40"/>
        <w:ind w:left="288"/>
      </w:pPr>
      <w:r>
        <w:rPr>
          <w:rFonts w:ascii="Calibri" w:hAnsi="Calibri"/>
          <w:sz w:val="20"/>
        </w:rPr>
        <w:t>▪ CIRF Pricing Architecture (Type: D - Your recommendation):</w:t>
      </w:r>
    </w:p>
    <w:p>
      <w:pPr>
        <w:spacing w:before="20" w:after="40"/>
        <w:ind w:left="288"/>
      </w:pPr>
      <w:r>
        <w:rPr>
          <w:rFonts w:ascii="Calibri" w:hAnsi="Calibri"/>
          <w:sz w:val="20"/>
        </w:rPr>
        <w:t>▪ 1. Discovery &amp; Architecture Assessment: Flat fee of ₹1,50,000 to ₹3,00,000.</w:t>
      </w:r>
    </w:p>
    <w:p>
      <w:pPr>
        <w:spacing w:before="20" w:after="40"/>
        <w:ind w:left="288"/>
      </w:pPr>
      <w:r>
        <w:rPr>
          <w:rFonts w:ascii="Calibri" w:hAnsi="Calibri"/>
          <w:sz w:val="20"/>
        </w:rPr>
        <w:t>▪ 2. Semantic Rulebook Development: ₹5,00,000 to ₹10,00,000 per business unit.</w:t>
      </w:r>
    </w:p>
    <w:p>
      <w:pPr>
        <w:spacing w:before="20" w:after="40"/>
        <w:ind w:left="288"/>
      </w:pPr>
      <w:r>
        <w:rPr>
          <w:rFonts w:ascii="Calibri" w:hAnsi="Calibri"/>
          <w:sz w:val="20"/>
        </w:rPr>
        <w:t>▪ 3. Python Engine Integration &amp; Annual Licensing: ₹8,00,000 to ₹15,00,000 per year (based on server deployment &amp; volume).</w:t>
      </w:r>
    </w:p>
    <w:p>
      <w:pPr>
        <w:spacing w:before="80" w:after="80"/>
      </w:pPr>
      <w:r>
        <w:rPr>
          <w:b/>
          <w:color w:val="2B6CB0"/>
        </w:rPr>
        <w:t xml:space="preserve">🔗 Step 7 — Relationships &amp; Systemic Connections: </w:t>
      </w:r>
      <w:r>
        <w:rPr>
          <w:rFonts w:ascii="Calibri" w:hAnsi="Calibri"/>
          <w:sz w:val="21"/>
        </w:rPr>
        <w:t>Transforms Discovery findings (Part 10) into structural fees for Proposals (Part 14).</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Price CIRF as a high-value enterprise asset split into Discovery, Rulebook Development, and Annual Software Licensing fees.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13 — Pricing</w:t>
              <w:br/>
              <w:t>Pricing specialized intellectual work requires transitioning from hourly calculation to a value-based architecture (Type: B - Industry practice). Based on Indian market data, entry-level consultants charge ₹2,000–₹5,000 per hour, mid-level strategy consultants charge ₹5,00,00 to ₹15,000 per hour, and specialists charge up to ₹50,000 per hour. Project-based consulting for digital transformation in India ranges from ₹1,00,000 to ₹10,00,000+.</w:t>
              <w:br/>
              <w:t>CIRF is an organizational system, not staff augmentation. The pricing architecture (Type: D - Your recommendation) should separate the intellectual property from the technology. Discovery and architecture assessment warrant a flat fee of ₹1,50,000 to ₹3,00,000. Semantic rulebook development per business unit should range from ₹5,00,000 to ₹10,00,000. Finally, Python engine integration and licensing should command an annual fee of ₹8,00,000 to ₹15,00,000, depending on server deployment and volume. This derivation is based on the premise that if a mid-market NBFC pays a consulting firm up to ₹10,00,000 for process optimization, creating a proprietary information architecture system sits comfortably in this bracket.</w:t>
            </w:r>
          </w:p>
        </w:tc>
      </w:tr>
    </w:tbl>
    <w:p>
      <w:pPr>
        <w:spacing w:after="80"/>
      </w:pPr>
    </w:p>
    <w:p>
      <w:pPr>
        <w:spacing w:before="320" w:after="120"/>
      </w:pPr>
      <w:r>
        <w:rPr>
          <w:rFonts w:ascii="Calibri" w:hAnsi="Calibri"/>
          <w:b/>
          <w:color w:val="1A365D"/>
          <w:sz w:val="32"/>
        </w:rPr>
        <w:t>PART 14 — Proposal</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detailed construction blueprint and contract specifies exact building dimensions, cost breakdown, payment milestones, material exclusions, and safety compliance rules before ground is broken.</w:t>
            </w:r>
          </w:p>
          <w:p>
            <w:pPr>
              <w:spacing w:before="40" w:after="80"/>
            </w:pPr>
            <w:r>
              <w:rPr>
                <w:rFonts w:ascii="Calibri" w:hAnsi="Calibri"/>
                <w:color w:val="282828"/>
                <w:sz w:val="20"/>
              </w:rPr>
              <w:t>Real-World Business Scenario: A formal proposal sent to an NBFC includes an executive summary, scope of work (transforming 50 CAMs), explicit exclusions (no editing of raw financial numbers), 50/50 payment terms, and a DPDP Act compliance section.</w:t>
            </w:r>
          </w:p>
        </w:tc>
      </w:tr>
    </w:tbl>
    <w:p>
      <w:pPr>
        <w:spacing w:after="80"/>
      </w:pPr>
    </w:p>
    <w:p>
      <w:pPr>
        <w:spacing w:before="80" w:after="80"/>
      </w:pPr>
      <w:r>
        <w:rPr>
          <w:b/>
          <w:color w:val="2B6CB0"/>
        </w:rPr>
        <w:t xml:space="preserve">⚙️ Step 3 — Mechanism &amp; Operational Inner Workings: </w:t>
      </w:r>
      <w:r>
        <w:rPr>
          <w:rFonts w:ascii="Calibri" w:hAnsi="Calibri"/>
          <w:sz w:val="21"/>
        </w:rPr>
        <w:t>A structured proposal converts verbal client agreement into a legal commercial mandate while eliminating scope creep and establishing payment schedules.</w:t>
      </w:r>
    </w:p>
    <w:p>
      <w:pPr>
        <w:spacing w:before="80" w:after="80"/>
      </w:pPr>
      <w:r>
        <w:rPr>
          <w:b/>
          <w:color w:val="2B6CB0"/>
        </w:rPr>
        <w:t xml:space="preserve">🎯 Step 4 — Strategic Purpose &amp; Problem Solved: </w:t>
      </w:r>
      <w:r>
        <w:rPr>
          <w:rFonts w:ascii="Calibri" w:hAnsi="Calibri"/>
          <w:sz w:val="21"/>
        </w:rPr>
        <w:t>Securing executive buy-in, establishing clear project boundaries, and satisfying enterprise compliance requirements.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Scope Creep: </w:t>
      </w:r>
      <w:r>
        <w:rPr>
          <w:rFonts w:ascii="Calibri" w:hAnsi="Calibri"/>
          <w:sz w:val="20"/>
        </w:rPr>
        <w:t>Uncontrolled expansion of project deliverables without commensurate fee increases.</w:t>
      </w:r>
    </w:p>
    <w:p>
      <w:pPr>
        <w:spacing w:before="20" w:after="40"/>
        <w:ind w:left="288"/>
      </w:pPr>
      <w:r>
        <w:rPr>
          <w:rFonts w:ascii="Calibri" w:hAnsi="Calibri"/>
          <w:b/>
          <w:sz w:val="20"/>
        </w:rPr>
        <w:t xml:space="preserve">• Payment Terms: </w:t>
      </w:r>
      <w:r>
        <w:rPr>
          <w:rFonts w:ascii="Calibri" w:hAnsi="Calibri"/>
          <w:sz w:val="20"/>
        </w:rPr>
        <w:t>Commercial schedule dictating cash flow (e.g., 50% upfront upon signing, 50% upon pilot delivery).</w:t>
      </w:r>
    </w:p>
    <w:p>
      <w:pPr>
        <w:spacing w:before="120" w:after="40"/>
      </w:pPr>
      <w:r>
        <w:rPr>
          <w:b/>
          <w:color w:val="2B6CB0"/>
          <w:sz w:val="22"/>
        </w:rPr>
        <w:t>🏗️ Step 6 — Detailed Structure &amp; System Components:</w:t>
      </w:r>
    </w:p>
    <w:p>
      <w:pPr>
        <w:spacing w:before="20" w:after="40"/>
        <w:ind w:left="288"/>
      </w:pPr>
      <w:r>
        <w:rPr>
          <w:rFonts w:ascii="Calibri" w:hAnsi="Calibri"/>
          <w:sz w:val="20"/>
        </w:rPr>
        <w:t>▪ 1. Executive Summary: One-page recap of operational problem, CIRF solution, and financial impact.</w:t>
      </w:r>
    </w:p>
    <w:p>
      <w:pPr>
        <w:spacing w:before="20" w:after="40"/>
        <w:ind w:left="288"/>
      </w:pPr>
      <w:r>
        <w:rPr>
          <w:rFonts w:ascii="Calibri" w:hAnsi="Calibri"/>
          <w:sz w:val="20"/>
        </w:rPr>
        <w:t>▪ 2. Current-State Assessment: Documented operational friction in client workflow.</w:t>
      </w:r>
    </w:p>
    <w:p>
      <w:pPr>
        <w:spacing w:before="20" w:after="40"/>
        <w:ind w:left="288"/>
      </w:pPr>
      <w:r>
        <w:rPr>
          <w:rFonts w:ascii="Calibri" w:hAnsi="Calibri"/>
          <w:sz w:val="20"/>
        </w:rPr>
        <w:t>▪ 3. Proposed Methodology: Business-unit-specific semantic language development.</w:t>
      </w:r>
    </w:p>
    <w:p>
      <w:pPr>
        <w:spacing w:before="20" w:after="40"/>
        <w:ind w:left="288"/>
      </w:pPr>
      <w:r>
        <w:rPr>
          <w:rFonts w:ascii="Calibri" w:hAnsi="Calibri"/>
          <w:sz w:val="20"/>
        </w:rPr>
        <w:t>▪ 4. Scope of Work &amp; Deliverables: Precise inventory of assets (e.g., 1 rulebook, 1 Python transformation script).</w:t>
      </w:r>
    </w:p>
    <w:p>
      <w:pPr>
        <w:spacing w:before="20" w:after="40"/>
        <w:ind w:left="288"/>
      </w:pPr>
      <w:r>
        <w:rPr>
          <w:rFonts w:ascii="Calibri" w:hAnsi="Calibri"/>
          <w:sz w:val="20"/>
        </w:rPr>
        <w:t>▪ 5. Exclusions: Explicitly stating what is not included (e.g., rewriting financial figures).</w:t>
      </w:r>
    </w:p>
    <w:p>
      <w:pPr>
        <w:spacing w:before="20" w:after="40"/>
        <w:ind w:left="288"/>
      </w:pPr>
      <w:r>
        <w:rPr>
          <w:rFonts w:ascii="Calibri" w:hAnsi="Calibri"/>
          <w:sz w:val="20"/>
        </w:rPr>
        <w:t>▪ 6. Investment &amp; Payment Terms: 50% upfront, 50% upon pilot delivery.</w:t>
      </w:r>
    </w:p>
    <w:p>
      <w:pPr>
        <w:spacing w:before="20" w:after="40"/>
        <w:ind w:left="288"/>
      </w:pPr>
      <w:r>
        <w:rPr>
          <w:rFonts w:ascii="Calibri" w:hAnsi="Calibri"/>
          <w:sz w:val="20"/>
        </w:rPr>
        <w:t>▪ 7. Data Handling &amp; Privacy Section: Dedicated compliance section for DPDP Act 2023 adherence.</w:t>
      </w:r>
    </w:p>
    <w:p>
      <w:pPr>
        <w:spacing w:before="80" w:after="80"/>
      </w:pPr>
      <w:r>
        <w:rPr>
          <w:b/>
          <w:color w:val="2B6CB0"/>
        </w:rPr>
        <w:t xml:space="preserve">🔗 Step 7 — Relationships &amp; Systemic Connections: </w:t>
      </w:r>
      <w:r>
        <w:rPr>
          <w:rFonts w:ascii="Calibri" w:hAnsi="Calibri"/>
          <w:sz w:val="21"/>
        </w:rPr>
        <w:t>Integrates Pricing (Part 13) and Data Security (Part 17) into the formal sales submission.</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Always structure proposals with strict scope boundaries, 50/50 payment milestones, and explicit data privacy sections.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14 — Proposal</w:t>
              <w:br/>
              <w:t>A B2B proposal converts a verbal agreement into a commercial mandate and must follow a strict hierarchy (Type: B - Industry practice). The executive summary provides a one-page recap of the problem, the solution, and the financial impact. The current-state assessment documents the existing workflow friction, followed by the proposed methodology which explains the business-unit-specific semantic language development.</w:t>
              <w:br/>
              <w:t>The scope of work and deliverables detail exactly what will be handed over (e.g., one semantic rulebook, one Python transformation script). Exclusions explicitly state what is not included, such as rewriting the underlying financial data. Investment and payment terms outline the financial commitment, typically 50% upfront and 50% upon delivery of the pilot. For a regulated financial organization, the proposal must additionally include a dedicated section on data handling and compliance with the DPDP Act.</w:t>
            </w:r>
          </w:p>
        </w:tc>
      </w:tr>
    </w:tbl>
    <w:p>
      <w:pPr>
        <w:spacing w:after="80"/>
      </w:pPr>
    </w:p>
    <w:p>
      <w:pPr>
        <w:spacing w:before="320" w:after="120"/>
      </w:pPr>
      <w:r>
        <w:rPr>
          <w:rFonts w:ascii="Calibri" w:hAnsi="Calibri"/>
          <w:b/>
          <w:color w:val="1A365D"/>
          <w:sz w:val="32"/>
        </w:rPr>
        <w:t>PART 15 — Procurement</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Passing security screening at an international airport requires background checks, passport verification, luggage X-rays, and boarding pass validation before you are allowed to board the aircraft.</w:t>
            </w:r>
          </w:p>
          <w:p>
            <w:pPr>
              <w:spacing w:before="40" w:after="80"/>
            </w:pPr>
            <w:r>
              <w:rPr>
                <w:rFonts w:ascii="Calibri" w:hAnsi="Calibri"/>
                <w:color w:val="282828"/>
                <w:sz w:val="20"/>
              </w:rPr>
              <w:t>Real-World Business Scenario: After a COO approves your pilot, procurement subjects your Python script to security questionnaires under RBI vendor guidelines. You provide an on-premises deployment plan, receive a Purchase Order (PO), and then begin work.</w:t>
            </w:r>
          </w:p>
        </w:tc>
      </w:tr>
    </w:tbl>
    <w:p>
      <w:pPr>
        <w:spacing w:after="80"/>
      </w:pPr>
    </w:p>
    <w:p>
      <w:pPr>
        <w:spacing w:before="80" w:after="80"/>
      </w:pPr>
      <w:r>
        <w:rPr>
          <w:b/>
          <w:color w:val="2B6CB0"/>
        </w:rPr>
        <w:t xml:space="preserve">⚙️ Step 3 — Mechanism &amp; Operational Inner Workings: </w:t>
      </w:r>
      <w:r>
        <w:rPr>
          <w:rFonts w:ascii="Calibri" w:hAnsi="Calibri"/>
          <w:sz w:val="21"/>
        </w:rPr>
        <w:t>Procurement acts as an enterprise risk-control gate that evaluates vendor IT security, legal compliance, pricing justification, and contractual terms.</w:t>
      </w:r>
    </w:p>
    <w:p>
      <w:pPr>
        <w:spacing w:before="80" w:after="80"/>
      </w:pPr>
      <w:r>
        <w:rPr>
          <w:b/>
          <w:color w:val="2B6CB0"/>
        </w:rPr>
        <w:t xml:space="preserve">🎯 Step 4 — Strategic Purpose &amp; Problem Solved: </w:t>
      </w:r>
      <w:r>
        <w:rPr>
          <w:rFonts w:ascii="Calibri" w:hAnsi="Calibri"/>
          <w:sz w:val="21"/>
        </w:rPr>
        <w:t>Mitigating corporate liability and ensuring vendor compliance with banking regulations before money is released.</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Purchase Order (PO): </w:t>
      </w:r>
      <w:r>
        <w:rPr>
          <w:rFonts w:ascii="Calibri" w:hAnsi="Calibri"/>
          <w:sz w:val="20"/>
        </w:rPr>
        <w:t>Formal financial document issued by client finance approving vendor payment; work must NEVER start without it.</w:t>
      </w:r>
    </w:p>
    <w:p>
      <w:pPr>
        <w:spacing w:before="20" w:after="40"/>
        <w:ind w:left="288"/>
      </w:pPr>
      <w:r>
        <w:rPr>
          <w:rFonts w:ascii="Calibri" w:hAnsi="Calibri"/>
          <w:b/>
          <w:sz w:val="20"/>
        </w:rPr>
        <w:t xml:space="preserve">• Statement of Work (SOW): </w:t>
      </w:r>
      <w:r>
        <w:rPr>
          <w:rFonts w:ascii="Calibri" w:hAnsi="Calibri"/>
          <w:sz w:val="20"/>
        </w:rPr>
        <w:t>Project-specific legal agreement detailing deliverables, timelines, and milestone payments.</w:t>
      </w:r>
    </w:p>
    <w:p>
      <w:pPr>
        <w:spacing w:before="20" w:after="40"/>
        <w:ind w:left="288"/>
      </w:pPr>
      <w:r>
        <w:rPr>
          <w:rFonts w:ascii="Calibri" w:hAnsi="Calibri"/>
          <w:b/>
          <w:sz w:val="20"/>
        </w:rPr>
        <w:t xml:space="preserve">• Vendor Onboarding: </w:t>
      </w:r>
      <w:r>
        <w:rPr>
          <w:rFonts w:ascii="Calibri" w:hAnsi="Calibri"/>
          <w:sz w:val="20"/>
        </w:rPr>
        <w:t>Corporate vetting process evaluating IT security, legal standing, and regulatory compliance.</w:t>
      </w:r>
    </w:p>
    <w:p>
      <w:pPr>
        <w:spacing w:before="120" w:after="40"/>
      </w:pPr>
      <w:r>
        <w:rPr>
          <w:b/>
          <w:color w:val="2B6CB0"/>
          <w:sz w:val="22"/>
        </w:rPr>
        <w:t>🏗️ Step 6 — Detailed Structure &amp; System Components:</w:t>
      </w:r>
    </w:p>
    <w:p>
      <w:pPr>
        <w:spacing w:before="20" w:after="40"/>
        <w:ind w:left="288"/>
      </w:pPr>
      <w:r>
        <w:rPr>
          <w:rFonts w:ascii="Calibri" w:hAnsi="Calibri"/>
          <w:sz w:val="20"/>
        </w:rPr>
        <w:t>▪ Procurement Timeline: Consumes 30-40% of total sales cycle time.</w:t>
      </w:r>
    </w:p>
    <w:p>
      <w:pPr>
        <w:spacing w:before="20" w:after="40"/>
        <w:ind w:left="288"/>
      </w:pPr>
      <w:r>
        <w:rPr>
          <w:rFonts w:ascii="Calibri" w:hAnsi="Calibri"/>
          <w:sz w:val="20"/>
        </w:rPr>
        <w:t>▪ Vendor Onboarding Security Check: Questionnaire assessing Python data processing (local vs cloud).</w:t>
      </w:r>
    </w:p>
    <w:p>
      <w:pPr>
        <w:spacing w:before="20" w:after="40"/>
        <w:ind w:left="288"/>
      </w:pPr>
      <w:r>
        <w:rPr>
          <w:rFonts w:ascii="Calibri" w:hAnsi="Calibri"/>
          <w:sz w:val="20"/>
        </w:rPr>
        <w:t>▪ RBI Guidelines Impact: Cloud processing creates massive friction; local on-premises deployment creates low friction.</w:t>
      </w:r>
    </w:p>
    <w:p>
      <w:pPr>
        <w:spacing w:before="20" w:after="40"/>
        <w:ind w:left="288"/>
      </w:pPr>
      <w:r>
        <w:rPr>
          <w:rFonts w:ascii="Calibri" w:hAnsi="Calibri"/>
          <w:sz w:val="20"/>
        </w:rPr>
        <w:t>▪ Contractual Hierarchy: Master Services Agreement (MSA) -&gt; Statement of Work (SOW) -&gt; Purchase Order (PO).</w:t>
      </w:r>
    </w:p>
    <w:p>
      <w:pPr>
        <w:spacing w:before="20" w:after="40"/>
        <w:ind w:left="288"/>
      </w:pPr>
      <w:r>
        <w:rPr>
          <w:rFonts w:ascii="Calibri" w:hAnsi="Calibri"/>
          <w:sz w:val="20"/>
        </w:rPr>
        <w:t>▪ Cardinal Rule: WORK MUST NEVER COMMENCE WITHOUT A SIGNED PURCHASE ORDER.</w:t>
      </w:r>
    </w:p>
    <w:p>
      <w:pPr>
        <w:spacing w:before="80" w:after="80"/>
      </w:pPr>
      <w:r>
        <w:rPr>
          <w:b/>
          <w:color w:val="2B6CB0"/>
        </w:rPr>
        <w:t xml:space="preserve">🔗 Step 7 — Relationships &amp; Systemic Connections: </w:t>
      </w:r>
      <w:r>
        <w:rPr>
          <w:rFonts w:ascii="Calibri" w:hAnsi="Calibri"/>
          <w:sz w:val="21"/>
        </w:rPr>
        <w:t>Connects Proposal sign-off (Part 14) to Contracts &amp; Legal Execution (Part 16).</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Expect procurement to take 30-40% of the deal timeline; never start work until a formal Purchase Order is issued.</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15 — Procurement</w:t>
              <w:br/>
              <w:t>When an executive agrees to move forward and hands the process to procurement, the sales process is only halfway complete. Procurement exists to mitigate risk and control costs, and the proposal phase, which is often the longest, consumes 30-40% of the total cycle time.</w:t>
              <w:br/>
              <w:t>The service provider will be subjected to vendor onboarding. This requires security questionnaires assessing how the Python engine processes data. If it runs locally on the client's servers, security friction is low. If it processes documents in the cloud, friction is immensely high due to RBI guidelines regarding third-party service providers. The Master Services Agreement (MSA) acts as the overarching legal contract governing the relationship, while the Statement of Work (SOW) details the immediate project, timeline, and fees. The purchase order (PO) must be signed off by finance, legal, and the original business sponsor. A critical beginner mistake is starting work before the PO is issued; work must never commence without a formal PO.</w:t>
            </w:r>
          </w:p>
        </w:tc>
      </w:tr>
    </w:tbl>
    <w:p>
      <w:pPr>
        <w:spacing w:after="80"/>
      </w:pPr>
    </w:p>
    <w:p>
      <w:pPr>
        <w:spacing w:before="320" w:after="120"/>
      </w:pPr>
      <w:r>
        <w:rPr>
          <w:rFonts w:ascii="Calibri" w:hAnsi="Calibri"/>
          <w:b/>
          <w:color w:val="1A365D"/>
          <w:sz w:val="32"/>
        </w:rPr>
        <w:t>PART 16 — Contracts and Risk</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When you rent a car, the contract caps your max financial liability for dent damage, excluding responsibility for general road traffic delays or lost business meetings.</w:t>
            </w:r>
          </w:p>
          <w:p>
            <w:pPr>
              <w:spacing w:before="40" w:after="80"/>
            </w:pPr>
            <w:r>
              <w:rPr>
                <w:rFonts w:ascii="Calibri" w:hAnsi="Calibri"/>
                <w:color w:val="282828"/>
                <w:sz w:val="20"/>
              </w:rPr>
              <w:t>Real-World Business Scenario: An analyst misreads a number and makes a bad ₹10 Crore trade. They try to blame CIRF. Because your contract contains a Limitation of Liability clause (capped at 1x contract fee) and excludes indirect losses, your firm is legally protected.</w:t>
            </w:r>
          </w:p>
        </w:tc>
      </w:tr>
    </w:tbl>
    <w:p>
      <w:pPr>
        <w:spacing w:after="80"/>
      </w:pPr>
    </w:p>
    <w:p>
      <w:pPr>
        <w:spacing w:before="80" w:after="80"/>
      </w:pPr>
      <w:r>
        <w:rPr>
          <w:b/>
          <w:color w:val="2B6CB0"/>
        </w:rPr>
        <w:t xml:space="preserve">⚙️ Step 3 — Mechanism &amp; Operational Inner Workings: </w:t>
      </w:r>
      <w:r>
        <w:rPr>
          <w:rFonts w:ascii="Calibri" w:hAnsi="Calibri"/>
          <w:sz w:val="21"/>
        </w:rPr>
        <w:t>Legal contract risk management establishes clear boundaries on financial liability, intellectual property ownership, indirect loss exclusions, and formal deliverable acceptance timelines.</w:t>
      </w:r>
    </w:p>
    <w:p>
      <w:pPr>
        <w:spacing w:before="80" w:after="80"/>
      </w:pPr>
      <w:r>
        <w:rPr>
          <w:b/>
          <w:color w:val="2B6CB0"/>
        </w:rPr>
        <w:t xml:space="preserve">🎯 Step 4 — Strategic Purpose &amp; Problem Solved: </w:t>
      </w:r>
      <w:r>
        <w:rPr>
          <w:rFonts w:ascii="Calibri" w:hAnsi="Calibri"/>
          <w:sz w:val="21"/>
        </w:rPr>
        <w:t>Protecting the service provider from existential financial lawsuits caused by client operational errors or market losses.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Limitation of Liability: </w:t>
      </w:r>
      <w:r>
        <w:rPr>
          <w:rFonts w:ascii="Calibri" w:hAnsi="Calibri"/>
          <w:sz w:val="20"/>
        </w:rPr>
        <w:t>Clause capping total legal damages to a multiple of fees paid under the SOW (e.g., 1x or 2x contract value).</w:t>
      </w:r>
    </w:p>
    <w:p>
      <w:pPr>
        <w:spacing w:before="20" w:after="40"/>
        <w:ind w:left="288"/>
      </w:pPr>
      <w:r>
        <w:rPr>
          <w:rFonts w:ascii="Calibri" w:hAnsi="Calibri"/>
          <w:b/>
          <w:sz w:val="20"/>
        </w:rPr>
        <w:t xml:space="preserve">• Exclusion of Indirect Losses: </w:t>
      </w:r>
      <w:r>
        <w:rPr>
          <w:rFonts w:ascii="Calibri" w:hAnsi="Calibri"/>
          <w:sz w:val="20"/>
        </w:rPr>
        <w:t>Clause ensuring provider is never liable for lost profits, lost business opportunities, or market losses.</w:t>
      </w:r>
    </w:p>
    <w:p>
      <w:pPr>
        <w:spacing w:before="20" w:after="40"/>
        <w:ind w:left="288"/>
      </w:pPr>
      <w:r>
        <w:rPr>
          <w:rFonts w:ascii="Calibri" w:hAnsi="Calibri"/>
          <w:b/>
          <w:sz w:val="20"/>
        </w:rPr>
        <w:t xml:space="preserve">• Acceptance Criteria: </w:t>
      </w:r>
      <w:r>
        <w:rPr>
          <w:rFonts w:ascii="Calibri" w:hAnsi="Calibri"/>
          <w:sz w:val="20"/>
        </w:rPr>
        <w:t>Stipulation that deliverables are deemed accepted if client does not request revisions within 5 business days.</w:t>
      </w:r>
    </w:p>
    <w:p>
      <w:pPr>
        <w:spacing w:before="120" w:after="40"/>
      </w:pPr>
      <w:r>
        <w:rPr>
          <w:b/>
          <w:color w:val="2B6CB0"/>
          <w:sz w:val="22"/>
        </w:rPr>
        <w:t>🏗️ Step 6 — Detailed Structure &amp; System Components:</w:t>
      </w:r>
    </w:p>
    <w:p>
      <w:pPr>
        <w:spacing w:before="20" w:after="40"/>
        <w:ind w:left="288"/>
      </w:pPr>
      <w:r>
        <w:rPr>
          <w:rFonts w:ascii="Calibri" w:hAnsi="Calibri"/>
          <w:sz w:val="20"/>
        </w:rPr>
        <w:t>▪ 1. Limitation of Liability: Mandatory clause capping total liability to 1x or 2x SOW contract fees.</w:t>
      </w:r>
    </w:p>
    <w:p>
      <w:pPr>
        <w:spacing w:before="20" w:after="40"/>
        <w:ind w:left="288"/>
      </w:pPr>
      <w:r>
        <w:rPr>
          <w:rFonts w:ascii="Calibri" w:hAnsi="Calibri"/>
          <w:sz w:val="20"/>
        </w:rPr>
        <w:t>▪ 2. Indirect Loss Exclusion: Explicit protection against claims for lost profits, business opportunities, or trading losses.</w:t>
      </w:r>
    </w:p>
    <w:p>
      <w:pPr>
        <w:spacing w:before="20" w:after="40"/>
        <w:ind w:left="288"/>
      </w:pPr>
      <w:r>
        <w:rPr>
          <w:rFonts w:ascii="Calibri" w:hAnsi="Calibri"/>
          <w:sz w:val="20"/>
        </w:rPr>
        <w:t>▪ 3. Intellectual Property Ownership: Client owns underlying document data; provider retains absolute ownership of CIRF methodology and Python codebase.</w:t>
      </w:r>
    </w:p>
    <w:p>
      <w:pPr>
        <w:spacing w:before="20" w:after="40"/>
        <w:ind w:left="288"/>
      </w:pPr>
      <w:r>
        <w:rPr>
          <w:rFonts w:ascii="Calibri" w:hAnsi="Calibri"/>
          <w:sz w:val="20"/>
        </w:rPr>
        <w:t>▪ 4. Acceptance Criteria Protocol: Deliverables deemed accepted if no written revisions are submitted within 5 business days.</w:t>
      </w:r>
    </w:p>
    <w:p>
      <w:pPr>
        <w:spacing w:before="80" w:after="80"/>
      </w:pPr>
      <w:r>
        <w:rPr>
          <w:b/>
          <w:color w:val="2B6CB0"/>
        </w:rPr>
        <w:t xml:space="preserve">🔗 Step 7 — Relationships &amp; Systemic Connections: </w:t>
      </w:r>
      <w:r>
        <w:rPr>
          <w:rFonts w:ascii="Calibri" w:hAnsi="Calibri"/>
          <w:sz w:val="21"/>
        </w:rPr>
        <w:t>Defines the risk boundaries for Procurement (Part 15) and Data Security (Part 17).</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Always include 1x/2x liability caps, indirect loss exclusions, IP ownership retention, and 5-day acceptance clauses in MSAs.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16 — Contracts and Risk</w:t>
              <w:br/>
              <w:t>Commercial literacy is paramount to avoid assuming infinite liability (Type: B - Industry practice). The contract must contain a limitation of liability clause, capping total liability to a multiple of the fees paid under the specific SOW (e.g., 1x or 2x the contract value). Without this, a client could sue for millions if they claim a document transformation error led to a bad trade.</w:t>
              <w:br/>
              <w:t>Furthermore, there must be an explicit exclusion of indirect losses, ensuring the provider is never liable for lost profits, loss of business opportunity, or market losses. Regarding intellectual property, the client owns their documents, while the provider retains absolute ownership of the CIRF methodology and the Python codebase, granting the client a license to use the output. Acceptance criteria must stipulate that deliverables are deemed accepted if the client does not request revisions within five business days.</w:t>
            </w:r>
          </w:p>
        </w:tc>
      </w:tr>
    </w:tbl>
    <w:p>
      <w:pPr>
        <w:spacing w:after="80"/>
      </w:pPr>
    </w:p>
    <w:p>
      <w:pPr>
        <w:spacing w:before="320" w:after="120"/>
      </w:pPr>
      <w:r>
        <w:rPr>
          <w:rFonts w:ascii="Calibri" w:hAnsi="Calibri"/>
          <w:b/>
          <w:color w:val="1A365D"/>
          <w:sz w:val="32"/>
        </w:rPr>
        <w:t>PART 17 — Data Security</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bank vault company builds armor-plated safe boxes inside the bank's own physical building, ensuring the vault company never takes client cash off the bank premises.</w:t>
            </w:r>
          </w:p>
          <w:p>
            <w:pPr>
              <w:spacing w:before="40" w:after="80"/>
            </w:pPr>
            <w:r>
              <w:rPr>
                <w:rFonts w:ascii="Calibri" w:hAnsi="Calibri"/>
                <w:color w:val="282828"/>
                <w:sz w:val="20"/>
              </w:rPr>
              <w:t>Real-World Business Scenario: Under the DPDP Act 2023, processing financial documents in the cloud carries fines up to ₹250 Crore. By deploying your cold Python engine directly on the client's internal servers (on-premises), client data never leaves their firewall.</w:t>
            </w:r>
          </w:p>
        </w:tc>
      </w:tr>
    </w:tbl>
    <w:p>
      <w:pPr>
        <w:spacing w:after="80"/>
      </w:pPr>
    </w:p>
    <w:p>
      <w:pPr>
        <w:spacing w:before="80" w:after="80"/>
      </w:pPr>
      <w:r>
        <w:rPr>
          <w:b/>
          <w:color w:val="2B6CB0"/>
        </w:rPr>
        <w:t xml:space="preserve">⚙️ Step 3 — Mechanism &amp; Operational Inner Workings: </w:t>
      </w:r>
      <w:r>
        <w:rPr>
          <w:rFonts w:ascii="Calibri" w:hAnsi="Calibri"/>
          <w:sz w:val="21"/>
        </w:rPr>
        <w:t>On-premises software deployment ensures zero external data transmission, complying with statutory data privacy laws and banking IT governance mandates.</w:t>
      </w:r>
    </w:p>
    <w:p>
      <w:pPr>
        <w:spacing w:before="80" w:after="80"/>
      </w:pPr>
      <w:r>
        <w:rPr>
          <w:b/>
          <w:color w:val="2B6CB0"/>
        </w:rPr>
        <w:t xml:space="preserve">🎯 Step 4 — Strategic Purpose &amp; Problem Solved: </w:t>
      </w:r>
      <w:r>
        <w:rPr>
          <w:rFonts w:ascii="Calibri" w:hAnsi="Calibri"/>
          <w:sz w:val="21"/>
        </w:rPr>
        <w:t>Eliminating CISO security objections, bypassing cloud audit hurdles, and preventing catastrophic regulatory penalties.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Data Fiduciary vs Data Processor: </w:t>
      </w:r>
      <w:r>
        <w:rPr>
          <w:rFonts w:ascii="Calibri" w:hAnsi="Calibri"/>
          <w:sz w:val="20"/>
        </w:rPr>
        <w:t>Under DPDP Act 2023, client is Fiduciary (data owner); service provider is Processor (data operator).</w:t>
      </w:r>
    </w:p>
    <w:p>
      <w:pPr>
        <w:spacing w:before="20" w:after="40"/>
        <w:ind w:left="288"/>
      </w:pPr>
      <w:r>
        <w:rPr>
          <w:rFonts w:ascii="Calibri" w:hAnsi="Calibri"/>
          <w:b/>
          <w:sz w:val="20"/>
        </w:rPr>
        <w:t xml:space="preserve">• Section 8(2) DPDP Act 2023: </w:t>
      </w:r>
      <w:r>
        <w:rPr>
          <w:rFonts w:ascii="Calibri" w:hAnsi="Calibri"/>
          <w:sz w:val="20"/>
        </w:rPr>
        <w:t>Mandates formal Data Processing Agreement (DPA), AI model training prohibition, data deletion, and 24h breach notification.</w:t>
      </w:r>
    </w:p>
    <w:p>
      <w:pPr>
        <w:spacing w:before="20" w:after="40"/>
        <w:ind w:left="288"/>
      </w:pPr>
      <w:r>
        <w:rPr>
          <w:rFonts w:ascii="Calibri" w:hAnsi="Calibri"/>
          <w:b/>
          <w:sz w:val="20"/>
        </w:rPr>
        <w:t xml:space="preserve">• RBI Master Direction on IT Governance (April 2024): </w:t>
      </w:r>
      <w:r>
        <w:rPr>
          <w:rFonts w:ascii="Calibri" w:hAnsi="Calibri"/>
          <w:sz w:val="20"/>
        </w:rPr>
        <w:t>Directive requiring rigorous third-party vendor IT auditability and business continuity.</w:t>
      </w:r>
    </w:p>
    <w:p>
      <w:pPr>
        <w:spacing w:before="20" w:after="40"/>
        <w:ind w:left="288"/>
      </w:pPr>
      <w:r>
        <w:rPr>
          <w:rFonts w:ascii="Calibri" w:hAnsi="Calibri"/>
          <w:b/>
          <w:sz w:val="20"/>
        </w:rPr>
        <w:t xml:space="preserve">• On-Premises Deployment: </w:t>
      </w:r>
      <w:r>
        <w:rPr>
          <w:rFonts w:ascii="Calibri" w:hAnsi="Calibri"/>
          <w:sz w:val="20"/>
        </w:rPr>
        <w:t>Installing cold Python engine directly behind client firewall so no data touches external servers.</w:t>
      </w:r>
    </w:p>
    <w:p>
      <w:pPr>
        <w:spacing w:before="120" w:after="40"/>
      </w:pPr>
      <w:r>
        <w:rPr>
          <w:b/>
          <w:color w:val="2B6CB0"/>
          <w:sz w:val="22"/>
        </w:rPr>
        <w:t>🏗️ Step 6 — Detailed Structure &amp; System Components:</w:t>
      </w:r>
    </w:p>
    <w:p>
      <w:pPr>
        <w:spacing w:before="20" w:after="40"/>
        <w:ind w:left="288"/>
      </w:pPr>
      <w:r>
        <w:rPr>
          <w:rFonts w:ascii="Calibri" w:hAnsi="Calibri"/>
          <w:sz w:val="20"/>
        </w:rPr>
        <w:t>▪ Legal Landscape: DPDP Act 2023 (Fines up to ₹250 Crore for non-compliance).</w:t>
      </w:r>
    </w:p>
    <w:p>
      <w:pPr>
        <w:spacing w:before="20" w:after="40"/>
        <w:ind w:left="288"/>
      </w:pPr>
      <w:r>
        <w:rPr>
          <w:rFonts w:ascii="Calibri" w:hAnsi="Calibri"/>
          <w:sz w:val="20"/>
        </w:rPr>
        <w:t>▪ Key DPA Requirements: Prohibiting client data training on external AI models, mandatory data deletion post-transformation, breach notification within 24 hours.</w:t>
      </w:r>
    </w:p>
    <w:p>
      <w:pPr>
        <w:spacing w:before="20" w:after="40"/>
        <w:ind w:left="288"/>
      </w:pPr>
      <w:r>
        <w:rPr>
          <w:rFonts w:ascii="Calibri" w:hAnsi="Calibri"/>
          <w:sz w:val="20"/>
        </w:rPr>
        <w:t>▪ Banking Regulations: RBI Master Direction on IT Governance (effective April 2024).</w:t>
      </w:r>
    </w:p>
    <w:p>
      <w:pPr>
        <w:spacing w:before="20" w:after="40"/>
        <w:ind w:left="288"/>
      </w:pPr>
      <w:r>
        <w:rPr>
          <w:rFonts w:ascii="Calibri" w:hAnsi="Calibri"/>
          <w:sz w:val="20"/>
        </w:rPr>
        <w:t>▪ Recommended Architecture (Type: D): Deploy cold Python engine on-premises behind client firewall so provider never stores/possesses sensitive data.</w:t>
      </w:r>
    </w:p>
    <w:p>
      <w:pPr>
        <w:spacing w:before="80" w:after="80"/>
      </w:pPr>
      <w:r>
        <w:rPr>
          <w:b/>
          <w:color w:val="2B6CB0"/>
        </w:rPr>
        <w:t xml:space="preserve">🔗 Step 7 — Relationships &amp; Systemic Connections: </w:t>
      </w:r>
      <w:r>
        <w:rPr>
          <w:rFonts w:ascii="Calibri" w:hAnsi="Calibri"/>
          <w:sz w:val="21"/>
        </w:rPr>
        <w:t>Provides technical security compliance answers required by CISOs (Part 6, Part 18).</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Offer on-premises local server deployment to bypass cloud data friction and guarantee full DPDP Act compliance.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17 — Data Security</w:t>
              <w:br/>
              <w:t>Handling financial documents triggers extreme regulatory scrutiny in India. Under the Digital Personal Data Protection (DPDP) Act 2023, the client is the "Data Fiduciary" and the service provider is the "Data Processor".</w:t>
              <w:br/>
              <w:t>Section 8(2) of the DPDP Act mandates a valid Data Processing Agreement (DPA) between the fiduciary and processor. The DPA must include prohibitions on using client data to train external AI models, mandatory deletion protocols once the transformation is complete, and breach notification requirements within 24 hours. Fines for non-compliance under the DPDP Act can reach ₹250 crore.</w:t>
              <w:br/>
              <w:t>Furthermore, the RBI Master Direction on IT Governance (effective April 2024) forces banks and NBFCs to audit third-party vendors rigorously, ensuring business continuity and data security. To bypass this immense friction, the optimal technical architecture involves deploying the cold Python transformation engine directly on the client's internal servers (on-premises), ensuring the service provider never possesses or stores the sensitive data (Type: D - Your recommendation).</w:t>
            </w:r>
          </w:p>
        </w:tc>
      </w:tr>
    </w:tbl>
    <w:p>
      <w:pPr>
        <w:spacing w:after="80"/>
      </w:pPr>
    </w:p>
    <w:p>
      <w:pPr>
        <w:spacing w:before="320" w:after="120"/>
      </w:pPr>
      <w:r>
        <w:rPr>
          <w:rFonts w:ascii="Calibri" w:hAnsi="Calibri"/>
          <w:b/>
          <w:color w:val="1A365D"/>
          <w:sz w:val="32"/>
        </w:rPr>
        <w:t>PART 18 — Objections</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When a buyer asks a car dealer 'Does this car handle snow well?', they aren't rejecting the car—they are asking for reassurance about safety features before making a decision.</w:t>
            </w:r>
          </w:p>
          <w:p>
            <w:pPr>
              <w:spacing w:before="40" w:after="80"/>
            </w:pPr>
            <w:r>
              <w:rPr>
                <w:rFonts w:ascii="Calibri" w:hAnsi="Calibri"/>
                <w:color w:val="282828"/>
                <w:sz w:val="20"/>
              </w:rPr>
              <w:t>Real-World Business Scenario: A CISO says: 'We can't upload CAMs to your script due to RBI rules.' You respond immediately: 'Our script deploys locally behind your firewall; no data ever leaves your server.' The CISO approves.</w:t>
            </w:r>
          </w:p>
        </w:tc>
      </w:tr>
    </w:tbl>
    <w:p>
      <w:pPr>
        <w:spacing w:after="80"/>
      </w:pPr>
    </w:p>
    <w:p>
      <w:pPr>
        <w:spacing w:before="80" w:after="80"/>
      </w:pPr>
      <w:r>
        <w:rPr>
          <w:b/>
          <w:color w:val="2B6CB0"/>
        </w:rPr>
        <w:t xml:space="preserve">⚙️ Step 3 — Mechanism &amp; Operational Inner Workings: </w:t>
      </w:r>
      <w:r>
        <w:rPr>
          <w:rFonts w:ascii="Calibri" w:hAnsi="Calibri"/>
          <w:sz w:val="21"/>
        </w:rPr>
        <w:t>Objection handling reframes prospect pushback into structured operational clarifications that resolve underlying risk concerns.</w:t>
      </w:r>
    </w:p>
    <w:p>
      <w:pPr>
        <w:spacing w:before="80" w:after="80"/>
      </w:pPr>
      <w:r>
        <w:rPr>
          <w:b/>
          <w:color w:val="2B6CB0"/>
        </w:rPr>
        <w:t xml:space="preserve">🎯 Step 4 — Strategic Purpose &amp; Problem Solved: </w:t>
      </w:r>
      <w:r>
        <w:rPr>
          <w:rFonts w:ascii="Calibri" w:hAnsi="Calibri"/>
          <w:sz w:val="21"/>
        </w:rPr>
        <w:t>Preventing deal cancellation during executive, technical, or budget review phases.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Objection Reframing: </w:t>
      </w:r>
      <w:r>
        <w:rPr>
          <w:rFonts w:ascii="Calibri" w:hAnsi="Calibri"/>
          <w:sz w:val="20"/>
        </w:rPr>
        <w:t>Treating sales objections as requests for technical or operational clarification.</w:t>
      </w:r>
    </w:p>
    <w:p>
      <w:pPr>
        <w:spacing w:before="20" w:after="40"/>
        <w:ind w:left="288"/>
      </w:pPr>
      <w:r>
        <w:rPr>
          <w:rFonts w:ascii="Calibri" w:hAnsi="Calibri"/>
          <w:b/>
          <w:sz w:val="20"/>
        </w:rPr>
        <w:t xml:space="preserve">• Deterministic vs Probabilistic: </w:t>
      </w:r>
      <w:r>
        <w:rPr>
          <w:rFonts w:ascii="Calibri" w:hAnsi="Calibri"/>
          <w:sz w:val="20"/>
        </w:rPr>
        <w:t>Deterministic code executes exact rules without error; probabilistic AI guesses and hallucinates.</w:t>
      </w:r>
    </w:p>
    <w:p>
      <w:pPr>
        <w:spacing w:before="120" w:after="40"/>
      </w:pPr>
      <w:r>
        <w:rPr>
          <w:b/>
          <w:color w:val="2B6CB0"/>
          <w:sz w:val="22"/>
        </w:rPr>
        <w:t>🏗️ Step 6 — Detailed Structure &amp; System Components:</w:t>
      </w:r>
    </w:p>
    <w:p>
      <w:pPr>
        <w:spacing w:before="20" w:after="40"/>
        <w:ind w:left="288"/>
      </w:pPr>
      <w:r>
        <w:rPr>
          <w:rFonts w:ascii="Calibri" w:hAnsi="Calibri"/>
          <w:sz w:val="20"/>
        </w:rPr>
        <w:t>▪ Objection 1: 'We already have a design team.'</w:t>
      </w:r>
    </w:p>
    <w:p>
      <w:pPr>
        <w:spacing w:before="20" w:after="40"/>
        <w:ind w:left="288"/>
      </w:pPr>
      <w:r>
        <w:rPr>
          <w:rFonts w:ascii="Calibri" w:hAnsi="Calibri"/>
          <w:sz w:val="20"/>
        </w:rPr>
        <w:t>▪ Response: CIRF is an information architecture system, not graphic design. Design teams focus on aesthetics; CIRF establishes deterministic semantic rules so operational risk markers are universally recognized by underwriting personnel.</w:t>
      </w:r>
    </w:p>
    <w:p>
      <w:pPr>
        <w:spacing w:before="20" w:after="40"/>
        <w:ind w:left="288"/>
      </w:pPr>
      <w:r>
        <w:rPr>
          <w:rFonts w:ascii="Calibri" w:hAnsi="Calibri"/>
          <w:sz w:val="20"/>
        </w:rPr>
        <w:t>▪ Objection 2: 'Can AI do this?'</w:t>
      </w:r>
    </w:p>
    <w:p>
      <w:pPr>
        <w:spacing w:before="20" w:after="40"/>
        <w:ind w:left="288"/>
      </w:pPr>
      <w:r>
        <w:rPr>
          <w:rFonts w:ascii="Calibri" w:hAnsi="Calibri"/>
          <w:sz w:val="20"/>
        </w:rPr>
        <w:t>▪ Response: Generative AI is probabilistic—it guesses and hallucinates. In Credit Appraisal Memos, hallucinations are catastrophic. CIRF utilizes cold, deterministic Python rules ensuring 100% structural fidelity.</w:t>
      </w:r>
    </w:p>
    <w:p>
      <w:pPr>
        <w:spacing w:before="20" w:after="40"/>
        <w:ind w:left="288"/>
      </w:pPr>
      <w:r>
        <w:rPr>
          <w:rFonts w:ascii="Calibri" w:hAnsi="Calibri"/>
          <w:sz w:val="20"/>
        </w:rPr>
        <w:t>▪ Objection 3: 'We have no budget / reconnect next year.'</w:t>
      </w:r>
    </w:p>
    <w:p>
      <w:pPr>
        <w:spacing w:before="20" w:after="40"/>
        <w:ind w:left="288"/>
      </w:pPr>
      <w:r>
        <w:rPr>
          <w:rFonts w:ascii="Calibri" w:hAnsi="Calibri"/>
          <w:sz w:val="20"/>
        </w:rPr>
        <w:t>▪ Response: Inquire if turnaround times on research reports meet internal SLAs. If not, offer a small, zero-integration diagnostic pilot to generate ROI data for the upcoming budget cycle.</w:t>
      </w:r>
    </w:p>
    <w:p>
      <w:pPr>
        <w:spacing w:before="80" w:after="80"/>
      </w:pPr>
      <w:r>
        <w:rPr>
          <w:b/>
          <w:color w:val="2B6CB0"/>
        </w:rPr>
        <w:t xml:space="preserve">🔗 Step 7 — Relationships &amp; Systemic Connections: </w:t>
      </w:r>
      <w:r>
        <w:rPr>
          <w:rFonts w:ascii="Calibri" w:hAnsi="Calibri"/>
          <w:sz w:val="21"/>
        </w:rPr>
        <w:t>Translates Data Security (Part 17) and Demonstration (Part 11) into live sales script answers.</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Memorize exact responses for design team, generative AI, and zero-budget objections.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18 — Objections</w:t>
              <w:br/>
              <w:t>Objections are requests for clarification wrapped in skepticism (Type: C - Expert Inference).</w:t>
              <w:br/>
              <w:t>When a prospect states, "We already have a design team," the professional response clarifies that CIRF is an information architecture system, not a design initiative. Design teams focus on aesthetics, whereas CIRF focuses on establishing deterministic semantic rules so operational risk markers are universally recognized by underwriting personnel.</w:t>
              <w:br/>
              <w:t>If asked, "Can AI do this?", the provider must explain that generative AI is probabilistic; it guesses and hallucinates. When processing a Credit Appraisal Memo, hallucinations are catastrophic. CIRF utilizes deterministic, cold Python rules to ensure 100% structural fidelity of the underlying data.</w:t>
              <w:br/>
              <w:t>If the prospect claims to have no budget and asks to reconnect next year, the provider should inquire if turnaround times on research reports are currently meeting internal service level agreements. If not, a small, zero-integration diagnostic pilot can be run immediately to provide data for the upcoming budget cycle.</w:t>
            </w:r>
          </w:p>
        </w:tc>
      </w:tr>
    </w:tbl>
    <w:p>
      <w:pPr>
        <w:spacing w:after="80"/>
      </w:pPr>
    </w:p>
    <w:p>
      <w:pPr>
        <w:spacing w:before="320" w:after="120"/>
      </w:pPr>
      <w:r>
        <w:rPr>
          <w:rFonts w:ascii="Calibri" w:hAnsi="Calibri"/>
          <w:b/>
          <w:color w:val="1A365D"/>
          <w:sz w:val="32"/>
        </w:rPr>
        <w:t>PART 19 — Negotiation</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If a customer asks a contractor for a discount on building a 4-bedroom house, the contractor doesn't lower the price for free—they agree to the lower budget by building a 3-bedroom house instead.</w:t>
            </w:r>
          </w:p>
          <w:p>
            <w:pPr>
              <w:spacing w:before="40" w:after="80"/>
            </w:pPr>
            <w:r>
              <w:rPr>
                <w:rFonts w:ascii="Calibri" w:hAnsi="Calibri"/>
                <w:color w:val="282828"/>
                <w:sz w:val="20"/>
              </w:rPr>
              <w:t>Real-World Business Scenario: Procurement asks for a 20% discount on a ₹10 Lakh proposal. You respond: 'We can accommodate your budget by removing custom rulebook development for your secondary research team, keeping the scope focused on primary underwriting.'</w:t>
            </w:r>
          </w:p>
        </w:tc>
      </w:tr>
    </w:tbl>
    <w:p>
      <w:pPr>
        <w:spacing w:after="80"/>
      </w:pPr>
    </w:p>
    <w:p>
      <w:pPr>
        <w:spacing w:before="80" w:after="80"/>
      </w:pPr>
      <w:r>
        <w:rPr>
          <w:b/>
          <w:color w:val="2B6CB0"/>
        </w:rPr>
        <w:t xml:space="preserve">⚙️ Step 3 — Mechanism &amp; Operational Inner Workings: </w:t>
      </w:r>
      <w:r>
        <w:rPr>
          <w:rFonts w:ascii="Calibri" w:hAnsi="Calibri"/>
          <w:sz w:val="21"/>
        </w:rPr>
        <w:t>Commercial negotiation maintains firm price-to-value integrity by trading scope reductions for fee concessions, utilizing pre-established ROI metrics as price anchors.</w:t>
      </w:r>
    </w:p>
    <w:p>
      <w:pPr>
        <w:spacing w:before="80" w:after="80"/>
      </w:pPr>
      <w:r>
        <w:rPr>
          <w:b/>
          <w:color w:val="2B6CB0"/>
        </w:rPr>
        <w:t xml:space="preserve">🎯 Step 4 — Strategic Purpose &amp; Problem Solved: </w:t>
      </w:r>
      <w:r>
        <w:rPr>
          <w:rFonts w:ascii="Calibri" w:hAnsi="Calibri"/>
          <w:sz w:val="21"/>
        </w:rPr>
        <w:t>Protecting enterprise profit margins and preventing commoditization during procurement negotiation.</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Price Anchoring: </w:t>
      </w:r>
      <w:r>
        <w:rPr>
          <w:rFonts w:ascii="Calibri" w:hAnsi="Calibri"/>
          <w:sz w:val="20"/>
        </w:rPr>
        <w:t>Presenting full enterprise rollout pricing upfront so pilot pricing appears highly accessible.</w:t>
      </w:r>
    </w:p>
    <w:p>
      <w:pPr>
        <w:spacing w:before="20" w:after="40"/>
        <w:ind w:left="288"/>
      </w:pPr>
      <w:r>
        <w:rPr>
          <w:rFonts w:ascii="Calibri" w:hAnsi="Calibri"/>
          <w:b/>
          <w:sz w:val="20"/>
        </w:rPr>
        <w:t xml:space="preserve">• Scope Reduction Trade: </w:t>
      </w:r>
      <w:r>
        <w:rPr>
          <w:rFonts w:ascii="Calibri" w:hAnsi="Calibri"/>
          <w:sz w:val="20"/>
        </w:rPr>
        <w:t>Decreasing deliverable scope whenever a client demands price concessions.</w:t>
      </w:r>
    </w:p>
    <w:p>
      <w:pPr>
        <w:spacing w:before="120" w:after="40"/>
      </w:pPr>
      <w:r>
        <w:rPr>
          <w:b/>
          <w:color w:val="2B6CB0"/>
          <w:sz w:val="22"/>
        </w:rPr>
        <w:t>🏗️ Step 6 — Detailed Structure &amp; System Components:</w:t>
      </w:r>
    </w:p>
    <w:p>
      <w:pPr>
        <w:spacing w:before="20" w:after="40"/>
        <w:ind w:left="288"/>
      </w:pPr>
      <w:r>
        <w:rPr>
          <w:rFonts w:ascii="Calibri" w:hAnsi="Calibri"/>
          <w:sz w:val="20"/>
        </w:rPr>
        <w:t>▪ Core Principle: Exchange value; never discount prices without reducing scope (Type: B - Industry practice).</w:t>
      </w:r>
    </w:p>
    <w:p>
      <w:pPr>
        <w:spacing w:before="20" w:after="40"/>
        <w:ind w:left="288"/>
      </w:pPr>
      <w:r>
        <w:rPr>
          <w:rFonts w:ascii="Calibri" w:hAnsi="Calibri"/>
          <w:sz w:val="20"/>
        </w:rPr>
        <w:t>▪ Anchoring Strategy: Present full enterprise rollout price first to make pilot fees highly accessible.</w:t>
      </w:r>
    </w:p>
    <w:p>
      <w:pPr>
        <w:spacing w:before="20" w:after="40"/>
        <w:ind w:left="288"/>
      </w:pPr>
      <w:r>
        <w:rPr>
          <w:rFonts w:ascii="Calibri" w:hAnsi="Calibri"/>
          <w:sz w:val="20"/>
        </w:rPr>
        <w:t>▪ Discount Protocol: If client requests 20% discount, remove secondary department rulebook development rather than cutting price.</w:t>
      </w:r>
    </w:p>
    <w:p>
      <w:pPr>
        <w:spacing w:before="20" w:after="40"/>
        <w:ind w:left="288"/>
      </w:pPr>
      <w:r>
        <w:rPr>
          <w:rFonts w:ascii="Calibri" w:hAnsi="Calibri"/>
          <w:sz w:val="20"/>
        </w:rPr>
        <w:t>▪ Procurement Pushback: Stand firm on core value using pre-established discovery ROI metrics to defend pricing.</w:t>
      </w:r>
    </w:p>
    <w:p>
      <w:pPr>
        <w:spacing w:before="80" w:after="80"/>
      </w:pPr>
      <w:r>
        <w:rPr>
          <w:b/>
          <w:color w:val="2B6CB0"/>
        </w:rPr>
        <w:t xml:space="preserve">🔗 Step 7 — Relationships &amp; Systemic Connections: </w:t>
      </w:r>
      <w:r>
        <w:rPr>
          <w:rFonts w:ascii="Calibri" w:hAnsi="Calibri"/>
          <w:sz w:val="21"/>
        </w:rPr>
        <w:t>Protects Pricing (Part 13) and Proposals (Part 14) during Procurement (Part 15).</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Never reduce prices without removing deliverables, and defend fees using discovery ROI figures.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19 — Negotiation</w:t>
              <w:br/>
              <w:t>Professional negotiation revolves around exchanging value, not simply discounting prices (Type: B - Industry practice). The technique of anchoring involves presenting the full enterprise rollout price first, making the subsequent pilot price appear highly accessible.</w:t>
              <w:br/>
              <w:t>When faced with requests for concessions, the provider must never lower the price without commensurately reducing the scope. If the client requests a 20% discount, the correct response is to accommodate that budget by removing custom rulebook development for a secondary department, focusing solely on the primary unit. Procurement departments will demand discounts as a matter of protocol; the service provider must hold firm on the core value, utilizing the pre-established ROI metrics gathered during the discovery phase to defend the pricing structure.</w:t>
            </w:r>
          </w:p>
        </w:tc>
      </w:tr>
    </w:tbl>
    <w:p>
      <w:pPr>
        <w:spacing w:after="80"/>
      </w:pPr>
    </w:p>
    <w:p>
      <w:pPr>
        <w:spacing w:before="320" w:after="120"/>
      </w:pPr>
      <w:r>
        <w:rPr>
          <w:rFonts w:ascii="Calibri" w:hAnsi="Calibri"/>
          <w:b/>
          <w:color w:val="1A365D"/>
          <w:sz w:val="32"/>
        </w:rPr>
        <w:t>PART 20 — Competitive Landscape</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high-speed train doesn't just compete with other trains; it competes with cars, commercial airlines, video conferencing, and the option of not traveling at all.</w:t>
            </w:r>
          </w:p>
          <w:p>
            <w:pPr>
              <w:spacing w:before="40" w:after="80"/>
            </w:pPr>
            <w:r>
              <w:rPr>
                <w:rFonts w:ascii="Calibri" w:hAnsi="Calibri"/>
                <w:color w:val="282828"/>
                <w:sz w:val="20"/>
              </w:rPr>
              <w:t>Real-World Business Scenario: Your biggest competitor is not another formatting company—it's the bank's COO choosing to 'do nothing' and allowing analysts to keep losing hours reading unformatted documents.</w:t>
            </w:r>
          </w:p>
        </w:tc>
      </w:tr>
    </w:tbl>
    <w:p>
      <w:pPr>
        <w:spacing w:after="80"/>
      </w:pPr>
    </w:p>
    <w:p>
      <w:pPr>
        <w:spacing w:before="80" w:after="80"/>
      </w:pPr>
      <w:r>
        <w:rPr>
          <w:b/>
          <w:color w:val="2B6CB0"/>
        </w:rPr>
        <w:t xml:space="preserve">⚙️ Step 3 — Mechanism &amp; Operational Inner Workings: </w:t>
      </w:r>
      <w:r>
        <w:rPr>
          <w:rFonts w:ascii="Calibri" w:hAnsi="Calibri"/>
          <w:sz w:val="21"/>
        </w:rPr>
        <w:t>Competitive evaluation maps direct competitors, indirect software solutions, internal corporate teams, and the status quo to build effective positioning.</w:t>
      </w:r>
    </w:p>
    <w:p>
      <w:pPr>
        <w:spacing w:before="80" w:after="80"/>
      </w:pPr>
      <w:r>
        <w:rPr>
          <w:b/>
          <w:color w:val="2B6CB0"/>
        </w:rPr>
        <w:t xml:space="preserve">🎯 Step 4 — Strategic Purpose &amp; Problem Solved: </w:t>
      </w:r>
      <w:r>
        <w:rPr>
          <w:rFonts w:ascii="Calibri" w:hAnsi="Calibri"/>
          <w:sz w:val="21"/>
        </w:rPr>
        <w:t>Defeating the status quo by exposing the quantified financial cost of unaddressed document cognitive latency.</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Status Quo Bias: </w:t>
      </w:r>
      <w:r>
        <w:rPr>
          <w:rFonts w:ascii="Calibri" w:hAnsi="Calibri"/>
          <w:sz w:val="20"/>
        </w:rPr>
        <w:t>The corporate tendency to remain with inefficient existing workflows rather than approve changes.</w:t>
      </w:r>
    </w:p>
    <w:p>
      <w:pPr>
        <w:spacing w:before="20" w:after="40"/>
        <w:ind w:left="288"/>
      </w:pPr>
      <w:r>
        <w:rPr>
          <w:rFonts w:ascii="Calibri" w:hAnsi="Calibri"/>
          <w:b/>
          <w:sz w:val="20"/>
        </w:rPr>
        <w:t xml:space="preserve">• Internal Substitutes: </w:t>
      </w:r>
      <w:r>
        <w:rPr>
          <w:rFonts w:ascii="Calibri" w:hAnsi="Calibri"/>
          <w:sz w:val="20"/>
        </w:rPr>
        <w:t>In-house corporate communications or graphic design teams claiming they can handle formatting.</w:t>
      </w:r>
    </w:p>
    <w:p>
      <w:pPr>
        <w:spacing w:before="120" w:after="40"/>
      </w:pPr>
      <w:r>
        <w:rPr>
          <w:b/>
          <w:color w:val="2B6CB0"/>
          <w:sz w:val="22"/>
        </w:rPr>
        <w:t>🏗️ Step 6 — Detailed Structure &amp; System Components:</w:t>
      </w:r>
    </w:p>
    <w:p>
      <w:pPr>
        <w:spacing w:before="20" w:after="40"/>
        <w:ind w:left="288"/>
      </w:pPr>
      <w:r>
        <w:rPr>
          <w:rFonts w:ascii="Calibri" w:hAnsi="Calibri"/>
          <w:sz w:val="20"/>
        </w:rPr>
        <w:t>▪ Direct Competitors: Specialized information design consultancies.</w:t>
      </w:r>
    </w:p>
    <w:p>
      <w:pPr>
        <w:spacing w:before="20" w:after="40"/>
        <w:ind w:left="288"/>
      </w:pPr>
      <w:r>
        <w:rPr>
          <w:rFonts w:ascii="Calibri" w:hAnsi="Calibri"/>
          <w:sz w:val="20"/>
        </w:rPr>
        <w:t>▪ Indirect Competitors: Enterprise Content Management (ECM) systems, document automation software, UI/UX agencies.</w:t>
      </w:r>
    </w:p>
    <w:p>
      <w:pPr>
        <w:spacing w:before="20" w:after="40"/>
        <w:ind w:left="288"/>
      </w:pPr>
      <w:r>
        <w:rPr>
          <w:rFonts w:ascii="Calibri" w:hAnsi="Calibri"/>
          <w:sz w:val="20"/>
        </w:rPr>
        <w:t>▪ Internal Substitutes: In-house corporate communications and graphic design teams.</w:t>
      </w:r>
    </w:p>
    <w:p>
      <w:pPr>
        <w:spacing w:before="20" w:after="40"/>
        <w:ind w:left="288"/>
      </w:pPr>
      <w:r>
        <w:rPr>
          <w:rFonts w:ascii="Calibri" w:hAnsi="Calibri"/>
          <w:sz w:val="20"/>
        </w:rPr>
        <w:t>▪ Largest Competitor: THE STATUS QUO (Doing nothing).</w:t>
      </w:r>
    </w:p>
    <w:p>
      <w:pPr>
        <w:spacing w:before="20" w:after="40"/>
        <w:ind w:left="288"/>
      </w:pPr>
      <w:r>
        <w:rPr>
          <w:rFonts w:ascii="Calibri" w:hAnsi="Calibri"/>
          <w:sz w:val="20"/>
        </w:rPr>
        <w:t>▪ Strategy to Defeat Status Quo: Quantify the ongoing financial cost of cognitive latency and compliance errors to the Economic Buyer.</w:t>
      </w:r>
    </w:p>
    <w:p>
      <w:pPr>
        <w:spacing w:before="80" w:after="80"/>
      </w:pPr>
      <w:r>
        <w:rPr>
          <w:b/>
          <w:color w:val="2B6CB0"/>
        </w:rPr>
        <w:t xml:space="preserve">🔗 Step 7 — Relationships &amp; Systemic Connections: </w:t>
      </w:r>
      <w:r>
        <w:rPr>
          <w:rFonts w:ascii="Calibri" w:hAnsi="Calibri"/>
          <w:sz w:val="21"/>
        </w:rPr>
        <w:t>Informs Strategic Positioning (Level 11 of Part 24) and Discovery (Part 10).</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Focus positioning on defeating the status quo by demonstrating the high ongoing cost of doing nothing.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20 — Competitive Landscape</w:t>
              <w:br/>
              <w:t>The competitive environment extends far beyond direct methodology competitors offering similar services (Type: C - Expert Inference). Direct competitors include specialized information design consultancies. Indirect competitors represent a larger threat, encompassing Enterprise Content Management (ECM) systems, document automation software, and UI/UX agencies.</w:t>
              <w:br/>
              <w:t>Internal substitutes pose a significant barrier, as clients often believe their own corporate communications or formatting teams can execute this work. However, the largest competitor is the status quo—doing nothing. Organizations are highly resistant to change. To defeat the status quo, the cost of doing nothing, such as time lost to cognitive latency and errors in compliance reporting, must be quantified and exposed to the economic buyer.</w:t>
            </w:r>
          </w:p>
        </w:tc>
      </w:tr>
    </w:tbl>
    <w:p>
      <w:pPr>
        <w:spacing w:after="80"/>
      </w:pPr>
    </w:p>
    <w:p>
      <w:pPr>
        <w:spacing w:before="320" w:after="120"/>
      </w:pPr>
      <w:r>
        <w:rPr>
          <w:rFonts w:ascii="Calibri" w:hAnsi="Calibri"/>
          <w:b/>
          <w:color w:val="1A365D"/>
          <w:sz w:val="32"/>
        </w:rPr>
        <w:t>PART 21 — Market Research</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quality inspector in a car factory checks raw steel sheets before they enter the assembly line to prevent defective cars from hitting the road.</w:t>
            </w:r>
          </w:p>
          <w:p>
            <w:pPr>
              <w:spacing w:before="40" w:after="80"/>
            </w:pPr>
            <w:r>
              <w:rPr>
                <w:rFonts w:ascii="Calibri" w:hAnsi="Calibri"/>
                <w:color w:val="282828"/>
                <w:sz w:val="20"/>
              </w:rPr>
              <w:t>Real-World Business Scenario: In Indian banking, a Credit Appraisal Memo (CAM) consolidates GST returns, bank statements, and credit bureau data. Buried liabilities missed in a poorly structured CAM lead to Non-Performing Assets (NPAs). CIRF flags risk variables deterministically to prevent bad loans.</w:t>
            </w:r>
          </w:p>
        </w:tc>
      </w:tr>
    </w:tbl>
    <w:p>
      <w:pPr>
        <w:spacing w:after="80"/>
      </w:pPr>
    </w:p>
    <w:p>
      <w:pPr>
        <w:spacing w:before="80" w:after="80"/>
      </w:pPr>
      <w:r>
        <w:rPr>
          <w:b/>
          <w:color w:val="2B6CB0"/>
        </w:rPr>
        <w:t xml:space="preserve">⚙️ Step 3 — Mechanism &amp; Operational Inner Workings: </w:t>
      </w:r>
      <w:r>
        <w:rPr>
          <w:rFonts w:ascii="Calibri" w:hAnsi="Calibri"/>
          <w:sz w:val="21"/>
        </w:rPr>
        <w:t>Mapping critical financial workflows (CAMs, SEBI equity reports) to deterministic semantic visual rules prevents human processing oversight.</w:t>
      </w:r>
    </w:p>
    <w:p>
      <w:pPr>
        <w:spacing w:before="80" w:after="80"/>
      </w:pPr>
      <w:r>
        <w:rPr>
          <w:b/>
          <w:color w:val="2B6CB0"/>
        </w:rPr>
        <w:t xml:space="preserve">🎯 Step 4 — Strategic Purpose &amp; Problem Solved: </w:t>
      </w:r>
      <w:r>
        <w:rPr>
          <w:rFonts w:ascii="Calibri" w:hAnsi="Calibri"/>
          <w:sz w:val="21"/>
        </w:rPr>
        <w:t>Targeting high-risk, heavily regulated Indian financial documents where formatting errors cause immediate monetary default or audit penalties.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Non-Performing Asset (NPA): </w:t>
      </w:r>
      <w:r>
        <w:rPr>
          <w:rFonts w:ascii="Calibri" w:hAnsi="Calibri"/>
          <w:sz w:val="20"/>
        </w:rPr>
        <w:t>A commercial loan in default or close to default due to borrower non-payment.</w:t>
      </w:r>
    </w:p>
    <w:p>
      <w:pPr>
        <w:spacing w:before="20" w:after="40"/>
        <w:ind w:left="288"/>
      </w:pPr>
      <w:r>
        <w:rPr>
          <w:rFonts w:ascii="Calibri" w:hAnsi="Calibri"/>
          <w:b/>
          <w:sz w:val="20"/>
        </w:rPr>
        <w:t xml:space="preserve">• SEBI Compliance Guidelines: </w:t>
      </w:r>
      <w:r>
        <w:rPr>
          <w:rFonts w:ascii="Calibri" w:hAnsi="Calibri"/>
          <w:sz w:val="20"/>
        </w:rPr>
        <w:t>Securities and Exchange Board of India regulations governing disclosures in equity research reports.</w:t>
      </w:r>
    </w:p>
    <w:p>
      <w:pPr>
        <w:spacing w:before="120" w:after="40"/>
      </w:pPr>
      <w:r>
        <w:rPr>
          <w:b/>
          <w:color w:val="2B6CB0"/>
          <w:sz w:val="22"/>
        </w:rPr>
        <w:t>🏗️ Step 6 — Detailed Structure &amp; System Components:</w:t>
      </w:r>
    </w:p>
    <w:p>
      <w:pPr>
        <w:spacing w:before="20" w:after="40"/>
        <w:ind w:left="288"/>
      </w:pPr>
      <w:r>
        <w:rPr>
          <w:rFonts w:ascii="Calibri" w:hAnsi="Calibri"/>
          <w:sz w:val="20"/>
        </w:rPr>
        <w:t>▪ Ecosystem Reality: Indian financial ecosystem relies heavily on unstructured and semi-structured documents (Type: A - Established fact).</w:t>
      </w:r>
    </w:p>
    <w:p>
      <w:pPr>
        <w:spacing w:before="20" w:after="40"/>
        <w:ind w:left="288"/>
      </w:pPr>
      <w:r>
        <w:rPr>
          <w:rFonts w:ascii="Calibri" w:hAnsi="Calibri"/>
          <w:sz w:val="20"/>
        </w:rPr>
        <w:t>▪ Target Workflow 1: Credit Appraisal Memos (CAMs) consolidating GST returns, bank statements, and bureau data.</w:t>
      </w:r>
    </w:p>
    <w:p>
      <w:pPr>
        <w:spacing w:before="20" w:after="40"/>
        <w:ind w:left="288"/>
      </w:pPr>
      <w:r>
        <w:rPr>
          <w:rFonts w:ascii="Calibri" w:hAnsi="Calibri"/>
          <w:sz w:val="20"/>
        </w:rPr>
        <w:t>▪ Impact on Credit Risk: Buried liabilities in unorganized CAMs lead to NPAs; CIRF surfaces risk markers deterministically.</w:t>
      </w:r>
    </w:p>
    <w:p>
      <w:pPr>
        <w:spacing w:before="20" w:after="40"/>
        <w:ind w:left="288"/>
      </w:pPr>
      <w:r>
        <w:rPr>
          <w:rFonts w:ascii="Calibri" w:hAnsi="Calibri"/>
          <w:sz w:val="20"/>
        </w:rPr>
        <w:t>▪ Target Workflow 2: Equity Research Reports subject to SEBI compliance guidelines; CIRF ensures compliance sections are uniformly processed by institutional investors.</w:t>
      </w:r>
    </w:p>
    <w:p>
      <w:pPr>
        <w:spacing w:before="80" w:after="80"/>
      </w:pPr>
      <w:r>
        <w:rPr>
          <w:b/>
          <w:color w:val="2B6CB0"/>
        </w:rPr>
        <w:t xml:space="preserve">🔗 Step 7 — Relationships &amp; Systemic Connections: </w:t>
      </w:r>
      <w:r>
        <w:rPr>
          <w:rFonts w:ascii="Calibri" w:hAnsi="Calibri"/>
          <w:sz w:val="21"/>
        </w:rPr>
        <w:t>Identifies the core document workflows for Target Segments (Part 5) and First Client Strategy (Part 22).</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Focus initial document transformation services specifically on CAMs for NBFCs and Equity Reports for research firms.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21 — Market Research</w:t>
              <w:br/>
              <w:t>The Indian financial ecosystem relies heavily on unstructured and semi-structured documents, presenting an immense opportunity for structural standardization (Type: A - Established fact).</w:t>
              <w:br/>
              <w:t>Credit Appraisal Memos (CAMs) consolidate GST returns, bank statements, and bureau data to evaluate borrower risk. A missed liability buried in a poorly structured CAM leads to non-performing assets (NPAs). Standardizing CAM representation via CIRF directly mitigates credit risk by surfacing these variables deterministically. Equity research reports represent another high-value target; SEBI guidelines mandate strict disclosures for research analysts. Structuring these reports deterministically ensures compliance sections are uniformly processed by institutional investors, reducing the friction of regulatory audits.</w:t>
            </w:r>
          </w:p>
        </w:tc>
      </w:tr>
    </w:tbl>
    <w:p>
      <w:pPr>
        <w:spacing w:after="80"/>
      </w:pPr>
    </w:p>
    <w:p>
      <w:pPr>
        <w:spacing w:before="320" w:after="120"/>
      </w:pPr>
      <w:r>
        <w:rPr>
          <w:rFonts w:ascii="Calibri" w:hAnsi="Calibri"/>
          <w:b/>
          <w:color w:val="1A365D"/>
          <w:sz w:val="32"/>
        </w:rPr>
        <w:t>PART 22 — First Client Strategy</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spear-fisherman doesn't cast a massive dragnet into open ocean; they target one high-value fish in clear shallow water with absolute precision.</w:t>
            </w:r>
          </w:p>
          <w:p>
            <w:pPr>
              <w:spacing w:before="40" w:after="80"/>
            </w:pPr>
            <w:r>
              <w:rPr>
                <w:rFonts w:ascii="Calibri" w:hAnsi="Calibri"/>
                <w:color w:val="282828"/>
                <w:sz w:val="20"/>
              </w:rPr>
              <w:t>Real-World Business Scenario: Instead of pitching multinational banks like HSBC, you approach a mid-market Mumbai NBFC's Head of Underwriting and offer a free 'Document Latency Audit' transforming 3 of their past redacted CAMs to prove search time reduction.</w:t>
            </w:r>
          </w:p>
        </w:tc>
      </w:tr>
    </w:tbl>
    <w:p>
      <w:pPr>
        <w:spacing w:after="80"/>
      </w:pPr>
    </w:p>
    <w:p>
      <w:pPr>
        <w:spacing w:before="80" w:after="80"/>
      </w:pPr>
      <w:r>
        <w:rPr>
          <w:b/>
          <w:color w:val="2B6CB0"/>
        </w:rPr>
        <w:t xml:space="preserve">⚙️ Step 3 — Mechanism &amp; Operational Inner Workings: </w:t>
      </w:r>
      <w:r>
        <w:rPr>
          <w:rFonts w:ascii="Calibri" w:hAnsi="Calibri"/>
          <w:sz w:val="21"/>
        </w:rPr>
        <w:t>Spear-phishing mid-market targets with a zero-risk diagnostic audit bypasses heavy corporate bureaucracy while proving immediate operational value.</w:t>
      </w:r>
    </w:p>
    <w:p>
      <w:pPr>
        <w:spacing w:before="80" w:after="80"/>
      </w:pPr>
      <w:r>
        <w:rPr>
          <w:b/>
          <w:color w:val="2B6CB0"/>
        </w:rPr>
        <w:t xml:space="preserve">🎯 Step 4 — Strategic Purpose &amp; Problem Solved: </w:t>
      </w:r>
      <w:r>
        <w:rPr>
          <w:rFonts w:ascii="Calibri" w:hAnsi="Calibri"/>
          <w:sz w:val="21"/>
        </w:rPr>
        <w:t>Acquiring your first commercial logo and empirical case study with minimal client friction.</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Spear-Phishing Strategy: </w:t>
      </w:r>
      <w:r>
        <w:rPr>
          <w:rFonts w:ascii="Calibri" w:hAnsi="Calibri"/>
          <w:sz w:val="20"/>
        </w:rPr>
        <w:t>Highly targeted outbound outreach directed at specific mid-market executives.</w:t>
      </w:r>
    </w:p>
    <w:p>
      <w:pPr>
        <w:spacing w:before="20" w:after="40"/>
        <w:ind w:left="288"/>
      </w:pPr>
      <w:r>
        <w:rPr>
          <w:rFonts w:ascii="Calibri" w:hAnsi="Calibri"/>
          <w:b/>
          <w:sz w:val="20"/>
        </w:rPr>
        <w:t xml:space="preserve">• Document Latency Audit: </w:t>
      </w:r>
      <w:r>
        <w:rPr>
          <w:rFonts w:ascii="Calibri" w:hAnsi="Calibri"/>
          <w:sz w:val="20"/>
        </w:rPr>
        <w:t>A free proof-of-concept offer transforming 3 redacted client reports to demonstrate visual search speed gains.</w:t>
      </w:r>
    </w:p>
    <w:p>
      <w:pPr>
        <w:spacing w:before="120" w:after="40"/>
      </w:pPr>
      <w:r>
        <w:rPr>
          <w:b/>
          <w:color w:val="2B6CB0"/>
          <w:sz w:val="22"/>
        </w:rPr>
        <w:t>🏗️ Step 6 — Detailed Structure &amp; System Components:</w:t>
      </w:r>
    </w:p>
    <w:p>
      <w:pPr>
        <w:spacing w:before="20" w:after="40"/>
        <w:ind w:left="288"/>
      </w:pPr>
      <w:r>
        <w:rPr>
          <w:rFonts w:ascii="Calibri" w:hAnsi="Calibri"/>
          <w:sz w:val="20"/>
        </w:rPr>
        <w:t>▪ Target Market: Mid-market NBFCs and boutique asset management firms in Mumbai (Type: D - Your recommendation).</w:t>
      </w:r>
    </w:p>
    <w:p>
      <w:pPr>
        <w:spacing w:before="20" w:after="40"/>
        <w:ind w:left="288"/>
      </w:pPr>
      <w:r>
        <w:rPr>
          <w:rFonts w:ascii="Calibri" w:hAnsi="Calibri"/>
          <w:sz w:val="20"/>
        </w:rPr>
        <w:t>▪ Why Mid-Market: Sufficient document volume to experience pain, but lacking multi-year procurement bureaucracy of Tier-1 banks.</w:t>
      </w:r>
    </w:p>
    <w:p>
      <w:pPr>
        <w:spacing w:before="20" w:after="40"/>
        <w:ind w:left="288"/>
      </w:pPr>
      <w:r>
        <w:rPr>
          <w:rFonts w:ascii="Calibri" w:hAnsi="Calibri"/>
          <w:sz w:val="20"/>
        </w:rPr>
        <w:t>▪ Target Decision-Maker: Head of Credit Underwriting (NBFC) or Head of Research (Asset Management).</w:t>
      </w:r>
    </w:p>
    <w:p>
      <w:pPr>
        <w:spacing w:before="20" w:after="40"/>
        <w:ind w:left="288"/>
      </w:pPr>
      <w:r>
        <w:rPr>
          <w:rFonts w:ascii="Calibri" w:hAnsi="Calibri"/>
          <w:sz w:val="20"/>
        </w:rPr>
        <w:t>▪ Initial Offer: 'Document Latency Audit'—transform 3 past redacted reports via Python engine for free to prove search time reduction.</w:t>
      </w:r>
    </w:p>
    <w:p>
      <w:pPr>
        <w:spacing w:before="80" w:after="80"/>
      </w:pPr>
      <w:r>
        <w:rPr>
          <w:b/>
          <w:color w:val="2B6CB0"/>
        </w:rPr>
        <w:t xml:space="preserve">🔗 Step 7 — Relationships &amp; Systemic Connections: </w:t>
      </w:r>
      <w:r>
        <w:rPr>
          <w:rFonts w:ascii="Calibri" w:hAnsi="Calibri"/>
          <w:sz w:val="21"/>
        </w:rPr>
        <w:t>Executes the initial steps of the 90-Day Plan (Part 23).</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Approach Mumbai mid-market NBFC Underwriting Heads offering a free 3-document Latency Audit to win your first commercial customer.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22 — First Client Strategy</w:t>
              <w:br/>
              <w:t>A first-time founder must not cast a wide net, but rather execute a highly targeted spear-phishing strategy (Type: D - Your recommendation). The target should be mid-market NBFCs and boutique asset management firms in Mumbai. These organizations have sufficient document volume to experience operational pain, but lack the rigid, multi-year procurement bureaucracy of massive multinational banks.</w:t>
              <w:br/>
              <w:t>The contact should be the Head of Credit Underwriting (at an NBFC) or the Head of Research (at an asset management firm). The offer should be a "Document Latency Audit." The provider offers to take three of their past, redacted reports and process them through the CIRF engine for free to demonstrate the immediate reduction in visual search time, thereby proving the concept with minimal client risk.</w:t>
            </w:r>
          </w:p>
        </w:tc>
      </w:tr>
    </w:tbl>
    <w:p>
      <w:pPr>
        <w:spacing w:after="80"/>
      </w:pPr>
    </w:p>
    <w:p>
      <w:pPr>
        <w:spacing w:before="320" w:after="120"/>
      </w:pPr>
      <w:r>
        <w:rPr>
          <w:rFonts w:ascii="Calibri" w:hAnsi="Calibri"/>
          <w:b/>
          <w:color w:val="1A365D"/>
          <w:sz w:val="32"/>
        </w:rPr>
        <w:t>PART 23 — 90-Day Commercial Plan</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Building a house in 90 days: Month 1 is foundation and permits, Month 2 is framing and utility wiring, Month 3 is interior finish and inspection sign-off.</w:t>
            </w:r>
          </w:p>
          <w:p>
            <w:pPr>
              <w:spacing w:before="40" w:after="80"/>
            </w:pPr>
            <w:r>
              <w:rPr>
                <w:rFonts w:ascii="Calibri" w:hAnsi="Calibri"/>
                <w:color w:val="282828"/>
                <w:sz w:val="20"/>
              </w:rPr>
              <w:t>Real-World Business Scenario: In Month 1, you create pitch decks and DPDP legal templates. In Month 2, you email 50 NBFC COOs and conduct 5 discovery calls. In Month 3, you close a ₹2 Lakh diagnostic pilot.</w:t>
            </w:r>
          </w:p>
        </w:tc>
      </w:tr>
    </w:tbl>
    <w:p>
      <w:pPr>
        <w:spacing w:after="80"/>
      </w:pPr>
    </w:p>
    <w:p>
      <w:pPr>
        <w:spacing w:before="80" w:after="80"/>
      </w:pPr>
      <w:r>
        <w:rPr>
          <w:b/>
          <w:color w:val="2B6CB0"/>
        </w:rPr>
        <w:t xml:space="preserve">⚙️ Step 3 — Mechanism &amp; Operational Inner Workings: </w:t>
      </w:r>
      <w:r>
        <w:rPr>
          <w:rFonts w:ascii="Calibri" w:hAnsi="Calibri"/>
          <w:sz w:val="21"/>
        </w:rPr>
        <w:t>A 90-day phased execution timeline breaks commercialization into asset preparation, market testing, and pilot conversion stages.</w:t>
      </w:r>
    </w:p>
    <w:p>
      <w:pPr>
        <w:spacing w:before="80" w:after="80"/>
      </w:pPr>
      <w:r>
        <w:rPr>
          <w:b/>
          <w:color w:val="2B6CB0"/>
        </w:rPr>
        <w:t xml:space="preserve">🎯 Step 4 — Strategic Purpose &amp; Problem Solved: </w:t>
      </w:r>
      <w:r>
        <w:rPr>
          <w:rFonts w:ascii="Calibri" w:hAnsi="Calibri"/>
          <w:sz w:val="21"/>
        </w:rPr>
        <w:t>Disciplining founder activity to ensure commercial validation within 3 months.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Asset Preparation Phase: </w:t>
      </w:r>
      <w:r>
        <w:rPr>
          <w:rFonts w:ascii="Calibri" w:hAnsi="Calibri"/>
          <w:sz w:val="20"/>
        </w:rPr>
        <w:t>Days 1–30 focused on pitch decks, case studies, NDA, SOW, and DPA legal templates.</w:t>
      </w:r>
    </w:p>
    <w:p>
      <w:pPr>
        <w:spacing w:before="20" w:after="40"/>
        <w:ind w:left="288"/>
      </w:pPr>
      <w:r>
        <w:rPr>
          <w:rFonts w:ascii="Calibri" w:hAnsi="Calibri"/>
          <w:b/>
          <w:sz w:val="20"/>
        </w:rPr>
        <w:t xml:space="preserve">• Market Testing Phase: </w:t>
      </w:r>
      <w:r>
        <w:rPr>
          <w:rFonts w:ascii="Calibri" w:hAnsi="Calibri"/>
          <w:sz w:val="20"/>
        </w:rPr>
        <w:t>Days 31–60 focused on outbound campaign execution to 50 target accounts.</w:t>
      </w:r>
    </w:p>
    <w:p>
      <w:pPr>
        <w:spacing w:before="20" w:after="40"/>
        <w:ind w:left="288"/>
      </w:pPr>
      <w:r>
        <w:rPr>
          <w:rFonts w:ascii="Calibri" w:hAnsi="Calibri"/>
          <w:b/>
          <w:sz w:val="20"/>
        </w:rPr>
        <w:t xml:space="preserve">• Commercial Validation Phase: </w:t>
      </w:r>
      <w:r>
        <w:rPr>
          <w:rFonts w:ascii="Calibri" w:hAnsi="Calibri"/>
          <w:sz w:val="20"/>
        </w:rPr>
        <w:t>Days 61–90 focused on closing paid diagnostic pilots (₹1,50,000 to ₹2,50,000).</w:t>
      </w:r>
    </w:p>
    <w:p>
      <w:pPr>
        <w:spacing w:before="120" w:after="40"/>
      </w:pPr>
      <w:r>
        <w:rPr>
          <w:b/>
          <w:color w:val="2B6CB0"/>
          <w:sz w:val="22"/>
        </w:rPr>
        <w:t>🏗️ Step 6 — Detailed Structure &amp; System Components:</w:t>
      </w:r>
    </w:p>
    <w:p>
      <w:pPr>
        <w:spacing w:before="20" w:after="40"/>
        <w:ind w:left="288"/>
      </w:pPr>
      <w:r>
        <w:rPr>
          <w:rFonts w:ascii="Calibri" w:hAnsi="Calibri"/>
          <w:sz w:val="20"/>
        </w:rPr>
        <w:t>▪ Days 1–30 (Asset Preparation): Finalize pitch deck (focus on operational efficiency), develop 3 Before/After public doc case studies (e.g. ICICI disclosure), draft NDA, Pilot SOW, DPDP DPA.</w:t>
      </w:r>
    </w:p>
    <w:p>
      <w:pPr>
        <w:spacing w:before="20" w:after="40"/>
        <w:ind w:left="288"/>
      </w:pPr>
      <w:r>
        <w:rPr>
          <w:rFonts w:ascii="Calibri" w:hAnsi="Calibri"/>
          <w:sz w:val="20"/>
        </w:rPr>
        <w:t>▪ Days 31–60 (Market Testing &amp; Outreach): Identify 50 mid-market NBFCs/research firms, execute LinkedIn/email sequences targeting COOs/Research Heads, conduct 5 to 10 discovery calls.</w:t>
      </w:r>
    </w:p>
    <w:p>
      <w:pPr>
        <w:spacing w:before="20" w:after="40"/>
        <w:ind w:left="288"/>
      </w:pPr>
      <w:r>
        <w:rPr>
          <w:rFonts w:ascii="Calibri" w:hAnsi="Calibri"/>
          <w:sz w:val="20"/>
        </w:rPr>
        <w:t>▪ Days 61–90 (Commercial Validation): Convert 1-2 discovery calls into paid diagnostic pilots (₹1,50,000 to ₹2,50,000 fee), deliver transformed docs &amp; rulebook, gather empirical time-saved metrics for enterprise proposal.</w:t>
      </w:r>
    </w:p>
    <w:p>
      <w:pPr>
        <w:spacing w:before="80" w:after="80"/>
      </w:pPr>
      <w:r>
        <w:rPr>
          <w:b/>
          <w:color w:val="2B6CB0"/>
        </w:rPr>
        <w:t xml:space="preserve">🔗 Step 7 — Relationships &amp; Systemic Connections: </w:t>
      </w:r>
      <w:r>
        <w:rPr>
          <w:rFonts w:ascii="Calibri" w:hAnsi="Calibri"/>
          <w:sz w:val="21"/>
        </w:rPr>
        <w:t>Translates First Client Strategy (Part 22) into a calendar execution roadmap.</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Execute Days 1-30 asset prep, Days 31-60 outreach to 50 target NBFCs, and Days 61-90 paid pilot conversions.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23 — 90-Day Commercial Plan</w:t>
              <w:br/>
              <w:t>A realistic commercialization timeline for a first-time founder requires disciplined phasing (Type: D - Your recommendation).</w:t>
              <w:br/>
              <w:t>During Days 1–30, the focus is on asset preparation. The founder must finalize the commercial pitch deck, focusing strictly on operational efficiency rather than cognitive psychology. Three distinct "Before/After" case studies must be developed using public financial documents (e.g., an ICICI Bank disclosure). Furthermore, the standard NDA, Pilot SOW, and DPDP-compliant DPA must be drafted.</w:t>
              <w:br/>
              <w:t>During Days 31–60, the focus shifts to market testing and outreach. The founder identifies 50 mid-market NBFCs and research firms, initiating LinkedIn connections and cold email sequences targeting COOs and Research Heads. The goal is to conduct 5 to 10 discovery calls to map out specific document bottlenecks.</w:t>
              <w:br/>
              <w:t>During Days 61–90, the objective is commercial validation through pilots. The founder aims to convert one or two discovery calls into a paid diagnostic pilot (targeting ₹1,50,000 to ₹2,50,000). Upon delivering the transformed documents and the semantic rulebook, empirical feedback on time saved is gathered to build the enterprise proposal.</w:t>
            </w:r>
          </w:p>
        </w:tc>
      </w:tr>
    </w:tbl>
    <w:p>
      <w:pPr>
        <w:spacing w:after="80"/>
      </w:pPr>
    </w:p>
    <w:p>
      <w:pPr>
        <w:spacing w:before="320" w:after="120"/>
      </w:pPr>
      <w:r>
        <w:rPr>
          <w:rFonts w:ascii="Calibri" w:hAnsi="Calibri"/>
          <w:b/>
          <w:color w:val="1A365D"/>
          <w:sz w:val="32"/>
        </w:rPr>
        <w:t>PART 24 — Founder Learning Curriculum</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black-belt martial artist must master 12 distinct belts (stances, kicks, blocks, spar routines) in strict sequence before opening their own training dojo.</w:t>
            </w:r>
          </w:p>
          <w:p>
            <w:pPr>
              <w:spacing w:before="40" w:after="80"/>
            </w:pPr>
            <w:r>
              <w:rPr>
                <w:rFonts w:ascii="Calibri" w:hAnsi="Calibri"/>
                <w:color w:val="282828"/>
                <w:sz w:val="20"/>
              </w:rPr>
              <w:t>Real-World Business Scenario: A technical founder studies the Minto Pyramid Principle (Level 10) to write a 3-bullet status update to an NBFC COO, answering the direct question without academic jargon.</w:t>
            </w:r>
          </w:p>
        </w:tc>
      </w:tr>
    </w:tbl>
    <w:p>
      <w:pPr>
        <w:spacing w:after="80"/>
      </w:pPr>
    </w:p>
    <w:p>
      <w:pPr>
        <w:spacing w:before="80" w:after="80"/>
      </w:pPr>
      <w:r>
        <w:rPr>
          <w:b/>
          <w:color w:val="2B6CB0"/>
        </w:rPr>
        <w:t xml:space="preserve">⚙️ Step 3 — Mechanism &amp; Operational Inner Workings: </w:t>
      </w:r>
      <w:r>
        <w:rPr>
          <w:rFonts w:ascii="Calibri" w:hAnsi="Calibri"/>
          <w:sz w:val="21"/>
        </w:rPr>
        <w:t>A 12-level structured learning progression systematically builds commercial, legal, pricing, and financial domain skills.</w:t>
      </w:r>
    </w:p>
    <w:p>
      <w:pPr>
        <w:spacing w:before="80" w:after="80"/>
      </w:pPr>
      <w:r>
        <w:rPr>
          <w:b/>
          <w:color w:val="2B6CB0"/>
        </w:rPr>
        <w:t xml:space="preserve">🎯 Step 4 — Strategic Purpose &amp; Problem Solved: </w:t>
      </w:r>
      <w:r>
        <w:rPr>
          <w:rFonts w:ascii="Calibri" w:hAnsi="Calibri"/>
          <w:sz w:val="21"/>
        </w:rPr>
        <w:t>Transforming a technical creator into an enterprise-grade commercial founder.</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Founder Competency Curriculum: </w:t>
      </w:r>
      <w:r>
        <w:rPr>
          <w:rFonts w:ascii="Calibri" w:hAnsi="Calibri"/>
          <w:sz w:val="20"/>
        </w:rPr>
        <w:t>A 12-stage professional development path spanning executive communication to outbound business development.</w:t>
      </w:r>
    </w:p>
    <w:p>
      <w:pPr>
        <w:spacing w:before="20" w:after="40"/>
        <w:ind w:left="288"/>
      </w:pPr>
      <w:r>
        <w:rPr>
          <w:rFonts w:ascii="Calibri" w:hAnsi="Calibri"/>
          <w:b/>
          <w:sz w:val="20"/>
        </w:rPr>
        <w:t xml:space="preserve">• Minto Pyramid Principle: </w:t>
      </w:r>
      <w:r>
        <w:rPr>
          <w:rFonts w:ascii="Calibri" w:hAnsi="Calibri"/>
          <w:sz w:val="20"/>
        </w:rPr>
        <w:t>Executive communication framework: state the conclusion first, supported by grouped key data points.</w:t>
      </w:r>
    </w:p>
    <w:p>
      <w:pPr>
        <w:spacing w:before="120" w:after="40"/>
      </w:pPr>
      <w:r>
        <w:rPr>
          <w:b/>
          <w:color w:val="2B6CB0"/>
          <w:sz w:val="22"/>
        </w:rPr>
        <w:t>🏗️ Step 6 — Detailed Structure &amp; System Components:</w:t>
      </w:r>
    </w:p>
    <w:p>
      <w:pPr>
        <w:spacing w:before="20" w:after="40"/>
        <w:ind w:left="288"/>
      </w:pPr>
      <w:r>
        <w:rPr>
          <w:rFonts w:ascii="Calibri" w:hAnsi="Calibri"/>
          <w:sz w:val="20"/>
        </w:rPr>
        <w:t>▪ Level 1 — Professional Communication: Executive summaries, cold emails, McKinsey/BCG style, explain in 30s without 'typography'/'cognitive'.</w:t>
      </w:r>
    </w:p>
    <w:p>
      <w:pPr>
        <w:spacing w:before="20" w:after="40"/>
        <w:ind w:left="288"/>
      </w:pPr>
      <w:r>
        <w:rPr>
          <w:rFonts w:ascii="Calibri" w:hAnsi="Calibri"/>
          <w:sz w:val="20"/>
        </w:rPr>
        <w:t>▪ Level 2 — Business Fundamentals: P&amp;L, OpEx, ROI, annual reports, calculate hourly underwriting costs.</w:t>
      </w:r>
    </w:p>
    <w:p>
      <w:pPr>
        <w:spacing w:before="20" w:after="40"/>
        <w:ind w:left="288"/>
      </w:pPr>
      <w:r>
        <w:rPr>
          <w:rFonts w:ascii="Calibri" w:hAnsi="Calibri"/>
          <w:sz w:val="20"/>
        </w:rPr>
        <w:t>▪ Level 3 — B2B Sales: Funnel velocity, BANT (Budget, Authority, Need, Timeline), SPIN/MEDDIC sales frameworks.</w:t>
      </w:r>
    </w:p>
    <w:p>
      <w:pPr>
        <w:spacing w:before="20" w:after="40"/>
        <w:ind w:left="288"/>
      </w:pPr>
      <w:r>
        <w:rPr>
          <w:rFonts w:ascii="Calibri" w:hAnsi="Calibri"/>
          <w:sz w:val="20"/>
        </w:rPr>
        <w:t>▪ Level 4 — Enterprise Buying: Map buying committee (6.8-11.2 people), Economic Buyer vs Champion vs Veto.</w:t>
      </w:r>
    </w:p>
    <w:p>
      <w:pPr>
        <w:spacing w:before="20" w:after="40"/>
        <w:ind w:left="288"/>
      </w:pPr>
      <w:r>
        <w:rPr>
          <w:rFonts w:ascii="Calibri" w:hAnsi="Calibri"/>
          <w:sz w:val="20"/>
        </w:rPr>
        <w:t>▪ Level 5 — Pricing: Value-based pricing, state ₹5,00,000 fee confidently, anchor against client financial loss.</w:t>
      </w:r>
    </w:p>
    <w:p>
      <w:pPr>
        <w:spacing w:before="20" w:after="40"/>
        <w:ind w:left="288"/>
      </w:pPr>
      <w:r>
        <w:rPr>
          <w:rFonts w:ascii="Calibri" w:hAnsi="Calibri"/>
          <w:sz w:val="20"/>
        </w:rPr>
        <w:t>▪ Level 6 — Negotiation: Anchoring, scope management, 'Never Split the Difference', remove deliverables instead of discounting.</w:t>
      </w:r>
    </w:p>
    <w:p>
      <w:pPr>
        <w:spacing w:before="20" w:after="40"/>
        <w:ind w:left="288"/>
      </w:pPr>
      <w:r>
        <w:rPr>
          <w:rFonts w:ascii="Calibri" w:hAnsi="Calibri"/>
          <w:sz w:val="20"/>
        </w:rPr>
        <w:t>▪ Level 7 — Contracts: Limitation of liability, indirect loss exclusions, IP ownership retention, review MSAs with legal counsel.</w:t>
      </w:r>
    </w:p>
    <w:p>
      <w:pPr>
        <w:spacing w:before="20" w:after="40"/>
        <w:ind w:left="288"/>
      </w:pPr>
      <w:r>
        <w:rPr>
          <w:rFonts w:ascii="Calibri" w:hAnsi="Calibri"/>
          <w:sz w:val="20"/>
        </w:rPr>
        <w:t>▪ Level 8 — Service Delivery: SOW scope control, client onboarding, decline out-of-scope requests politely.</w:t>
      </w:r>
    </w:p>
    <w:p>
      <w:pPr>
        <w:spacing w:before="20" w:after="40"/>
        <w:ind w:left="288"/>
      </w:pPr>
      <w:r>
        <w:rPr>
          <w:rFonts w:ascii="Calibri" w:hAnsi="Calibri"/>
          <w:sz w:val="20"/>
        </w:rPr>
        <w:t>▪ Level 9 — Fintech/Financial Services: CAMs, SEBI equity compliance, RBI master directions, underwriting jargon.</w:t>
      </w:r>
    </w:p>
    <w:p>
      <w:pPr>
        <w:spacing w:before="20" w:after="40"/>
        <w:ind w:left="288"/>
      </w:pPr>
      <w:r>
        <w:rPr>
          <w:rFonts w:ascii="Calibri" w:hAnsi="Calibri"/>
          <w:sz w:val="20"/>
        </w:rPr>
        <w:t>▪ Level 10 — Executive Communication: Minto Pyramid Principle, top-down communication, answer direct questions directly.</w:t>
      </w:r>
    </w:p>
    <w:p>
      <w:pPr>
        <w:spacing w:before="20" w:after="40"/>
        <w:ind w:left="288"/>
      </w:pPr>
      <w:r>
        <w:rPr>
          <w:rFonts w:ascii="Calibri" w:hAnsi="Calibri"/>
          <w:sz w:val="20"/>
        </w:rPr>
        <w:t>▪ Level 11 — Strategic Positioning: Category creation, differentiate from UI/UX agencies, 'Obviously Awesome'.</w:t>
      </w:r>
    </w:p>
    <w:p>
      <w:pPr>
        <w:spacing w:before="20" w:after="40"/>
        <w:ind w:left="288"/>
      </w:pPr>
      <w:r>
        <w:rPr>
          <w:rFonts w:ascii="Calibri" w:hAnsi="Calibri"/>
          <w:sz w:val="20"/>
        </w:rPr>
        <w:t>▪ Level 12 — Business Development: Pipeline management, Account-Based Marketing (ABM), 50 target lists, 2-3 qualified calls/month.</w:t>
      </w:r>
    </w:p>
    <w:p>
      <w:pPr>
        <w:spacing w:before="80" w:after="80"/>
      </w:pPr>
      <w:r>
        <w:rPr>
          <w:b/>
          <w:color w:val="2B6CB0"/>
        </w:rPr>
        <w:t xml:space="preserve">🔗 Step 7 — Relationships &amp; Systemic Connections: </w:t>
      </w:r>
      <w:r>
        <w:rPr>
          <w:rFonts w:ascii="Calibri" w:hAnsi="Calibri"/>
          <w:sz w:val="21"/>
        </w:rPr>
        <w:t>Equips the founder with all competencies required to execute Parts 8 through 23.</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Systematically study and practice all 12 curriculum levels to transition from technical developer to commercial founder.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24 — Founder Learning Curriculum</w:t>
              <w:br/>
              <w:t>To transition from a technical creator to a commercial leader, the founder must master twelve specific disciplines. This curriculum is designed to teach the rationale, the content, the learning method, the practice mechanics, the validation, and the real-world application of each skill (Type: D - Your recommendation).</w:t>
              <w:br/>
              <w:br/>
              <w:t>Level 1 — Professional Communication</w:t>
              <w:br/>
              <w:t>Rationale: Executives dismiss vendors who sound like academics; B2B communication is about brevity and financial impact.</w:t>
              <w:br/>
              <w:t>Content: Structure of executive summaries, high-conversion cold emails, agenda-driven meeting management.</w:t>
              <w:br/>
              <w:t>Learning Method: Study public communications from top-tier consulting firms (e.g., McKinsey, BCG).</w:t>
              <w:br/>
              <w:t>Practice Mechanics: Rewrite theoretical explanations of the Haldankar Method into three-sentence business value propositions.</w:t>
              <w:br/>
              <w:t>Validation: Explain service to a non-technical person in 30 seconds without using 'typography' or 'cognitive'.</w:t>
              <w:br/>
              <w:t>Real-World Application: Keep initial outreach emails under 150 words focused entirely on client operational latency.</w:t>
              <w:br/>
              <w:br/>
              <w:t>Level 2 — Business Fundamentals</w:t>
              <w:br/>
              <w:t>Rationale: Cannot solve a business problem without understanding how a business makes and loses money.</w:t>
              <w:br/>
              <w:t>Content: Profit and loss (P&amp;L) statements, operational expenses (OpEx), return on investment (ROI).</w:t>
              <w:br/>
              <w:t>Learning Method: Read foundational business texts and analyze public annual reports of target NBFCs.</w:t>
              <w:br/>
              <w:t>Practice Mechanics: Calculate hourly cost of an underwriting team and financial loss associated with a 10% inefficiency rate.</w:t>
              <w:br/>
              <w:t>Validation: Confidently tie CIRF methodology directly to a reduction in OpEx.</w:t>
              <w:br/>
              <w:t>Real-World Application: Justify pricing against money saved by the organization.</w:t>
              <w:br/>
              <w:br/>
              <w:t>Level 3 — B2B Sales</w:t>
              <w:br/>
              <w:t>Rationale: Enterprise services are bought through structured processes, not impulsive decisions.</w:t>
              <w:br/>
              <w:t>Content: Pipeline management, qualification criteria (BANT—Budget, Authority, Need, Timeline), funnel velocity.</w:t>
              <w:br/>
              <w:t>Learning Method: Study modern B2B sales methodologies (e.g., SPIN Selling, MEDDIC).</w:t>
              <w:br/>
              <w:t>Practice Mechanics: Map out the 20-stage funnel outlined in Part 9 and identify exit criteria for each stage.</w:t>
              <w:br/>
              <w:t>Validation: Look at a prospect and objectively categorize them as a 'qualified lead' or merely an 'interested contact'.</w:t>
              <w:br/>
              <w:t>Real-World Application: Dictates when to walk away from a deal that lacks a true economic buyer.</w:t>
              <w:br/>
              <w:br/>
              <w:t>Level 4 — Enterprise Buying</w:t>
              <w:br/>
              <w:t>Rationale: Avoid wasting months talking to champions who have no authority to sign a contract.</w:t>
              <w:br/>
              <w:t>Content: Organizational buying maps, stakeholder management, consensus building.</w:t>
              <w:br/>
              <w:t>Learning Method: Research how buying committees (averaging 6.8 to 11.2 people) function in financial services.</w:t>
              <w:br/>
              <w:t>Practice Mechanics: Take a target NBFC on LinkedIn and map out specific individuals representing Economic Buyer, Champion, and Veto power.</w:t>
              <w:br/>
              <w:t>Validation: Predict which department will push back on implementation.</w:t>
              <w:br/>
              <w:t>Real-World Application: Proactively ask champion, 'Who else needs to evaluate security protocols before we initiate the pilot?'</w:t>
              <w:br/>
              <w:br/>
              <w:t>Level 5 — Pricing</w:t>
              <w:br/>
              <w:t>Rationale: Pricing based on hours commoditizes service; pricing based on value creates enterprise margins.</w:t>
              <w:br/>
              <w:t>Content: Value-based pricing, project fees, Indian consulting benchmarks.</w:t>
              <w:br/>
              <w:t>Learning Method: Study pricing models of boutique professional services firms.</w:t>
              <w:br/>
              <w:t>Practice Mechanics: Calculate pilot fee based on fraction of value of document latency resolved, not Python execution hours.</w:t>
              <w:br/>
              <w:t>Validation: State a ₹5,00,000 fee without hesitation or justification of hours.</w:t>
              <w:br/>
              <w:t>Real-World Application: Anchor price against millions of rupees lost annually to inefficient workflows.</w:t>
              <w:br/>
              <w:br/>
              <w:t>Level 6 — Negotiation</w:t>
              <w:br/>
              <w:t>Rationale: Protect intellectual property value against procurement teams trained to extract discounts.</w:t>
              <w:br/>
              <w:t>Content: Anchoring, concession strategies, scope management.</w:t>
              <w:br/>
              <w:t>Learning Method: Study negotiation frameworks (e.g., 'Never Split the Difference').</w:t>
              <w:br/>
              <w:t>Practice Mechanics: Role-play scenarios where a client demands a 30% discount.</w:t>
              <w:br/>
              <w:t>Validation: Instinctively respond to discount requests by removing a deliverable rather than lowering price.</w:t>
              <w:br/>
              <w:t>Real-World Application: Prevents doing free organizational work out of desperation for a logo.</w:t>
              <w:br/>
              <w:br/>
              <w:t>Level 7 — Contracts</w:t>
              <w:br/>
              <w:t>Rationale: Avoid assuming infinite financial liability for algorithmic or processing errors.</w:t>
              <w:br/>
              <w:t>Content: Limitation of Liability clauses, exclusions of indirect losses, IP ownership.</w:t>
              <w:br/>
              <w:t>Learning Method: Review standard Master Services Agreements (MSAs) and consult with a corporate attorney.</w:t>
              <w:br/>
              <w:t>Practice Mechanics: Read a mock contract and identify clauses exposing provider to market-loss lawsuits.</w:t>
              <w:br/>
              <w:t>Validation: Understand exactly why you can never guarantee a specific financial outcome from document transformation.</w:t>
              <w:br/>
              <w:t>Real-World Application: Protects company from being sued if an analyst makes a bad trade using a CIRF-transformed document.</w:t>
              <w:br/>
              <w:br/>
              <w:t>Level 8 — Service Delivery</w:t>
              <w:br/>
              <w:t>Rationale: Selling a service is half the battle; delivering flawlessly guarantees retention.</w:t>
              <w:br/>
              <w:t>Content: Project management, client onboarding, managing scope creep.</w:t>
              <w:br/>
              <w:t>Learning Method: Study implementation frameworks used by SaaS and consulting companies.</w:t>
              <w:br/>
              <w:t>Practice Mechanics: Draft a highly detailed Statement of Work (SOW) outlining what is not included.</w:t>
              <w:br/>
              <w:t>Validation: Systematically deliver a pilot within 30 days without endless revisions.</w:t>
              <w:br/>
              <w:t>Real-World Application: Politely decline client requests for additional features falling outside agreed SOW.</w:t>
              <w:br/>
              <w:br/>
              <w:t>Level 9 — Fintech/Financial Services</w:t>
              <w:br/>
              <w:t>Rationale: CIRF is useless if it does not address specific pain points of the target industry.</w:t>
              <w:br/>
              <w:t>Content: Credit Appraisal Memos (CAMs), equity research compliance, banking operational structures.</w:t>
              <w:br/>
              <w:t>Learning Method: Study SEBI guidelines, RBI master directions, and public financial disclosures.</w:t>
              <w:br/>
              <w:t>Practice Mechanics: Take a complex CAM and map out its ideal semantic architecture.</w:t>
              <w:br/>
              <w:t>Validation: Hold a conversation with an underwriting head using their exact industry jargon.</w:t>
              <w:br/>
              <w:t>Real-World Application: Proves to client that provider understands their regulatory environment deeply.</w:t>
              <w:br/>
              <w:br/>
              <w:t>Level 10 — Executive Communication</w:t>
              <w:br/>
              <w:t>Rationale: Executives have zero tolerance for ambiguity or over-explanation.</w:t>
              <w:br/>
              <w:t>Content: Top-down communication (Minto Pyramid Principle), starting with answer supported by data.</w:t>
              <w:br/>
              <w:t>Learning Method: Analyze executive memos and board presentations.</w:t>
              <w:br/>
              <w:t>Practice Mechanics: Write a status update to a COO in exactly three bullet points.</w:t>
              <w:br/>
              <w:t>Validation: Stop feeling the need to explain the 'science' behind the method and focus purely on outcome.</w:t>
              <w:br/>
              <w:t>Real-World Application: Answer direct questions directly without tangential academic context.</w:t>
              <w:br/>
              <w:br/>
              <w:t>Level 11 — Strategic Positioning</w:t>
              <w:br/>
              <w:t>Rationale: Differentiate CIRF from generic design agencies and document formatters.</w:t>
              <w:br/>
              <w:t>Content: Category creation, problem awareness, competitive differentiation.</w:t>
              <w:br/>
              <w:t>Learning Method: Study product marketing and positioning strategies (e.g., 'Obviously Awesome').</w:t>
              <w:br/>
              <w:t>Practice Mechanics: Rewrite value proposition to ensure it cannot be confused with UX/UI design.</w:t>
              <w:br/>
              <w:t>Validation: Prospects immediately understand CIRF is an operational tool, not an aesthetic one.</w:t>
              <w:br/>
              <w:t>Real-World Application: Prevents founder from being delegated to client's internal graphic design team.</w:t>
              <w:br/>
              <w:br/>
              <w:t>Level 12 — Business Development</w:t>
              <w:br/>
              <w:t>Rationale: Build a sustainable pipeline of future revenue rather than relying on a single pilot.</w:t>
              <w:br/>
              <w:t>Content: Lead generation, account-based marketing (ABM), networking.</w:t>
              <w:br/>
              <w:t>Learning Method: Study modern outbound sales strategies and LinkedIn social selling.</w:t>
              <w:br/>
              <w:t>Practice Mechanics: Build a list of 50 target NBFCs and write customized outreach emails for each.</w:t>
              <w:br/>
              <w:t>Validation: Consistently generate two to three qualified discovery calls per month.</w:t>
              <w:br/>
              <w:t>Real-World Application: Ensures founder is never desperate to close a bad deal because pipeline is full.</w:t>
            </w:r>
          </w:p>
        </w:tc>
      </w:tr>
    </w:tbl>
    <w:p>
      <w:pPr>
        <w:spacing w:after="80"/>
      </w:pPr>
    </w:p>
    <w:p>
      <w:pPr>
        <w:spacing w:before="320" w:after="120"/>
      </w:pPr>
      <w:r>
        <w:rPr>
          <w:rFonts w:ascii="Calibri" w:hAnsi="Calibri"/>
          <w:b/>
          <w:color w:val="1A365D"/>
          <w:sz w:val="32"/>
        </w:rPr>
        <w:t>PART 25 — Practical Exercises</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Flight simulator drills force pilot trainees to practice emergency engine loss responses repeatedly until execution becomes automatic.</w:t>
            </w:r>
          </w:p>
          <w:p>
            <w:pPr>
              <w:spacing w:before="40" w:after="80"/>
            </w:pPr>
            <w:r>
              <w:rPr>
                <w:rFonts w:ascii="Calibri" w:hAnsi="Calibri"/>
                <w:color w:val="282828"/>
                <w:sz w:val="20"/>
              </w:rPr>
              <w:t>Real-World Business Scenario: You practice the 30-Second CFO pitch: 'We standardize decision-support data to reduce underwriting latency by 15%.' You omit 'typography' and 'cognitive', passing the rubric test.</w:t>
            </w:r>
          </w:p>
        </w:tc>
      </w:tr>
    </w:tbl>
    <w:p>
      <w:pPr>
        <w:spacing w:after="80"/>
      </w:pPr>
    </w:p>
    <w:p>
      <w:pPr>
        <w:spacing w:before="80" w:after="80"/>
      </w:pPr>
      <w:r>
        <w:rPr>
          <w:b/>
          <w:color w:val="2B6CB0"/>
        </w:rPr>
        <w:t xml:space="preserve">⚙️ Step 3 — Mechanism &amp; Operational Inner Workings: </w:t>
      </w:r>
      <w:r>
        <w:rPr>
          <w:rFonts w:ascii="Calibri" w:hAnsi="Calibri"/>
          <w:sz w:val="21"/>
        </w:rPr>
        <w:t>Evaluated drill exercises force active application of corporate communication, elevator pitching, and CISO objection handling.</w:t>
      </w:r>
    </w:p>
    <w:p>
      <w:pPr>
        <w:spacing w:before="80" w:after="80"/>
      </w:pPr>
      <w:r>
        <w:rPr>
          <w:b/>
          <w:color w:val="2B6CB0"/>
        </w:rPr>
        <w:t xml:space="preserve">🎯 Step 4 — Strategic Purpose &amp; Problem Solved: </w:t>
      </w:r>
      <w:r>
        <w:rPr>
          <w:rFonts w:ascii="Calibri" w:hAnsi="Calibri"/>
          <w:sz w:val="21"/>
        </w:rPr>
        <w:t>Validating founder readiness for live executive meetings and sales calls.</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Evaluated Practical Drills: </w:t>
      </w:r>
      <w:r>
        <w:rPr>
          <w:rFonts w:ascii="Calibri" w:hAnsi="Calibri"/>
          <w:sz w:val="20"/>
        </w:rPr>
        <w:t>Structured exercises evaluated against explicit grading rubrics.</w:t>
      </w:r>
    </w:p>
    <w:p>
      <w:pPr>
        <w:spacing w:before="120" w:after="40"/>
      </w:pPr>
      <w:r>
        <w:rPr>
          <w:b/>
          <w:color w:val="2B6CB0"/>
          <w:sz w:val="22"/>
        </w:rPr>
        <w:t>🏗️ Step 6 — Detailed Structure &amp; System Components:</w:t>
      </w:r>
    </w:p>
    <w:p>
      <w:pPr>
        <w:spacing w:before="20" w:after="40"/>
        <w:ind w:left="288"/>
      </w:pPr>
      <w:r>
        <w:rPr>
          <w:rFonts w:ascii="Calibri" w:hAnsi="Calibri"/>
          <w:sz w:val="20"/>
        </w:rPr>
        <w:t>▪ Exercise 1 — The Cold Email Rewrite: Write a cold email to a CTO, then rewrite it for a CEO. Rubric: Does CEO version remove technical jargon and focus on financial/operational P&amp;L impact? Does CTO version address integration and architecture?</w:t>
      </w:r>
    </w:p>
    <w:p>
      <w:pPr>
        <w:spacing w:before="20" w:after="40"/>
        <w:ind w:left="288"/>
      </w:pPr>
      <w:r>
        <w:rPr>
          <w:rFonts w:ascii="Calibri" w:hAnsi="Calibri"/>
          <w:sz w:val="20"/>
        </w:rPr>
        <w:t>▪ Exercise 2 — The 30-Second CFO Pitch: Explain CIRF in 30 seconds without using 'typography', 'cognitive', 'design', or 'reading'. Rubric: Does it state financial benefit clearly (e.g. 'We standardize decision-support data to reduce underwriting latency by 15%')?</w:t>
      </w:r>
    </w:p>
    <w:p>
      <w:pPr>
        <w:spacing w:before="20" w:after="40"/>
        <w:ind w:left="288"/>
      </w:pPr>
      <w:r>
        <w:rPr>
          <w:rFonts w:ascii="Calibri" w:hAnsi="Calibri"/>
          <w:sz w:val="20"/>
        </w:rPr>
        <w:t>▪ Exercise 3 — The Objection Drill: Respond to a CISO stating 'We cannot upload internal CAMs to your script due to RBI rules.' Rubric: Pivot immediately to on-premises deployment behind client firewall rather than arguing cloud security.</w:t>
      </w:r>
    </w:p>
    <w:p>
      <w:pPr>
        <w:spacing w:before="80" w:after="80"/>
      </w:pPr>
      <w:r>
        <w:rPr>
          <w:b/>
          <w:color w:val="2B6CB0"/>
        </w:rPr>
        <w:t xml:space="preserve">🔗 Step 7 — Relationships &amp; Systemic Connections: </w:t>
      </w:r>
      <w:r>
        <w:rPr>
          <w:rFonts w:ascii="Calibri" w:hAnsi="Calibri"/>
          <w:sz w:val="21"/>
        </w:rPr>
        <w:t>Tests mastery of the Curriculum (Part 24) before live client outreach.</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Complete all three practical exercises and self-evaluate against the explicit rubrics before initiating sales outreach.</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25 — Practical Exercises</w:t>
              <w:br/>
              <w:t>To force the development of these skills, the founder must execute the following evaluated exercises (Type: D - Your recommendation):</w:t>
              <w:br/>
              <w:t>The Cold Email Rewrite: Write a cold email to a CTO. Rewrite it for a CEO. (Rubric: Does the CEO version remove all technical jargon and focus solely on financial/operational impact? Does the CTO version address integration and system architecture?)</w:t>
              <w:br/>
              <w:t>The 30-Second CFO Pitch: Explain CIRF in 30 seconds without using the words "typography," "cognitive," "design," or "reading." (Rubric: Does it clearly state the financial or operational benefit, such as "We standardize decision-support data to reduce underwriting latency by 15%"?)</w:t>
              <w:br/>
              <w:t>The Objection Drill: Respond to a CISO who states, "We cannot upload our internal CAMs to your Python script due to RBI guidelines." (Rubric: Does the founder immediately pivot to offering an on-premises deployment where the script runs securely behind the client's firewall, rather than arguing about cloud security?)</w:t>
            </w:r>
          </w:p>
        </w:tc>
      </w:tr>
    </w:tbl>
    <w:p>
      <w:pPr>
        <w:spacing w:after="80"/>
      </w:pPr>
    </w:p>
    <w:p>
      <w:pPr>
        <w:spacing w:before="320" w:after="120"/>
      </w:pPr>
      <w:r>
        <w:rPr>
          <w:rFonts w:ascii="Calibri" w:hAnsi="Calibri"/>
          <w:b/>
          <w:color w:val="1A365D"/>
          <w:sz w:val="32"/>
        </w:rPr>
        <w:t>PART 26 — Business Vocabulary</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Learning a new language requires memorizing vocabulary words, understanding their precise definitions, seeing them used in sentences, and knowing what mistakes to avoid when speaking.</w:t>
            </w:r>
          </w:p>
          <w:p>
            <w:pPr>
              <w:spacing w:before="40" w:after="80"/>
            </w:pPr>
            <w:r>
              <w:rPr>
                <w:rFonts w:ascii="Calibri" w:hAnsi="Calibri"/>
                <w:color w:val="282828"/>
                <w:sz w:val="20"/>
              </w:rPr>
              <w:t>Real-World Business Scenario: Instead of saying 'anyone who replies to my email is ready to buy,' you use BANT criteria to identify a true Qualified Lead: an Underwriting Head with a ₹5 Lakh budget this quarter.</w:t>
            </w:r>
          </w:p>
        </w:tc>
      </w:tr>
    </w:tbl>
    <w:p>
      <w:pPr>
        <w:spacing w:after="80"/>
      </w:pPr>
    </w:p>
    <w:p>
      <w:pPr>
        <w:spacing w:before="80" w:after="80"/>
      </w:pPr>
      <w:r>
        <w:rPr>
          <w:b/>
          <w:color w:val="2B6CB0"/>
        </w:rPr>
        <w:t xml:space="preserve">⚙️ Step 3 — Mechanism &amp; Operational Inner Workings: </w:t>
      </w:r>
      <w:r>
        <w:rPr>
          <w:rFonts w:ascii="Calibri" w:hAnsi="Calibri"/>
          <w:sz w:val="21"/>
        </w:rPr>
        <w:t>A structured vocabulary matrix defines core corporate sales, legal, and compliance terminology with practical business examples and beginner mistakes.</w:t>
      </w:r>
    </w:p>
    <w:p>
      <w:pPr>
        <w:spacing w:before="80" w:after="80"/>
      </w:pPr>
      <w:r>
        <w:rPr>
          <w:b/>
          <w:color w:val="2B6CB0"/>
        </w:rPr>
        <w:t xml:space="preserve">🎯 Step 4 — Strategic Purpose &amp; Problem Solved: </w:t>
      </w:r>
      <w:r>
        <w:rPr>
          <w:rFonts w:ascii="Calibri" w:hAnsi="Calibri"/>
          <w:sz w:val="21"/>
        </w:rPr>
        <w:t>Ensuring the founder speaks fluent enterprise vocabulary during client negotiations and contract drafting.</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BANT Criteria: </w:t>
      </w:r>
      <w:r>
        <w:rPr>
          <w:rFonts w:ascii="Calibri" w:hAnsi="Calibri"/>
          <w:sz w:val="20"/>
        </w:rPr>
        <w:t>Sales qualification methodology validating Budget, Authority, Need, and Timeline.</w:t>
      </w:r>
    </w:p>
    <w:p>
      <w:pPr>
        <w:spacing w:before="20" w:after="40"/>
        <w:ind w:left="288"/>
      </w:pPr>
      <w:r>
        <w:rPr>
          <w:rFonts w:ascii="Calibri" w:hAnsi="Calibri"/>
          <w:b/>
          <w:sz w:val="20"/>
        </w:rPr>
        <w:t xml:space="preserve">• Master Services Agreement (MSA): </w:t>
      </w:r>
      <w:r>
        <w:rPr>
          <w:rFonts w:ascii="Calibri" w:hAnsi="Calibri"/>
          <w:sz w:val="20"/>
        </w:rPr>
        <w:t>Primary legal agreement governing overall business relationship, liability, and IP.</w:t>
      </w:r>
    </w:p>
    <w:p>
      <w:pPr>
        <w:spacing w:before="20" w:after="40"/>
        <w:ind w:left="288"/>
      </w:pPr>
      <w:r>
        <w:rPr>
          <w:rFonts w:ascii="Calibri" w:hAnsi="Calibri"/>
          <w:b/>
          <w:sz w:val="20"/>
        </w:rPr>
        <w:t xml:space="preserve">• Statement of Work (SOW): </w:t>
      </w:r>
      <w:r>
        <w:rPr>
          <w:rFonts w:ascii="Calibri" w:hAnsi="Calibri"/>
          <w:sz w:val="20"/>
        </w:rPr>
        <w:t>Project-specific agreement defining exact scope, deliverables, and fees.</w:t>
      </w:r>
    </w:p>
    <w:p>
      <w:pPr>
        <w:spacing w:before="20" w:after="40"/>
        <w:ind w:left="288"/>
      </w:pPr>
      <w:r>
        <w:rPr>
          <w:rFonts w:ascii="Calibri" w:hAnsi="Calibri"/>
          <w:b/>
          <w:sz w:val="20"/>
        </w:rPr>
        <w:t xml:space="preserve">• Data Processing Agreement (DPA): </w:t>
      </w:r>
      <w:r>
        <w:rPr>
          <w:rFonts w:ascii="Calibri" w:hAnsi="Calibri"/>
          <w:sz w:val="20"/>
        </w:rPr>
        <w:t>Statutory privacy agreement required under DPDP Act 2023 when handling personal data.</w:t>
      </w:r>
    </w:p>
    <w:p>
      <w:pPr>
        <w:spacing w:before="120" w:after="40"/>
      </w:pPr>
      <w:r>
        <w:rPr>
          <w:b/>
          <w:color w:val="2B6CB0"/>
          <w:sz w:val="22"/>
        </w:rPr>
        <w:t>🏗️ Step 6 — Detailed Structure &amp; System Components:</w:t>
      </w:r>
    </w:p>
    <w:p>
      <w:pPr>
        <w:spacing w:before="20" w:after="40"/>
        <w:ind w:left="288"/>
      </w:pPr>
      <w:r>
        <w:rPr>
          <w:rFonts w:ascii="Calibri" w:hAnsi="Calibri"/>
          <w:sz w:val="20"/>
        </w:rPr>
        <w:t>▪ Table 3 Matrix Breakdown:</w:t>
      </w:r>
    </w:p>
    <w:p>
      <w:pPr>
        <w:spacing w:before="20" w:after="40"/>
        <w:ind w:left="288"/>
      </w:pPr>
      <w:r>
        <w:rPr>
          <w:rFonts w:ascii="Calibri" w:hAnsi="Calibri"/>
          <w:sz w:val="20"/>
        </w:rPr>
        <w:t>▪ 1. Qualified Lead: Someone who wants to buy -&gt; Prospect with confirmed BANT.</w:t>
      </w:r>
    </w:p>
    <w:p>
      <w:pPr>
        <w:spacing w:before="20" w:after="40"/>
        <w:ind w:left="288"/>
      </w:pPr>
      <w:r>
        <w:rPr>
          <w:rFonts w:ascii="Calibri" w:hAnsi="Calibri"/>
          <w:sz w:val="20"/>
        </w:rPr>
        <w:t>▪ 2. Economic Buyer: Person with money -&gt; Individual with ultimate sign-off authority (COO).</w:t>
      </w:r>
    </w:p>
    <w:p>
      <w:pPr>
        <w:spacing w:before="20" w:after="40"/>
        <w:ind w:left="288"/>
      </w:pPr>
      <w:r>
        <w:rPr>
          <w:rFonts w:ascii="Calibri" w:hAnsi="Calibri"/>
          <w:sz w:val="20"/>
        </w:rPr>
        <w:t>▪ 3. MSA: Main contract -&gt; Master Services Agreement governing liability, IP, and legal relationship.</w:t>
      </w:r>
    </w:p>
    <w:p>
      <w:pPr>
        <w:spacing w:before="20" w:after="40"/>
        <w:ind w:left="288"/>
      </w:pPr>
      <w:r>
        <w:rPr>
          <w:rFonts w:ascii="Calibri" w:hAnsi="Calibri"/>
          <w:sz w:val="20"/>
        </w:rPr>
        <w:t>▪ 4. SOW: Project details -&gt; Statement of Work outlining scope, deliverables, and fees for a project.</w:t>
      </w:r>
    </w:p>
    <w:p>
      <w:pPr>
        <w:spacing w:before="20" w:after="40"/>
        <w:ind w:left="288"/>
      </w:pPr>
      <w:r>
        <w:rPr>
          <w:rFonts w:ascii="Calibri" w:hAnsi="Calibri"/>
          <w:sz w:val="20"/>
        </w:rPr>
        <w:t>▪ 5. DPA: Data contract -&gt; Data Processing Agreement required under DPDP Act 2023.</w:t>
      </w:r>
    </w:p>
    <w:p>
      <w:pPr>
        <w:spacing w:before="80" w:after="80"/>
      </w:pPr>
      <w:r>
        <w:rPr>
          <w:b/>
          <w:color w:val="2B6CB0"/>
        </w:rPr>
        <w:t xml:space="preserve">🔗 Step 7 — Relationships &amp; Systemic Connections: </w:t>
      </w:r>
      <w:r>
        <w:rPr>
          <w:rFonts w:ascii="Calibri" w:hAnsi="Calibri"/>
          <w:sz w:val="21"/>
        </w:rPr>
        <w:t>Formalizes the sales vocabulary used across Parts 9, 14, 15, and 16.</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Master all 5 vocabulary terms, their formal meanings, business examples, and beginner mistakes.</w:t>
            </w:r>
          </w:p>
        </w:tc>
      </w:tr>
    </w:tbl>
    <w:p>
      <w:pPr>
        <w:spacing w:after="80"/>
      </w:pP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Term</w:t>
            </w:r>
          </w:p>
        </w:tc>
        <w:tc>
          <w:tcPr>
            <w:tcW w:type="dxa" w:w="1987"/>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Simple Meaning</w:t>
            </w:r>
          </w:p>
        </w:tc>
        <w:tc>
          <w:tcPr>
            <w:tcW w:type="dxa" w:w="1987"/>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Professional Meaning</w:t>
            </w:r>
          </w:p>
        </w:tc>
        <w:tc>
          <w:tcPr>
            <w:tcW w:type="dxa" w:w="1987"/>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Example in Business</w:t>
            </w:r>
          </w:p>
        </w:tc>
        <w:tc>
          <w:tcPr>
            <w:tcW w:type="dxa" w:w="1987"/>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Beginner Mistake</w:t>
            </w:r>
          </w:p>
        </w:tc>
      </w:tr>
      <w:tr>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Qualified Lead</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Someone who wants to buy.</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A prospect with confirmed Budget, Authority, Need, and Timeline (BANT).</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A Head of Underwriting with ₹5L budget for process optimization this quarter.</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Treating anyone who replies to an email as a qualified lead.</w:t>
            </w:r>
          </w:p>
        </w:tc>
      </w:tr>
      <w:tr>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Economic Buyer</w:t>
            </w:r>
          </w:p>
        </w:tc>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The person with the money.</w:t>
            </w:r>
          </w:p>
        </w:tc>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The individual with ultimate sign-off authority on the budget.</w:t>
            </w:r>
          </w:p>
        </w:tc>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The COO who approves the final PO for the CIRF rollout.</w:t>
            </w:r>
          </w:p>
        </w:tc>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Pitching exclusively to the Champion and ignoring the COO.</w:t>
            </w:r>
          </w:p>
        </w:tc>
      </w:tr>
      <w:tr>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MSA</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The main contract.</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Master Services Agreement: governs all future legal relationships, IP, and liability.</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Signing an MSA that caps liability at ₹10L for any document errors.</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Trying to negotiate a massive MSA for a small 30-day pilot.</w:t>
            </w:r>
          </w:p>
        </w:tc>
      </w:tr>
      <w:tr>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SOW</w:t>
            </w:r>
          </w:p>
        </w:tc>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The project details.</w:t>
            </w:r>
          </w:p>
        </w:tc>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Statement of Work: outlines specific scope, deliverables, and fees for a distinct project.</w:t>
            </w:r>
          </w:p>
        </w:tc>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An SOW for the medium pilot specifying transformation of exactly 50 reports.</w:t>
            </w:r>
          </w:p>
        </w:tc>
        <w:tc>
          <w:tcPr>
            <w:tcW w:type="dxa" w:w="1987"/>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Leaving scope vague, resulting in endless unpaid revisions (scope creep).</w:t>
            </w:r>
          </w:p>
        </w:tc>
      </w:tr>
      <w:tr>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DPA</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Data contract.</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Data Processing Agreement: required by DPDP Act 2023 when handling personal data.</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Signing a DPA outlining 24-hour breach notification if a CAM leaks.</w:t>
            </w:r>
          </w:p>
        </w:tc>
        <w:tc>
          <w:tcPr>
            <w:tcW w:type="dxa" w:w="1987"/>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Ignoring data privacy laws and processing sensitive documents casually.</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26 — Business Vocabulary</w:t>
              <w:br/>
              <w:t>Prioritized vocabulary for the first 12 months of operation (Type: B - Industry practice):</w:t>
              <w:br/>
              <w:br/>
              <w:t>Table 3 — Prioritized Business Vocabulary Matrix</w:t>
              <w:br/>
              <w:t>Term | Simple Meaning | Professional Meaning | Example in Business | Beginner Mistake</w:t>
              <w:br/>
              <w:t>Qualified Lead | Someone who wants to buy. | A prospect with confirmed Budget, Authority, Need, and Timeline (BANT). | A Head of Underwriting with ₹5L budget for process optimization this quarter. | Treating anyone who replies to an email as a qualified lead.</w:t>
              <w:br/>
              <w:t>Economic Buyer | The person with the money. | The individual with ultimate sign-off authority on the budget. | The COO who approves the final PO for the CIRF rollout. | Pitching exclusively to the Champion and ignoring the COO.</w:t>
              <w:br/>
              <w:t>MSA | The main contract. | Master Services Agreement: governs all future legal relationships, IP, and liability. | Signing an MSA that caps liability at ₹10L for any document errors. | Trying to negotiate a massive MSA for a small 30-day pilot.</w:t>
              <w:br/>
              <w:t>SOW | The project details. | Statement of Work: outlines specific scope, deliverables, and fees for a distinct project. | An SOW for the medium pilot specifying transformation of exactly 50 reports. | Leaving scope vague, resulting in endless unpaid revisions (scope creep).</w:t>
              <w:br/>
              <w:t>DPA | Data contract. | Data Processing Agreement: required by DPDP Act 2023 when handling personal data. | Signing a DPA outlining 24-hour breach notification if a CAM leaks. | Ignoring data privacy laws and processing sensitive documents casually.</w:t>
            </w:r>
          </w:p>
        </w:tc>
      </w:tr>
    </w:tbl>
    <w:p>
      <w:pPr>
        <w:spacing w:after="80"/>
      </w:pPr>
    </w:p>
    <w:p>
      <w:pPr>
        <w:spacing w:before="320" w:after="120"/>
      </w:pPr>
      <w:r>
        <w:rPr>
          <w:rFonts w:ascii="Calibri" w:hAnsi="Calibri"/>
          <w:b/>
          <w:color w:val="1A365D"/>
          <w:sz w:val="32"/>
        </w:rPr>
        <w:t>PART 27 — Communication Library</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pilot carries a complete flight bag containing navigation charts, emergency checklists, radio protocol sheets, and flight plans before stepping into the cockpit.</w:t>
            </w:r>
          </w:p>
          <w:p>
            <w:pPr>
              <w:spacing w:before="40" w:after="80"/>
            </w:pPr>
            <w:r>
              <w:rPr>
                <w:rFonts w:ascii="Calibri" w:hAnsi="Calibri"/>
                <w:color w:val="282828"/>
                <w:sz w:val="20"/>
              </w:rPr>
              <w:t>Real-World Business Scenario: Before meeting an NBFC, you prepare a One-Page Capability Statement, an MNDA, a Pilot SOW, a DPDP DPA, and a two-page Executive Case Study.</w:t>
            </w:r>
          </w:p>
        </w:tc>
      </w:tr>
    </w:tbl>
    <w:p>
      <w:pPr>
        <w:spacing w:after="80"/>
      </w:pPr>
    </w:p>
    <w:p>
      <w:pPr>
        <w:spacing w:before="80" w:after="80"/>
      </w:pPr>
      <w:r>
        <w:rPr>
          <w:b/>
          <w:color w:val="2B6CB0"/>
        </w:rPr>
        <w:t xml:space="preserve">⚙️ Step 3 — Mechanism &amp; Operational Inner Workings: </w:t>
      </w:r>
      <w:r>
        <w:rPr>
          <w:rFonts w:ascii="Calibri" w:hAnsi="Calibri"/>
          <w:sz w:val="21"/>
        </w:rPr>
        <w:t>Pre-building standard commercial templates ensures instant professional responsiveness during client interactions.</w:t>
      </w:r>
    </w:p>
    <w:p>
      <w:pPr>
        <w:spacing w:before="80" w:after="80"/>
      </w:pPr>
      <w:r>
        <w:rPr>
          <w:b/>
          <w:color w:val="2B6CB0"/>
        </w:rPr>
        <w:t xml:space="preserve">🎯 Step 4 — Strategic Purpose &amp; Problem Solved: </w:t>
      </w:r>
      <w:r>
        <w:rPr>
          <w:rFonts w:ascii="Calibri" w:hAnsi="Calibri"/>
          <w:sz w:val="21"/>
        </w:rPr>
        <w:t>Accelerating enterprise sales cycles by having all legal, commercial, and marketing documentation ready before prospect outreach.</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One-Page Capability Statement: </w:t>
      </w:r>
      <w:r>
        <w:rPr>
          <w:rFonts w:ascii="Calibri" w:hAnsi="Calibri"/>
          <w:sz w:val="20"/>
        </w:rPr>
        <w:t>Formal single-page overview summarizing services, target workflows, and methodology.</w:t>
      </w:r>
    </w:p>
    <w:p>
      <w:pPr>
        <w:spacing w:before="20" w:after="40"/>
        <w:ind w:left="288"/>
      </w:pPr>
      <w:r>
        <w:rPr>
          <w:rFonts w:ascii="Calibri" w:hAnsi="Calibri"/>
          <w:b/>
          <w:sz w:val="20"/>
        </w:rPr>
        <w:t xml:space="preserve">• Mutual Non-Disclosure Agreement (MNDA): </w:t>
      </w:r>
      <w:r>
        <w:rPr>
          <w:rFonts w:ascii="Calibri" w:hAnsi="Calibri"/>
          <w:sz w:val="20"/>
        </w:rPr>
        <w:t>Legal agreement protecting confidential information shared during discovery.</w:t>
      </w:r>
    </w:p>
    <w:p>
      <w:pPr>
        <w:spacing w:before="20" w:after="40"/>
        <w:ind w:left="288"/>
      </w:pPr>
      <w:r>
        <w:rPr>
          <w:rFonts w:ascii="Calibri" w:hAnsi="Calibri"/>
          <w:b/>
          <w:sz w:val="20"/>
        </w:rPr>
        <w:t xml:space="preserve">• Executive Case Study: </w:t>
      </w:r>
      <w:r>
        <w:rPr>
          <w:rFonts w:ascii="Calibri" w:hAnsi="Calibri"/>
          <w:sz w:val="20"/>
        </w:rPr>
        <w:t>Two-page visual teardown showing before-and-after document architecture and quantified benefits.</w:t>
      </w:r>
    </w:p>
    <w:p>
      <w:pPr>
        <w:spacing w:before="120" w:after="40"/>
      </w:pPr>
      <w:r>
        <w:rPr>
          <w:b/>
          <w:color w:val="2B6CB0"/>
          <w:sz w:val="22"/>
        </w:rPr>
        <w:t>🏗️ Step 6 — Detailed Structure &amp; System Components:</w:t>
      </w:r>
    </w:p>
    <w:p>
      <w:pPr>
        <w:spacing w:before="20" w:after="40"/>
        <w:ind w:left="288"/>
      </w:pPr>
      <w:r>
        <w:rPr>
          <w:rFonts w:ascii="Calibri" w:hAnsi="Calibri"/>
          <w:sz w:val="20"/>
        </w:rPr>
        <w:t>▪ 1. One-Page Capability Statement: Formal PDF summarizing service, CAM workflows, and deterministic methodology for Economic Buyers.</w:t>
      </w:r>
    </w:p>
    <w:p>
      <w:pPr>
        <w:spacing w:before="20" w:after="40"/>
        <w:ind w:left="288"/>
      </w:pPr>
      <w:r>
        <w:rPr>
          <w:rFonts w:ascii="Calibri" w:hAnsi="Calibri"/>
          <w:sz w:val="20"/>
        </w:rPr>
        <w:t>▪ 2. Mutual Non-Disclosure Agreement (MNDA): Mandated before client shares redacted documents for demonstration.</w:t>
      </w:r>
    </w:p>
    <w:p>
      <w:pPr>
        <w:spacing w:before="20" w:after="40"/>
        <w:ind w:left="288"/>
      </w:pPr>
      <w:r>
        <w:rPr>
          <w:rFonts w:ascii="Calibri" w:hAnsi="Calibri"/>
          <w:sz w:val="20"/>
        </w:rPr>
        <w:t>▪ 3. Pilot Statement of Work (SOW): Details 30-day proof of concept, explicit success criteria, and payment terms to prevent scope creep.</w:t>
      </w:r>
    </w:p>
    <w:p>
      <w:pPr>
        <w:spacing w:before="20" w:after="40"/>
        <w:ind w:left="288"/>
      </w:pPr>
      <w:r>
        <w:rPr>
          <w:rFonts w:ascii="Calibri" w:hAnsi="Calibri"/>
          <w:sz w:val="20"/>
        </w:rPr>
        <w:t>▪ 4. Data Processing Agreement (DPA): Crucial DPDP Act 2023 compliance asset outlining security safeguards and breach protocols.</w:t>
      </w:r>
    </w:p>
    <w:p>
      <w:pPr>
        <w:spacing w:before="20" w:after="40"/>
        <w:ind w:left="288"/>
      </w:pPr>
      <w:r>
        <w:rPr>
          <w:rFonts w:ascii="Calibri" w:hAnsi="Calibri"/>
          <w:sz w:val="20"/>
        </w:rPr>
        <w:t>▪ 5. Executive Case Study: Two-page document showing 'Before CIRF' and 'After CIRF' visual architecture, quantifying structural standardization.</w:t>
      </w:r>
    </w:p>
    <w:p>
      <w:pPr>
        <w:spacing w:before="80" w:after="80"/>
      </w:pPr>
      <w:r>
        <w:rPr>
          <w:b/>
          <w:color w:val="2B6CB0"/>
        </w:rPr>
        <w:t xml:space="preserve">🔗 Step 7 — Relationships &amp; Systemic Connections: </w:t>
      </w:r>
      <w:r>
        <w:rPr>
          <w:rFonts w:ascii="Calibri" w:hAnsi="Calibri"/>
          <w:sz w:val="21"/>
        </w:rPr>
        <w:t>Supports the sales execution stages of Parts 8, 9, 11, 12, and 14.</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Draft all 5 legal and marketing artifacts during Days 1-30 of the 90-Day Plan before approaching prospects.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27 — Communication Library</w:t>
              <w:br/>
              <w:t>The enterprise requires a structured library of commercial artifacts, ready before the first client is approached (Type: B - Industry practice):</w:t>
              <w:br/>
              <w:t>One-Page Capability Statement: A highly formal PDF summarizing the service, target workflows (e.g., CAMs), and deterministic methodology. Given to the Champion to share with the Economic Buyer.</w:t>
              <w:br/>
              <w:t>Mutual Non-Disclosure Agreement (MNDA): Required before any client shares redacted documents for the demonstration. Protects both parties.</w:t>
              <w:br/>
              <w:t>Pilot Statement of Work (SOW): Details the 30-day proof of concept, explicitly stating success criteria and payment terms to prevent scope creep.</w:t>
              <w:br/>
              <w:t>Data Processing Agreement (DPA): Crucial for DPDP Act compliance if processing any personal data, outlining security safeguards and breach protocols.</w:t>
              <w:br/>
              <w:t>Executive Case Study: A two-page document showing the "Before CIRF" and "After CIRF" visual architecture of a financial document, quantifying the structural standardization.</w:t>
            </w:r>
          </w:p>
        </w:tc>
      </w:tr>
    </w:tbl>
    <w:p>
      <w:pPr>
        <w:spacing w:after="80"/>
      </w:pPr>
    </w:p>
    <w:p>
      <w:pPr>
        <w:spacing w:before="320" w:after="120"/>
      </w:pPr>
      <w:r>
        <w:rPr>
          <w:rFonts w:ascii="Calibri" w:hAnsi="Calibri"/>
          <w:b/>
          <w:color w:val="1A365D"/>
          <w:sz w:val="32"/>
        </w:rPr>
        <w:t>PART 28 — Beginner Mistakes</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beginner mountain climber brings heavy books instead of water, ignores weather reports, and tries to climb without safety ropes.</w:t>
            </w:r>
          </w:p>
          <w:p>
            <w:pPr>
              <w:spacing w:before="40" w:after="80"/>
            </w:pPr>
            <w:r>
              <w:rPr>
                <w:rFonts w:ascii="Calibri" w:hAnsi="Calibri"/>
                <w:color w:val="282828"/>
                <w:sz w:val="20"/>
              </w:rPr>
              <w:t>Real-World Business Scenario: A technical founder pitches a CISO on cognitive psychology, performs a free 60-day pilot, forgets DPDP compliance, and uses agency words like 'pretty design'. The deal dies.</w:t>
            </w:r>
          </w:p>
        </w:tc>
      </w:tr>
    </w:tbl>
    <w:p>
      <w:pPr>
        <w:spacing w:after="80"/>
      </w:pPr>
    </w:p>
    <w:p>
      <w:pPr>
        <w:spacing w:before="80" w:after="80"/>
      </w:pPr>
      <w:r>
        <w:rPr>
          <w:b/>
          <w:color w:val="2B6CB0"/>
        </w:rPr>
        <w:t xml:space="preserve">⚙️ Step 3 — Mechanism &amp; Operational Inner Workings: </w:t>
      </w:r>
      <w:r>
        <w:rPr>
          <w:rFonts w:ascii="Calibri" w:hAnsi="Calibri"/>
          <w:sz w:val="21"/>
        </w:rPr>
        <w:t>Analyzing common founder failure modes prevents fatal errors in commercial positioning, pricing, and compliance.</w:t>
      </w:r>
    </w:p>
    <w:p>
      <w:pPr>
        <w:spacing w:before="80" w:after="80"/>
      </w:pPr>
      <w:r>
        <w:rPr>
          <w:b/>
          <w:color w:val="2B6CB0"/>
        </w:rPr>
        <w:t xml:space="preserve">🎯 Step 4 — Strategic Purpose &amp; Problem Solved: </w:t>
      </w:r>
      <w:r>
        <w:rPr>
          <w:rFonts w:ascii="Calibri" w:hAnsi="Calibri"/>
          <w:sz w:val="21"/>
        </w:rPr>
        <w:t>Eliminating amateur sales behaviors that destroy enterprise credibility and margin.</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Cognitive Over-Explanation: </w:t>
      </w:r>
      <w:r>
        <w:rPr>
          <w:rFonts w:ascii="Calibri" w:hAnsi="Calibri"/>
          <w:sz w:val="20"/>
        </w:rPr>
        <w:t>Lecturing financial buyers on psychological theory rather than operational efficiency.</w:t>
      </w:r>
    </w:p>
    <w:p>
      <w:pPr>
        <w:spacing w:before="20" w:after="40"/>
        <w:ind w:left="288"/>
      </w:pPr>
      <w:r>
        <w:rPr>
          <w:rFonts w:ascii="Calibri" w:hAnsi="Calibri"/>
          <w:b/>
          <w:sz w:val="20"/>
        </w:rPr>
        <w:t xml:space="preserve">• Free Pilot Trap: </w:t>
      </w:r>
      <w:r>
        <w:rPr>
          <w:rFonts w:ascii="Calibri" w:hAnsi="Calibri"/>
          <w:sz w:val="20"/>
        </w:rPr>
        <w:t>Performing free organizational work, which destroys perceived value and leads to unpaid scope creep.</w:t>
      </w:r>
    </w:p>
    <w:p>
      <w:pPr>
        <w:spacing w:before="20" w:after="40"/>
        <w:ind w:left="288"/>
      </w:pPr>
      <w:r>
        <w:rPr>
          <w:rFonts w:ascii="Calibri" w:hAnsi="Calibri"/>
          <w:b/>
          <w:sz w:val="20"/>
        </w:rPr>
        <w:t xml:space="preserve">• Agency Positioning: </w:t>
      </w:r>
      <w:r>
        <w:rPr>
          <w:rFonts w:ascii="Calibri" w:hAnsi="Calibri"/>
          <w:sz w:val="20"/>
        </w:rPr>
        <w:t>Using design agency words ('creative', 'look and feel') rather than consulting terms ('standardization', 'latency reduction').</w:t>
      </w:r>
    </w:p>
    <w:p>
      <w:pPr>
        <w:spacing w:before="120" w:after="40"/>
      </w:pPr>
      <w:r>
        <w:rPr>
          <w:b/>
          <w:color w:val="2B6CB0"/>
          <w:sz w:val="22"/>
        </w:rPr>
        <w:t>🏗️ Step 6 — Detailed Structure &amp; System Components:</w:t>
      </w:r>
    </w:p>
    <w:p>
      <w:pPr>
        <w:spacing w:before="20" w:after="40"/>
        <w:ind w:left="288"/>
      </w:pPr>
      <w:r>
        <w:rPr>
          <w:rFonts w:ascii="Calibri" w:hAnsi="Calibri"/>
          <w:sz w:val="20"/>
        </w:rPr>
        <w:t>▪ Mistake 1: Over-Explaining the Science. B2B buyers want business solutions, not lectures on cognitive load. Focus on latency reduction.</w:t>
      </w:r>
    </w:p>
    <w:p>
      <w:pPr>
        <w:spacing w:before="20" w:after="40"/>
        <w:ind w:left="288"/>
      </w:pPr>
      <w:r>
        <w:rPr>
          <w:rFonts w:ascii="Calibri" w:hAnsi="Calibri"/>
          <w:sz w:val="20"/>
        </w:rPr>
        <w:t>▪ Mistake 2: Performing Free Pilots. Free work is perceived as valueless. If client resists pilot fee, reduce scope, not price.</w:t>
      </w:r>
    </w:p>
    <w:p>
      <w:pPr>
        <w:spacing w:before="20" w:after="40"/>
        <w:ind w:left="288"/>
      </w:pPr>
      <w:r>
        <w:rPr>
          <w:rFonts w:ascii="Calibri" w:hAnsi="Calibri"/>
          <w:sz w:val="20"/>
        </w:rPr>
        <w:t>▪ Mistake 3: Ignoring the CISO. In financial services, CISOs can kill deals on day 89. Address RBI IT directives and DPDP compliance in call 1.</w:t>
      </w:r>
    </w:p>
    <w:p>
      <w:pPr>
        <w:spacing w:before="20" w:after="40"/>
        <w:ind w:left="288"/>
      </w:pPr>
      <w:r>
        <w:rPr>
          <w:rFonts w:ascii="Calibri" w:hAnsi="Calibri"/>
          <w:sz w:val="20"/>
        </w:rPr>
        <w:t>▪ Mistake 4: Using 'Agency' Terminology. Avoid 'creative', 'design', 'look and feel'. Use 'standardization', 'deterministic rules', 'latency reduction', 'semantic architecture'.</w:t>
      </w:r>
    </w:p>
    <w:p>
      <w:pPr>
        <w:spacing w:before="80" w:after="80"/>
      </w:pPr>
      <w:r>
        <w:rPr>
          <w:b/>
          <w:color w:val="2B6CB0"/>
        </w:rPr>
        <w:t xml:space="preserve">🔗 Step 7 — Relationships &amp; Systemic Connections: </w:t>
      </w:r>
      <w:r>
        <w:rPr>
          <w:rFonts w:ascii="Calibri" w:hAnsi="Calibri"/>
          <w:sz w:val="21"/>
        </w:rPr>
        <w:t>Provides negative guidance reinforcing Parts 1, 7, 12, and 17.</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Never pitch academic theory, never do free pilots, engage the CISO early, and strictly use enterprise consulting language.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28 — Beginner Mistakes</w:t>
              <w:br/>
              <w:t>The most dangerous mistakes a technically strong first-time founder can make (Type: C - Expert Inference):</w:t>
              <w:br/>
              <w:t>Over-Explaining the Science: B2B buyers do not want a lecture on cognitive load and visual processing. They want a solution to a business problem. Discussing the theory of perception sounds academic; discussing latency reduction sounds professional.</w:t>
              <w:br/>
              <w:t>Performing Free Pilots: Never do free organizational work. Free work is perceived as valueless. If the client resists a pilot fee, reduce the scope, not the price.</w:t>
              <w:br/>
              <w:t>Ignoring the CISO: In financial services, the CISO can kill a deal on day 89 of a 90-day sales cycle. Data architecture, RBI Master Directions, and DPDP compliance must be addressed in the first meeting to prevent late-stage vetoes.</w:t>
              <w:br/>
              <w:t>Using "Agency" Terminology: Avoid words like "creative," "design," "look and feel." Use "standardization," "deterministic rules," "latency reduction," and "semantic architecture." The former positions the founder as a graphic designer; the latter as an enterprise consultant.</w:t>
            </w:r>
          </w:p>
        </w:tc>
      </w:tr>
    </w:tbl>
    <w:p>
      <w:pPr>
        <w:spacing w:after="80"/>
      </w:pPr>
    </w:p>
    <w:p>
      <w:pPr>
        <w:spacing w:before="320" w:after="120"/>
      </w:pPr>
      <w:r>
        <w:rPr>
          <w:rFonts w:ascii="Calibri" w:hAnsi="Calibri"/>
          <w:b/>
          <w:color w:val="1A365D"/>
          <w:sz w:val="32"/>
        </w:rPr>
        <w:t>PART 29 — Hard Truths</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prototype race car in a lab is impressive, but investors only care if it can win real races on wet asphalt without breaking down.</w:t>
            </w:r>
          </w:p>
          <w:p>
            <w:pPr>
              <w:spacing w:before="40" w:after="80"/>
            </w:pPr>
            <w:r>
              <w:rPr>
                <w:rFonts w:ascii="Calibri" w:hAnsi="Calibri"/>
                <w:color w:val="282828"/>
                <w:sz w:val="20"/>
              </w:rPr>
              <w:t>Real-World Business Scenario: Your Python script works great on your laptop. But an NBFC demands to know: 'How does this connect to our Loan Origination System (LOS) via API? Can you guarantee 100% data fidelity?'</w:t>
            </w:r>
          </w:p>
        </w:tc>
      </w:tr>
    </w:tbl>
    <w:p>
      <w:pPr>
        <w:spacing w:after="80"/>
      </w:pPr>
    </w:p>
    <w:p>
      <w:pPr>
        <w:spacing w:before="80" w:after="80"/>
      </w:pPr>
      <w:r>
        <w:rPr>
          <w:b/>
          <w:color w:val="2B6CB0"/>
        </w:rPr>
        <w:t xml:space="preserve">⚙️ Step 3 — Mechanism &amp; Operational Inner Workings: </w:t>
      </w:r>
      <w:r>
        <w:rPr>
          <w:rFonts w:ascii="Calibri" w:hAnsi="Calibri"/>
          <w:sz w:val="21"/>
        </w:rPr>
        <w:t>Objective commercial evaluation exposes critical operational barriers that must be solved before scaling.</w:t>
      </w:r>
    </w:p>
    <w:p>
      <w:pPr>
        <w:spacing w:before="80" w:after="80"/>
      </w:pPr>
      <w:r>
        <w:rPr>
          <w:b/>
          <w:color w:val="2B6CB0"/>
        </w:rPr>
        <w:t xml:space="preserve">🎯 Step 4 — Strategic Purpose &amp; Problem Solved: </w:t>
      </w:r>
      <w:r>
        <w:rPr>
          <w:rFonts w:ascii="Calibri" w:hAnsi="Calibri"/>
          <w:sz w:val="21"/>
        </w:rPr>
        <w:t>Forcing the founder to transition from an academic experiment to an enterprise-grade operational standard.</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Translation Gap: </w:t>
      </w:r>
      <w:r>
        <w:rPr>
          <w:rFonts w:ascii="Calibri" w:hAnsi="Calibri"/>
          <w:sz w:val="20"/>
        </w:rPr>
        <w:t>The gap between an academic experiment (CIRE-001) and a commercial operational product.</w:t>
      </w:r>
    </w:p>
    <w:p>
      <w:pPr>
        <w:spacing w:before="20" w:after="40"/>
        <w:ind w:left="288"/>
      </w:pPr>
      <w:r>
        <w:rPr>
          <w:rFonts w:ascii="Calibri" w:hAnsi="Calibri"/>
          <w:b/>
          <w:sz w:val="20"/>
        </w:rPr>
        <w:t xml:space="preserve">• Integration Hurdle: </w:t>
      </w:r>
      <w:r>
        <w:rPr>
          <w:rFonts w:ascii="Calibri" w:hAnsi="Calibri"/>
          <w:sz w:val="20"/>
        </w:rPr>
        <w:t>Transitioning from manual PDF uploads to API integration within a bank's Loan Origination System (LOS).</w:t>
      </w:r>
    </w:p>
    <w:p>
      <w:pPr>
        <w:spacing w:before="20" w:after="40"/>
        <w:ind w:left="288"/>
      </w:pPr>
      <w:r>
        <w:rPr>
          <w:rFonts w:ascii="Calibri" w:hAnsi="Calibri"/>
          <w:b/>
          <w:sz w:val="20"/>
        </w:rPr>
        <w:t xml:space="preserve">• Proof Burden: </w:t>
      </w:r>
      <w:r>
        <w:rPr>
          <w:rFonts w:ascii="Calibri" w:hAnsi="Calibri"/>
          <w:sz w:val="20"/>
        </w:rPr>
        <w:t>Proving 100% deterministic data fidelity, as 99.9% accuracy is unacceptable in financial compliance.</w:t>
      </w:r>
    </w:p>
    <w:p>
      <w:pPr>
        <w:spacing w:before="120" w:after="40"/>
      </w:pPr>
      <w:r>
        <w:rPr>
          <w:b/>
          <w:color w:val="2B6CB0"/>
          <w:sz w:val="22"/>
        </w:rPr>
        <w:t>🏗️ Step 6 — Detailed Structure &amp; System Components:</w:t>
      </w:r>
    </w:p>
    <w:p>
      <w:pPr>
        <w:spacing w:before="20" w:after="40"/>
        <w:ind w:left="288"/>
      </w:pPr>
      <w:r>
        <w:rPr>
          <w:rFonts w:ascii="Calibri" w:hAnsi="Calibri"/>
          <w:sz w:val="20"/>
        </w:rPr>
        <w:t>▪ Hard Truth 1 — The Translation Gap: The intellectual foundation is brilliant but currently packaged as an academic experiment (CIRE-001). Market buys operational tools.</w:t>
      </w:r>
    </w:p>
    <w:p>
      <w:pPr>
        <w:spacing w:before="20" w:after="40"/>
        <w:ind w:left="288"/>
      </w:pPr>
      <w:r>
        <w:rPr>
          <w:rFonts w:ascii="Calibri" w:hAnsi="Calibri"/>
          <w:sz w:val="20"/>
        </w:rPr>
        <w:t>▪ Hard Truth 2 — The Integration Hurdle: Manual PDF upload/download causes workflow friction; Python engine must eventually become an API integrated into Loan Origination Systems (LOS).</w:t>
      </w:r>
    </w:p>
    <w:p>
      <w:pPr>
        <w:spacing w:before="20" w:after="40"/>
        <w:ind w:left="288"/>
      </w:pPr>
      <w:r>
        <w:rPr>
          <w:rFonts w:ascii="Calibri" w:hAnsi="Calibri"/>
          <w:sz w:val="20"/>
        </w:rPr>
        <w:t>▪ Hard Truth 3 — The Proof Burden: Provider must prove 100% deterministic fidelity without altering a single digit. 99.9% accuracy is unacceptable in financial compliance.</w:t>
      </w:r>
    </w:p>
    <w:p>
      <w:pPr>
        <w:spacing w:before="80" w:after="80"/>
      </w:pPr>
      <w:r>
        <w:rPr>
          <w:b/>
          <w:color w:val="2B6CB0"/>
        </w:rPr>
        <w:t xml:space="preserve">🔗 Step 7 — Relationships &amp; Systemic Connections: </w:t>
      </w:r>
      <w:r>
        <w:rPr>
          <w:rFonts w:ascii="Calibri" w:hAnsi="Calibri"/>
          <w:sz w:val="21"/>
        </w:rPr>
        <w:t>Directly informs software roadmap and enterprise pilot integration (Part 12).</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Package CIRF as a commercial tool, build API integration for bank LOS systems, and guarantee 100% auditable data fidelity.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29 — Hard Truths</w:t>
              <w:br/>
              <w:t>If an external entity were evaluating this business for investment, the following concerns would be raised and must be addressed (Type: C - Expert Inference):</w:t>
              <w:br/>
              <w:t>The Translation Gap: The intellectual foundation is brilliant, but it is currently packaged as an academic experiment (CIRE-001). The market does not buy experiments; it buys proven operational tools.</w:t>
              <w:br/>
              <w:t>The Integration Hurdle: A deterministic Python script is useful, but how does it integrate into a bank's existing Loan Origination System (LOS)? If it requires employees to manually upload and download PDFs, adoption will fail due to workflow friction. The script must eventually become an API integrated directly into their existing pipeline.</w:t>
              <w:br/>
              <w:t>The Proof Burden: Before charging enterprise fees, the founder must definitively prove that the transformation engine does not accidentally delete, alter, or misrepresent a single digit of financial data. A 99.9% accuracy rate is unacceptable in financial compliance; it must be 100% deterministic and auditable.</w:t>
            </w:r>
          </w:p>
        </w:tc>
      </w:tr>
    </w:tbl>
    <w:p>
      <w:pPr>
        <w:spacing w:after="80"/>
      </w:pPr>
    </w:p>
    <w:p>
      <w:pPr>
        <w:spacing w:before="320" w:after="120"/>
      </w:pPr>
      <w:r>
        <w:rPr>
          <w:rFonts w:ascii="Calibri" w:hAnsi="Calibri"/>
          <w:b/>
          <w:color w:val="1A365D"/>
          <w:sz w:val="32"/>
        </w:rPr>
        <w:t>PART 30 — Commercial Readiness Score</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top w:val="none"/>
              <w:left w:sz="24" w:val="single" w:color="3182CE"/>
              <w:bottom w:val="none"/>
              <w:right w:val="none"/>
            </w:tcBorders>
          </w:tcPr>
          <w:p>
            <w:pPr>
              <w:spacing w:before="40" w:after="80"/>
            </w:pPr>
            <w:r>
              <w:rPr>
                <w:rFonts w:ascii="Calibri" w:hAnsi="Calibri"/>
                <w:b/>
                <w:color w:val="003366"/>
                <w:sz w:val="22"/>
              </w:rPr>
              <w:t>💡 STEP 1 &amp; 2: FAMILIAR MENTAL MODEL &amp; REAL-LIFE SCENARIO</w:t>
            </w:r>
          </w:p>
          <w:p>
            <w:pPr>
              <w:spacing w:before="40" w:after="80"/>
            </w:pPr>
            <w:r>
              <w:rPr>
                <w:rFonts w:ascii="Calibri" w:hAnsi="Calibri"/>
                <w:color w:val="282828"/>
                <w:sz w:val="20"/>
              </w:rPr>
              <w:t>Familiar Everyday Idea: A vehicle safety inspection report scores 6 key systems (Engine, Brakes, Tires, Steering, Lights, Exhaust) from 0 to 10 to determine if the car is road-worthy.</w:t>
            </w:r>
          </w:p>
          <w:p>
            <w:pPr>
              <w:spacing w:before="40" w:after="80"/>
            </w:pPr>
            <w:r>
              <w:rPr>
                <w:rFonts w:ascii="Calibri" w:hAnsi="Calibri"/>
                <w:color w:val="282828"/>
                <w:sz w:val="20"/>
              </w:rPr>
              <w:t>Real-World Business Scenario: Your Intellectual Foundation scores a 9/10, but your Legal/Data Readiness scores 2/10 and Enterprise Pricing scores 3/10. You must upgrade legal contracts and pricing before pitching Tier-1 banks.</w:t>
            </w:r>
          </w:p>
        </w:tc>
      </w:tr>
    </w:tbl>
    <w:p>
      <w:pPr>
        <w:spacing w:after="80"/>
      </w:pPr>
    </w:p>
    <w:p>
      <w:pPr>
        <w:spacing w:before="80" w:after="80"/>
      </w:pPr>
      <w:r>
        <w:rPr>
          <w:b/>
          <w:color w:val="2B6CB0"/>
        </w:rPr>
        <w:t xml:space="preserve">⚙️ Step 3 — Mechanism &amp; Operational Inner Workings: </w:t>
      </w:r>
      <w:r>
        <w:rPr>
          <w:rFonts w:ascii="Calibri" w:hAnsi="Calibri"/>
          <w:sz w:val="21"/>
        </w:rPr>
        <w:t>A multidimensional evaluation scorecard assesses current business capability across 6 dimensions to guide immediate remediation priorities.</w:t>
      </w:r>
    </w:p>
    <w:p>
      <w:pPr>
        <w:spacing w:before="80" w:after="80"/>
      </w:pPr>
      <w:r>
        <w:rPr>
          <w:b/>
          <w:color w:val="2B6CB0"/>
        </w:rPr>
        <w:t xml:space="preserve">🎯 Step 4 — Strategic Purpose &amp; Problem Solved: </w:t>
      </w:r>
      <w:r>
        <w:rPr>
          <w:rFonts w:ascii="Calibri" w:hAnsi="Calibri"/>
          <w:sz w:val="21"/>
        </w:rPr>
        <w:t>Providing an objective commercial posture roadmap for the founder.</w:t>
      </w:r>
    </w:p>
    <w:p>
      <w:pPr>
        <w:spacing w:before="120" w:after="40"/>
      </w:pPr>
      <w:r>
        <w:rPr>
          <w:b/>
          <w:color w:val="2B6CB0"/>
          <w:sz w:val="22"/>
        </w:rPr>
        <w:t>📖 Step 5 — Technical Terminology &amp; Formal Lexicon:</w:t>
      </w:r>
    </w:p>
    <w:p>
      <w:pPr>
        <w:spacing w:before="20" w:after="40"/>
        <w:ind w:left="288"/>
      </w:pPr>
      <w:r>
        <w:rPr>
          <w:rFonts w:ascii="Calibri" w:hAnsi="Calibri"/>
          <w:b/>
          <w:sz w:val="20"/>
        </w:rPr>
        <w:t xml:space="preserve">• Commercial Posture Assessment: </w:t>
      </w:r>
      <w:r>
        <w:rPr>
          <w:rFonts w:ascii="Calibri" w:hAnsi="Calibri"/>
          <w:sz w:val="20"/>
        </w:rPr>
        <w:t>Quantitative scoring of business readiness across key enterprise operational metrics.</w:t>
      </w:r>
    </w:p>
    <w:p>
      <w:pPr>
        <w:spacing w:before="120" w:after="40"/>
      </w:pPr>
      <w:r>
        <w:rPr>
          <w:b/>
          <w:color w:val="2B6CB0"/>
          <w:sz w:val="22"/>
        </w:rPr>
        <w:t>🏗️ Step 6 — Detailed Structure &amp; System Components:</w:t>
      </w:r>
    </w:p>
    <w:p>
      <w:pPr>
        <w:spacing w:before="20" w:after="40"/>
        <w:ind w:left="288"/>
      </w:pPr>
      <w:r>
        <w:rPr>
          <w:rFonts w:ascii="Calibri" w:hAnsi="Calibri"/>
          <w:sz w:val="20"/>
        </w:rPr>
        <w:t>▪ Dimension Scores (Table 4):</w:t>
      </w:r>
    </w:p>
    <w:p>
      <w:pPr>
        <w:spacing w:before="20" w:after="40"/>
        <w:ind w:left="288"/>
      </w:pPr>
      <w:r>
        <w:rPr>
          <w:rFonts w:ascii="Calibri" w:hAnsi="Calibri"/>
          <w:sz w:val="20"/>
        </w:rPr>
        <w:t>▪ 1. Intellectual Foundation: 9/10 — Framework is robust, well-researched, supported by cognitive science.</w:t>
      </w:r>
    </w:p>
    <w:p>
      <w:pPr>
        <w:spacing w:before="20" w:after="40"/>
        <w:ind w:left="288"/>
      </w:pPr>
      <w:r>
        <w:rPr>
          <w:rFonts w:ascii="Calibri" w:hAnsi="Calibri"/>
          <w:sz w:val="20"/>
        </w:rPr>
        <w:t>▪ 2. Service Clarity: 7/10 — Free/Paid separation is clear, but terminology must shift away from academic acronyms.</w:t>
      </w:r>
    </w:p>
    <w:p>
      <w:pPr>
        <w:spacing w:before="20" w:after="40"/>
        <w:ind w:left="288"/>
      </w:pPr>
      <w:r>
        <w:rPr>
          <w:rFonts w:ascii="Calibri" w:hAnsi="Calibri"/>
          <w:sz w:val="20"/>
        </w:rPr>
        <w:t>▪ 3. Value Proposition: 4/10 — Currently focused on reading, not financial P&amp;L. Must pivot to workflow velocity and risk mitigation.</w:t>
      </w:r>
    </w:p>
    <w:p>
      <w:pPr>
        <w:spacing w:before="20" w:after="40"/>
        <w:ind w:left="288"/>
      </w:pPr>
      <w:r>
        <w:rPr>
          <w:rFonts w:ascii="Calibri" w:hAnsi="Calibri"/>
          <w:sz w:val="20"/>
        </w:rPr>
        <w:t>▪ 4. Legal/Data Readiness: 2/10 — Needs immediate preparation for DPDP Act DPAs and RBI vendor compliance.</w:t>
      </w:r>
    </w:p>
    <w:p>
      <w:pPr>
        <w:spacing w:before="20" w:after="40"/>
        <w:ind w:left="288"/>
      </w:pPr>
      <w:r>
        <w:rPr>
          <w:rFonts w:ascii="Calibri" w:hAnsi="Calibri"/>
          <w:sz w:val="20"/>
        </w:rPr>
        <w:t>▪ 5. Enterprise Pricing: 3/10 — Needs transition to value-based project fees mapped against Indian consulting benchmarks.</w:t>
      </w:r>
    </w:p>
    <w:p>
      <w:pPr>
        <w:spacing w:before="20" w:after="40"/>
        <w:ind w:left="288"/>
      </w:pPr>
      <w:r>
        <w:rPr>
          <w:rFonts w:ascii="Calibri" w:hAnsi="Calibri"/>
          <w:sz w:val="20"/>
        </w:rPr>
        <w:t>▪ 6. First-Client Readiness: 5/10 — Ready to approach small NBFCs, but completely unready for Tier-1 bank procurement hurdles.</w:t>
      </w:r>
    </w:p>
    <w:p>
      <w:pPr>
        <w:spacing w:before="20" w:after="40"/>
        <w:ind w:left="288"/>
      </w:pPr>
      <w:r>
        <w:rPr>
          <w:rFonts w:ascii="Calibri" w:hAnsi="Calibri"/>
          <w:sz w:val="20"/>
        </w:rPr>
        <w:t>▪ Executive Summary Conclusion: The transition from methodology creator to commercial founder requires relentless focus on client operational realities. Intellectual integrity is secure; the task now is to package it so financial executives recognize it as an indispensable operational standard.</w:t>
      </w:r>
    </w:p>
    <w:p>
      <w:pPr>
        <w:spacing w:before="80" w:after="80"/>
      </w:pPr>
      <w:r>
        <w:rPr>
          <w:b/>
          <w:color w:val="2B6CB0"/>
        </w:rPr>
        <w:t xml:space="preserve">🔗 Step 7 — Relationships &amp; Systemic Connections: </w:t>
      </w:r>
      <w:r>
        <w:rPr>
          <w:rFonts w:ascii="Calibri" w:hAnsi="Calibri"/>
          <w:sz w:val="21"/>
        </w:rPr>
        <w:t>Summarizes the overall readiness status across all 30 parts of the strategic report.</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200" w:type="dxa"/>
            </w:tcMar>
            <w:tcBorders>
              <w:top w:val="none"/>
              <w:left w:sz="24" w:val="single" w:color="38A169"/>
              <w:bottom w:val="none"/>
              <w:right w:val="none"/>
            </w:tcBorders>
          </w:tcPr>
          <w:p>
            <w:pPr>
              <w:spacing w:before="40" w:after="80"/>
            </w:pPr>
            <w:r>
              <w:rPr>
                <w:rFonts w:ascii="Calibri" w:hAnsi="Calibri"/>
                <w:b/>
                <w:color w:val="1C4532"/>
                <w:sz w:val="22"/>
              </w:rPr>
              <w:t>📌 STEP 8: PRACTICAL MEANING &amp; REAL-WORLD B2B APPLICATION</w:t>
            </w:r>
          </w:p>
          <w:p>
            <w:pPr>
              <w:spacing w:before="40" w:after="80"/>
            </w:pPr>
            <w:r>
              <w:rPr>
                <w:rFonts w:ascii="Calibri" w:hAnsi="Calibri"/>
                <w:color w:val="282828"/>
                <w:sz w:val="20"/>
              </w:rPr>
              <w:t>Focus immediate efforts on upgrading Legal/Data Readiness (2/10) and Enterprise Pricing (3/10) to become enterprise-ready.</w:t>
            </w:r>
          </w:p>
        </w:tc>
      </w:tr>
    </w:tbl>
    <w:p>
      <w:pPr>
        <w:spacing w:after="80"/>
      </w:pPr>
    </w:p>
    <w:tbl>
      <w:tblPr>
        <w:tblW w:type="auto" w:w="0"/>
        <w:jc w:val="center"/>
        <w:tblLayout w:type="fixed"/>
        <w:tblLook w:firstColumn="1" w:firstRow="1" w:lastColumn="0" w:lastRow="0" w:noHBand="0" w:noVBand="1" w:val="04A0"/>
      </w:tblPr>
      <w:tblGrid>
        <w:gridCol w:w="3312"/>
        <w:gridCol w:w="3312"/>
        <w:gridCol w:w="3312"/>
      </w:tblGrid>
      <w:tr>
        <w:tc>
          <w:tcPr>
            <w:tcW w:type="dxa" w:w="3312"/>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Dimension</w:t>
            </w:r>
          </w:p>
        </w:tc>
        <w:tc>
          <w:tcPr>
            <w:tcW w:type="dxa" w:w="3312"/>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Score (0-10)</w:t>
            </w:r>
          </w:p>
        </w:tc>
        <w:tc>
          <w:tcPr>
            <w:tcW w:type="dxa" w:w="3312"/>
            <w:shd w:fill="1A365D"/>
            <w:tcMar>
              <w:top w:w="140" w:type="dxa"/>
              <w:bottom w:w="140" w:type="dxa"/>
              <w:left w:w="140" w:type="dxa"/>
              <w:right w:w="140" w:type="dxa"/>
            </w:tcMar>
            <w:tcBorders>
              <w:top w:val="none"/>
              <w:left w:val="none"/>
              <w:bottom w:sz="12" w:val="single" w:color="000000"/>
              <w:right w:val="none"/>
            </w:tcBorders>
          </w:tcPr>
          <w:p>
            <w:pPr>
              <w:jc w:val="left"/>
            </w:pPr>
            <w:r>
              <w:rPr>
                <w:rFonts w:ascii="Calibri" w:hAnsi="Calibri"/>
                <w:b/>
                <w:color w:val="FFFFFF"/>
                <w:sz w:val="20"/>
              </w:rPr>
              <w:t>Explanation &amp; Next Steps</w:t>
            </w:r>
          </w:p>
        </w:tc>
      </w:tr>
      <w:tr>
        <w:tc>
          <w:tcPr>
            <w:tcW w:type="dxa" w:w="3312"/>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Intellectual Foundation</w:t>
            </w:r>
          </w:p>
        </w:tc>
        <w:tc>
          <w:tcPr>
            <w:tcW w:type="dxa" w:w="3312"/>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9</w:t>
            </w:r>
          </w:p>
        </w:tc>
        <w:tc>
          <w:tcPr>
            <w:tcW w:type="dxa" w:w="3312"/>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Framework is robust and well-researched, supported by cognitive science.</w:t>
            </w:r>
          </w:p>
        </w:tc>
      </w:tr>
      <w:tr>
        <w:tc>
          <w:tcPr>
            <w:tcW w:type="dxa" w:w="3312"/>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Service Clarity</w:t>
            </w:r>
          </w:p>
        </w:tc>
        <w:tc>
          <w:tcPr>
            <w:tcW w:type="dxa" w:w="3312"/>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7</w:t>
            </w:r>
          </w:p>
        </w:tc>
        <w:tc>
          <w:tcPr>
            <w:tcW w:type="dxa" w:w="3312"/>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Separation of Free/Paid is clear, but terminology needs to shift away from academic acronyms.</w:t>
            </w:r>
          </w:p>
        </w:tc>
      </w:tr>
      <w:tr>
        <w:tc>
          <w:tcPr>
            <w:tcW w:type="dxa" w:w="3312"/>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Value Proposition</w:t>
            </w:r>
          </w:p>
        </w:tc>
        <w:tc>
          <w:tcPr>
            <w:tcW w:type="dxa" w:w="3312"/>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4</w:t>
            </w:r>
          </w:p>
        </w:tc>
        <w:tc>
          <w:tcPr>
            <w:tcW w:type="dxa" w:w="3312"/>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Currently focused on reading, not corporate financials. Must pivot to workflow velocity and risk mitigation.</w:t>
            </w:r>
          </w:p>
        </w:tc>
      </w:tr>
      <w:tr>
        <w:tc>
          <w:tcPr>
            <w:tcW w:type="dxa" w:w="3312"/>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Legal/Data Readiness</w:t>
            </w:r>
          </w:p>
        </w:tc>
        <w:tc>
          <w:tcPr>
            <w:tcW w:type="dxa" w:w="3312"/>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2</w:t>
            </w:r>
          </w:p>
        </w:tc>
        <w:tc>
          <w:tcPr>
            <w:tcW w:type="dxa" w:w="3312"/>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Needs immediate preparation for DPDP Act DPAs and RBI vendor compliance.</w:t>
            </w:r>
          </w:p>
        </w:tc>
      </w:tr>
      <w:tr>
        <w:tc>
          <w:tcPr>
            <w:tcW w:type="dxa" w:w="3312"/>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Enterprise Pricing</w:t>
            </w:r>
          </w:p>
        </w:tc>
        <w:tc>
          <w:tcPr>
            <w:tcW w:type="dxa" w:w="3312"/>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3</w:t>
            </w:r>
          </w:p>
        </w:tc>
        <w:tc>
          <w:tcPr>
            <w:tcW w:type="dxa" w:w="3312"/>
            <w:shd w:fill="FFFFFF"/>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Needs transition to value-based project fees mapped against Indian consulting benchmarks.</w:t>
            </w:r>
          </w:p>
        </w:tc>
      </w:tr>
      <w:tr>
        <w:tc>
          <w:tcPr>
            <w:tcW w:type="dxa" w:w="3312"/>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First-Client Readiness</w:t>
            </w:r>
          </w:p>
        </w:tc>
        <w:tc>
          <w:tcPr>
            <w:tcW w:type="dxa" w:w="3312"/>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5</w:t>
            </w:r>
          </w:p>
        </w:tc>
        <w:tc>
          <w:tcPr>
            <w:tcW w:type="dxa" w:w="3312"/>
            <w:shd w:fill="F7FAFC"/>
            <w:tcMar>
              <w:top w:w="100" w:type="dxa"/>
              <w:bottom w:w="100" w:type="dxa"/>
              <w:left w:w="120" w:type="dxa"/>
              <w:right w:w="120" w:type="dxa"/>
            </w:tcMar>
            <w:tcBorders>
              <w:top w:val="none"/>
              <w:left w:val="none"/>
              <w:bottom w:sz="4" w:val="single" w:color="E2E8F0"/>
              <w:right w:val="none"/>
            </w:tcBorders>
          </w:tcPr>
          <w:p>
            <w:r>
              <w:rPr>
                <w:rFonts w:ascii="Calibri" w:hAnsi="Calibri"/>
                <w:color w:val="282828"/>
                <w:sz w:val="19"/>
              </w:rPr>
              <w:t>Ready to approach small NBFCs, but completely unready for Tier-1 bank procurement hurdles.</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sz="24" w:val="single" w:color="4A5568"/>
              <w:bottom w:val="none"/>
              <w:right w:val="none"/>
            </w:tcBorders>
          </w:tcPr>
          <w:p>
            <w:pPr>
              <w:spacing w:before="40" w:after="80"/>
            </w:pPr>
            <w:r>
              <w:rPr>
                <w:rFonts w:ascii="Calibri" w:hAnsi="Calibri"/>
                <w:b/>
                <w:color w:val="1A202C"/>
                <w:sz w:val="22"/>
              </w:rPr>
              <w:t>📄 STEP 9: SOURCE-LEVEL DETAIL &amp; EXACT UNFILTERED ORIGINAL MATERIAL</w:t>
            </w:r>
          </w:p>
          <w:p>
            <w:pPr>
              <w:spacing w:before="40" w:after="80"/>
            </w:pPr>
            <w:r>
              <w:rPr>
                <w:rFonts w:ascii="Calibri" w:hAnsi="Calibri"/>
                <w:color w:val="282828"/>
                <w:sz w:val="20"/>
              </w:rPr>
              <w:t>PART 30 — Commercial Readiness Score</w:t>
              <w:br/>
              <w:t>An objective evaluation of the current commercial posture (Type: C - Expert Inference):</w:t>
              <w:br/>
              <w:br/>
              <w:t>Table 4 — Commercial Readiness Scorecard</w:t>
              <w:br/>
              <w:t>Dimension | Score (0-10) | Explanation &amp; Next Steps</w:t>
              <w:br/>
              <w:t>Intellectual Foundation | 9 | Framework is robust and well-researched, supported by cognitive science.</w:t>
              <w:br/>
              <w:t>Service Clarity | 7 | Separation of Free/Paid is clear, but terminology needs to shift away from academic acronyms.</w:t>
              <w:br/>
              <w:t>Value Proposition | 4 | Currently focused on reading, not corporate financials. Must pivot to workflow velocity and risk mitigation.</w:t>
              <w:br/>
              <w:t>Legal/Data Readiness | 2 | Needs immediate preparation for DPDP Act DPAs and RBI vendor compliance.</w:t>
              <w:br/>
              <w:t>Enterprise Pricing | 3 | Needs transition to value-based project fees mapped against Indian consulting benchmarks.</w:t>
              <w:br/>
              <w:t>First-Client Readiness | 5 | Ready to approach small NBFCs, but completely unready for Tier-1 bank procurement hurdles.</w:t>
              <w:br/>
              <w:br/>
              <w:t>The transition from methodology creator to commercial founder requires relentless focus on the client's operational realities. The intellectual integrity of the Haldankar Method is secure; the task now is to package it so that a financial executive immediately recognizes it not as an interesting psychological theory, but as an indispensable operational standard.</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