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报销管理制度</w:t>
      </w:r>
    </w:p>
    <w:p>
      <w:pPr>
        <w:pStyle w:val="Heading2"/>
      </w:pPr>
      <w:r>
        <w:t>适用范围</w:t>
      </w:r>
    </w:p>
    <w:p>
      <w:r>
        <w:t>本制度适用于公司全体正式员工和实习生因公发生的费用报销，包括差旅费、业务招待费、办公采购费、培训费等。报销应真实、合规、及时。</w:t>
      </w:r>
    </w:p>
    <w:p>
      <w:pPr>
        <w:pStyle w:val="Heading2"/>
      </w:pPr>
      <w:r>
        <w:t>报销流程</w:t>
      </w:r>
    </w:p>
    <w:p>
      <w:r>
        <w:t>1. 员工在费控系统提交报销单并上传发票和证明材料；2. 直属上级审批；3. 财务审核发票与金额；4. 统一打款。</w:t>
      </w:r>
    </w:p>
    <w:p>
      <w:r>
        <w:t>财务打款日为每月 10 日和 25 日，遇节假日顺延至下一工作日。紧急报销可申请加急，审批通过后 1 个工作日内打款。</w:t>
      </w:r>
    </w:p>
    <w:p>
      <w:pPr>
        <w:pStyle w:val="Heading2"/>
      </w:pPr>
      <w:r>
        <w:t>发票要求</w:t>
      </w:r>
    </w:p>
    <w:p>
      <w:r>
        <w:t>发票需为公司抬头的增值税发票，包含公司全称和纳税人识别号。电子发票需在税务局平台查验真伪，同一张发票禁止重复报销。发票日期应与业务发生日期一致，跨月费用需附情况说明。</w:t>
      </w:r>
    </w:p>
    <w:p>
      <w:pPr>
        <w:pStyle w:val="Heading2"/>
      </w:pPr>
      <w:r>
        <w:t>差旅标准</w:t>
      </w:r>
    </w:p>
    <w:p>
      <w:r>
        <w:t>交通：高铁限二等座，飞机限经济舱。住宿：一线城市每晚不超过 500 元，其他城市每晚不超过 350 元，超出部分自理。市内交通实报实销，单日上限 100 元。餐费补贴每天 80 元，按出差天数计算，不再单独报销餐费。</w:t>
      </w:r>
    </w:p>
    <w:p>
      <w:pPr>
        <w:pStyle w:val="Heading2"/>
      </w:pPr>
      <w:r>
        <w:t>借款规定</w:t>
      </w:r>
    </w:p>
    <w:p>
      <w:r>
        <w:t>出差前可申请备用金借款，单次上限 5000 元。出差返回后 7 个工作日内完成借款冲销，未及时冲销将暂停后续借款申请。</w:t>
      </w:r>
    </w:p>
    <w:p>
      <w:pPr>
        <w:pStyle w:val="Heading2"/>
      </w:pPr>
      <w:r>
        <w:t>报销时限</w:t>
      </w:r>
    </w:p>
    <w:p>
      <w:r>
        <w:t>费用发生后 30 天内提交报销单。跨月或跨年报销需在系统中说明原因，无合理原因的延迟报销财务有权退回。</w:t>
      </w:r>
    </w:p>
    <w:p>
      <w:pPr>
        <w:pStyle w:val="Heading2"/>
      </w:pPr>
      <w:r>
        <w:t>违规处理</w:t>
      </w:r>
    </w:p>
    <w:p>
      <w:r>
        <w:t>虚报、伪造、重复报销属于严重违纪行为，一经查实按公司规定处理，情节严重的解除劳动合同并保留追究法律责任的权利。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费用类型</w:t>
            </w:r>
          </w:p>
        </w:tc>
        <w:tc>
          <w:tcPr>
            <w:tcW w:type="dxa" w:w="2880"/>
          </w:tcPr>
          <w:p>
            <w:r>
              <w:t>标准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高铁</w:t>
            </w:r>
          </w:p>
        </w:tc>
        <w:tc>
          <w:tcPr>
            <w:tcW w:type="dxa" w:w="2880"/>
          </w:tcPr>
          <w:p>
            <w:r>
              <w:t>二等座</w:t>
            </w:r>
          </w:p>
        </w:tc>
        <w:tc>
          <w:tcPr>
            <w:tcW w:type="dxa" w:w="2880"/>
          </w:tcPr>
          <w:p>
            <w:r>
              <w:t>商务座需提前审批</w:t>
            </w:r>
          </w:p>
        </w:tc>
      </w:tr>
      <w:tr>
        <w:tc>
          <w:tcPr>
            <w:tcW w:type="dxa" w:w="2880"/>
          </w:tcPr>
          <w:p>
            <w:r>
              <w:t>住宿</w:t>
            </w:r>
          </w:p>
        </w:tc>
        <w:tc>
          <w:tcPr>
            <w:tcW w:type="dxa" w:w="2880"/>
          </w:tcPr>
          <w:p>
            <w:r>
              <w:t>500/350 元</w:t>
            </w:r>
          </w:p>
        </w:tc>
        <w:tc>
          <w:tcPr>
            <w:tcW w:type="dxa" w:w="2880"/>
          </w:tcPr>
          <w:p>
            <w:r>
              <w:t>按城市分类执行</w:t>
            </w:r>
          </w:p>
        </w:tc>
      </w:tr>
      <w:tr>
        <w:tc>
          <w:tcPr>
            <w:tcW w:type="dxa" w:w="2880"/>
          </w:tcPr>
          <w:p>
            <w:r>
              <w:t>餐补</w:t>
            </w:r>
          </w:p>
        </w:tc>
        <w:tc>
          <w:tcPr>
            <w:tcW w:type="dxa" w:w="2880"/>
          </w:tcPr>
          <w:p>
            <w:r>
              <w:t>80 元/天</w:t>
            </w:r>
          </w:p>
        </w:tc>
        <w:tc>
          <w:tcPr>
            <w:tcW w:type="dxa" w:w="2880"/>
          </w:tcPr>
          <w:p>
            <w:r>
              <w:t>按出差天数计算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