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color w:val="1A1A1A"/>
          <w:sz w:val="34"/>
          <w:szCs w:val="34"/>
        </w:rPr>
        <w:t xml:space="preserve">Privacy Policy</w:t>
      </w:r>
    </w:p>
    <w:p>
      <w:pPr>
        <w:spacing w:after="80" w:before="60"/>
        <w:jc w:val="left"/>
      </w:pPr>
      <w:r>
        <w:rPr>
          <w:rFonts w:ascii="Arial" w:cs="Arial" w:eastAsia="Arial" w:hAnsi="Arial"/>
          <w:b/>
          <w:bCs/>
          <w:color w:val="1A1A1A"/>
          <w:sz w:val="22"/>
          <w:szCs w:val="22"/>
        </w:rPr>
        <w:t xml:space="preserve">Talent Graph — Verve Vigor Limited</w:t>
      </w:r>
    </w:p>
    <w:p>
      <w:pPr>
        <w:spacing w:after="80" w:before="60"/>
        <w:jc w:val="left"/>
      </w:pPr>
      <w:r>
        <w:rPr>
          <w:rFonts w:ascii="Arial" w:cs="Arial" w:eastAsia="Arial" w:hAnsi="Arial"/>
          <w:i/>
          <w:iCs/>
          <w:color w:val="888888"/>
          <w:sz w:val="22"/>
          <w:szCs w:val="22"/>
        </w:rPr>
        <w:t xml:space="preserve">Effective Date: June 1, 2026  ·  Last Updated: June 1, 2026</w:t>
      </w:r>
    </w:p>
    <w:p>
      <w:pPr>
        <w:pBdr>
          <w:bottom w:val="single" w:color="CCCCCC" w:sz="4" w:space="1"/>
        </w:pBdr>
        <w:spacing w:after="200" w:before="200"/>
      </w:pPr>
    </w:p>
    <w:p>
      <w:pPr>
        <w:pBdr>
          <w:top w:val="single" w:color="CCCCCC" w:sz="1"/>
          <w:bottom w:val="single" w:color="CCCCCC" w:sz="1"/>
          <w:left w:val="single" w:color="C8960C" w:sz="14" w:space="8"/>
          <w:right w:val="single" w:color="CCCCCC" w:sz="1"/>
        </w:pBdr>
        <w:shd w:fill="FFF8E6" w:val="clear"/>
        <w:spacing w:after="120" w:before="120"/>
        <w:ind w:left="240" w:right="240"/>
      </w:pPr>
      <w:r>
        <w:rPr>
          <w:rFonts w:ascii="Arial" w:cs="Arial" w:eastAsia="Arial" w:hAnsi="Arial"/>
          <w:color w:val="333333"/>
          <w:sz w:val="22"/>
          <w:szCs w:val="22"/>
        </w:rPr>
        <w:t xml:space="preserve">This Privacy Policy explains how Verve Vigor Limited collects, uses, stores, and shares your personal data when you use the Talent Graph platform. By using the Platform, you confirm that you have read and understood this Policy. Your continued use constitutes acceptance.</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  Who We Are</w:t>
      </w:r>
    </w:p>
    <w:p>
      <w:pPr>
        <w:spacing w:after="80" w:before="60"/>
        <w:jc w:val="left"/>
      </w:pPr>
      <w:r>
        <w:rPr>
          <w:rFonts w:ascii="Arial" w:cs="Arial" w:eastAsia="Arial" w:hAnsi="Arial"/>
          <w:b/>
          <w:bCs/>
          <w:color w:val="333333"/>
          <w:sz w:val="22"/>
          <w:szCs w:val="22"/>
        </w:rPr>
        <w:t xml:space="preserve">Legal Entity:</w:t>
      </w:r>
    </w:p>
    <w:p>
      <w:pPr>
        <w:spacing w:after="80" w:before="60"/>
        <w:jc w:val="left"/>
      </w:pPr>
      <w:r>
        <w:rPr>
          <w:rFonts w:ascii="Arial" w:cs="Arial" w:eastAsia="Arial" w:hAnsi="Arial"/>
          <w:color w:val="333333"/>
          <w:sz w:val="22"/>
          <w:szCs w:val="22"/>
        </w:rPr>
        <w:t xml:space="preserve">Verve Vigor Limited (registration pending — ODPC Registration Number: [INSERT UPON REGISTRATION])</w:t>
      </w:r>
    </w:p>
    <w:p>
      <w:pPr>
        <w:spacing w:after="80" w:before="80"/>
      </w:pPr>
      <w:r>
        <w:t xml:space="preserve"/>
      </w:r>
    </w:p>
    <w:p>
      <w:pPr>
        <w:spacing w:after="80" w:before="60"/>
        <w:jc w:val="left"/>
      </w:pPr>
      <w:r>
        <w:rPr>
          <w:rFonts w:ascii="Arial" w:cs="Arial" w:eastAsia="Arial" w:hAnsi="Arial"/>
          <w:b/>
          <w:bCs/>
          <w:color w:val="333333"/>
          <w:sz w:val="22"/>
          <w:szCs w:val="22"/>
        </w:rPr>
        <w:t xml:space="preserve">Registered Address:</w:t>
      </w:r>
    </w:p>
    <w:p>
      <w:pPr>
        <w:spacing w:after="80" w:before="60"/>
        <w:jc w:val="left"/>
      </w:pPr>
      <w:r>
        <w:rPr>
          <w:rFonts w:ascii="Arial" w:cs="Arial" w:eastAsia="Arial" w:hAnsi="Arial"/>
          <w:color w:val="333333"/>
          <w:sz w:val="22"/>
          <w:szCs w:val="22"/>
        </w:rPr>
        <w:t xml:space="preserve">JKUAT Entry Road, Juja, Kiambu, Kenya</w:t>
      </w:r>
    </w:p>
    <w:p>
      <w:pPr>
        <w:spacing w:after="80" w:before="80"/>
      </w:pPr>
      <w:r>
        <w:t xml:space="preserve"/>
      </w:r>
    </w:p>
    <w:p>
      <w:pPr>
        <w:spacing w:after="80" w:before="60"/>
        <w:jc w:val="left"/>
      </w:pPr>
      <w:r>
        <w:rPr>
          <w:rFonts w:ascii="Arial" w:cs="Arial" w:eastAsia="Arial" w:hAnsi="Arial"/>
          <w:b/>
          <w:bCs/>
          <w:color w:val="333333"/>
          <w:sz w:val="22"/>
          <w:szCs w:val="22"/>
        </w:rPr>
        <w:t xml:space="preserve">Data Protection Contact:</w:t>
      </w:r>
    </w:p>
    <w:p>
      <w:pPr>
        <w:spacing w:after="80" w:before="60"/>
        <w:jc w:val="left"/>
      </w:pPr>
      <w:r>
        <w:rPr>
          <w:rFonts w:ascii="Arial" w:cs="Arial" w:eastAsia="Arial" w:hAnsi="Arial"/>
          <w:b/>
          <w:bCs/>
          <w:color w:val="CC0000"/>
          <w:sz w:val="22"/>
          <w:szCs w:val="22"/>
        </w:rPr>
        <w:t xml:space="preserve">[INSERT BUSINESS EMAIL BEFORE PUBLISHING]</w:t>
      </w:r>
    </w:p>
    <w:p>
      <w:pPr>
        <w:spacing w:after="80" w:before="80"/>
      </w:pPr>
      <w:r>
        <w:t xml:space="preserve"/>
      </w:r>
    </w:p>
    <w:p>
      <w:pPr>
        <w:spacing w:after="80" w:before="60"/>
        <w:jc w:val="left"/>
      </w:pPr>
      <w:r>
        <w:rPr>
          <w:rFonts w:ascii="Arial" w:cs="Arial" w:eastAsia="Arial" w:hAnsi="Arial"/>
          <w:b/>
          <w:bCs/>
          <w:color w:val="333333"/>
          <w:sz w:val="22"/>
          <w:szCs w:val="22"/>
        </w:rPr>
        <w:t xml:space="preserve">Primary Jurisdiction:</w:t>
      </w:r>
    </w:p>
    <w:p>
      <w:pPr>
        <w:spacing w:after="80" w:before="60"/>
        <w:jc w:val="left"/>
      </w:pPr>
      <w:r>
        <w:rPr>
          <w:rFonts w:ascii="Arial" w:cs="Arial" w:eastAsia="Arial" w:hAnsi="Arial"/>
          <w:color w:val="333333"/>
          <w:sz w:val="22"/>
          <w:szCs w:val="22"/>
        </w:rPr>
        <w:t xml:space="preserve">Kenya. This Platform is governed primarily by the Kenya Data Protection Act 2019 (KDPA) and its regulations. Where users are located in the European Economic Area (EEA) or United Kingdom, the relevant provisions of the GDPR and UK GDPR apply in addition.</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2.  Platform Overview</w:t>
      </w:r>
    </w:p>
    <w:p>
      <w:pPr>
        <w:spacing w:after="80" w:before="60"/>
        <w:jc w:val="left"/>
      </w:pPr>
      <w:r>
        <w:rPr>
          <w:rFonts w:ascii="Arial" w:cs="Arial" w:eastAsia="Arial" w:hAnsi="Arial"/>
          <w:color w:val="333333"/>
          <w:sz w:val="22"/>
          <w:szCs w:val="22"/>
        </w:rPr>
        <w:t xml:space="preserve">Talent Graph is a private sports talent intelligence platform enabling:</w:t>
      </w:r>
    </w:p>
    <w:p>
      <w:pPr>
        <w:pStyle w:val="ListParagraph"/>
        <w:numPr>
          <w:ilvl w:val="0"/>
          <w:numId w:val="2"/>
        </w:numPr>
        <w:spacing w:after="40" w:before="40"/>
      </w:pPr>
      <w:r>
        <w:rPr>
          <w:rFonts w:ascii="Arial" w:cs="Arial" w:eastAsia="Arial" w:hAnsi="Arial"/>
          <w:color w:val="333333"/>
          <w:sz w:val="22"/>
          <w:szCs w:val="22"/>
        </w:rPr>
        <w:t xml:space="preserve">Athletes to create coach-verified performance profiles</w:t>
      </w:r>
    </w:p>
    <w:p>
      <w:pPr>
        <w:pStyle w:val="ListParagraph"/>
        <w:numPr>
          <w:ilvl w:val="0"/>
          <w:numId w:val="2"/>
        </w:numPr>
        <w:spacing w:after="40" w:before="40"/>
      </w:pPr>
      <w:r>
        <w:rPr>
          <w:rFonts w:ascii="Arial" w:cs="Arial" w:eastAsia="Arial" w:hAnsi="Arial"/>
          <w:color w:val="333333"/>
          <w:sz w:val="22"/>
          <w:szCs w:val="22"/>
        </w:rPr>
        <w:t xml:space="preserve">Scouts to evaluate athletes using verified data</w:t>
      </w:r>
    </w:p>
    <w:p>
      <w:pPr>
        <w:pStyle w:val="ListParagraph"/>
        <w:numPr>
          <w:ilvl w:val="0"/>
          <w:numId w:val="2"/>
        </w:numPr>
        <w:spacing w:after="40" w:before="40"/>
      </w:pPr>
      <w:r>
        <w:rPr>
          <w:rFonts w:ascii="Arial" w:cs="Arial" w:eastAsia="Arial" w:hAnsi="Arial"/>
          <w:color w:val="333333"/>
          <w:sz w:val="22"/>
          <w:szCs w:val="22"/>
        </w:rPr>
        <w:t xml:space="preserve">Clubs to manage athlete pipelines through affiliated scouts</w:t>
      </w:r>
    </w:p>
    <w:p>
      <w:pPr>
        <w:pStyle w:val="ListParagraph"/>
        <w:numPr>
          <w:ilvl w:val="0"/>
          <w:numId w:val="2"/>
        </w:numPr>
        <w:spacing w:after="40" w:before="40"/>
      </w:pPr>
      <w:r>
        <w:rPr>
          <w:rFonts w:ascii="Arial" w:cs="Arial" w:eastAsia="Arial" w:hAnsi="Arial"/>
          <w:color w:val="333333"/>
          <w:sz w:val="22"/>
          <w:szCs w:val="22"/>
        </w:rPr>
        <w:t xml:space="preserve">Coaches to verify and validate athlete performance data</w:t>
      </w:r>
    </w:p>
    <w:p>
      <w:pPr>
        <w:pStyle w:val="ListParagraph"/>
        <w:numPr>
          <w:ilvl w:val="0"/>
          <w:numId w:val="2"/>
        </w:numPr>
        <w:spacing w:after="40" w:before="40"/>
      </w:pPr>
      <w:r>
        <w:rPr>
          <w:rFonts w:ascii="Arial" w:cs="Arial" w:eastAsia="Arial" w:hAnsi="Arial"/>
          <w:color w:val="333333"/>
          <w:sz w:val="22"/>
          <w:szCs w:val="22"/>
        </w:rPr>
        <w:t xml:space="preserve">Authorised insurance partners to access structured risk data for insurance eligibility assessment (with separate athlete consent only)</w:t>
      </w:r>
    </w:p>
    <w:p>
      <w:pPr>
        <w:spacing w:after="80" w:before="80"/>
      </w:pPr>
      <w:r>
        <w:t xml:space="preserve"/>
      </w:r>
    </w:p>
    <w:p>
      <w:pPr>
        <w:spacing w:after="80" w:before="60"/>
        <w:jc w:val="left"/>
      </w:pPr>
      <w:r>
        <w:rPr>
          <w:rFonts w:ascii="Arial" w:cs="Arial" w:eastAsia="Arial" w:hAnsi="Arial"/>
          <w:color w:val="333333"/>
          <w:sz w:val="22"/>
          <w:szCs w:val="22"/>
        </w:rPr>
        <w:t xml:space="preserve">The Platform operates on a role-based access model. Athlete profiles are not publicly accessible. All access is controlled by user role and verified affiliation.</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3.  Personal Data We Collect</w:t>
      </w:r>
    </w:p>
    <w:p>
      <w:pPr>
        <w:pStyle w:val="Heading3"/>
        <w:spacing w:after="80" w:before="200"/>
      </w:pPr>
      <w:r>
        <w:rPr>
          <w:rFonts w:ascii="Arial" w:cs="Arial" w:eastAsia="Arial" w:hAnsi="Arial"/>
          <w:b/>
          <w:bCs/>
          <w:color w:val="333333"/>
          <w:sz w:val="22"/>
          <w:szCs w:val="22"/>
        </w:rPr>
        <w:t xml:space="preserve">3.1  Athlete Data</w:t>
      </w:r>
    </w:p>
    <w:p>
      <w:pPr>
        <w:pStyle w:val="ListParagraph"/>
        <w:numPr>
          <w:ilvl w:val="0"/>
          <w:numId w:val="2"/>
        </w:numPr>
        <w:spacing w:after="40" w:before="40"/>
      </w:pPr>
      <w:r>
        <w:rPr>
          <w:rFonts w:ascii="Arial" w:cs="Arial" w:eastAsia="Arial" w:hAnsi="Arial"/>
          <w:color w:val="333333"/>
          <w:sz w:val="22"/>
          <w:szCs w:val="22"/>
        </w:rPr>
        <w:t xml:space="preserve">Full name and date of birth</w:t>
      </w:r>
    </w:p>
    <w:p>
      <w:pPr>
        <w:pStyle w:val="ListParagraph"/>
        <w:numPr>
          <w:ilvl w:val="0"/>
          <w:numId w:val="2"/>
        </w:numPr>
        <w:spacing w:after="40" w:before="40"/>
      </w:pPr>
      <w:r>
        <w:rPr>
          <w:rFonts w:ascii="Arial" w:cs="Arial" w:eastAsia="Arial" w:hAnsi="Arial"/>
          <w:color w:val="333333"/>
          <w:sz w:val="22"/>
          <w:szCs w:val="22"/>
        </w:rPr>
        <w:t xml:space="preserve">Contact details (email address; phone number if provided)</w:t>
      </w:r>
    </w:p>
    <w:p>
      <w:pPr>
        <w:pStyle w:val="ListParagraph"/>
        <w:numPr>
          <w:ilvl w:val="0"/>
          <w:numId w:val="2"/>
        </w:numPr>
        <w:spacing w:after="40" w:before="40"/>
      </w:pPr>
      <w:r>
        <w:rPr>
          <w:rFonts w:ascii="Arial" w:cs="Arial" w:eastAsia="Arial" w:hAnsi="Arial"/>
          <w:color w:val="333333"/>
          <w:sz w:val="22"/>
          <w:szCs w:val="22"/>
        </w:rPr>
        <w:t xml:space="preserve">Sport, position, and playing level</w:t>
      </w:r>
    </w:p>
    <w:p>
      <w:pPr>
        <w:pStyle w:val="ListParagraph"/>
        <w:numPr>
          <w:ilvl w:val="0"/>
          <w:numId w:val="2"/>
        </w:numPr>
        <w:spacing w:after="40" w:before="40"/>
      </w:pPr>
      <w:r>
        <w:rPr>
          <w:rFonts w:ascii="Arial" w:cs="Arial" w:eastAsia="Arial" w:hAnsi="Arial"/>
          <w:color w:val="333333"/>
          <w:sz w:val="22"/>
          <w:szCs w:val="22"/>
        </w:rPr>
        <w:t xml:space="preserve">Performance metrics: speed, agility, endurance, strength, and related attributes</w:t>
      </w:r>
    </w:p>
    <w:p>
      <w:pPr>
        <w:pStyle w:val="ListParagraph"/>
        <w:numPr>
          <w:ilvl w:val="0"/>
          <w:numId w:val="2"/>
        </w:numPr>
        <w:spacing w:after="40" w:before="40"/>
      </w:pPr>
      <w:r>
        <w:rPr>
          <w:rFonts w:ascii="Arial" w:cs="Arial" w:eastAsia="Arial" w:hAnsi="Arial"/>
          <w:color w:val="333333"/>
          <w:sz w:val="22"/>
          <w:szCs w:val="22"/>
        </w:rPr>
        <w:t xml:space="preserve">Match data: goals, assists, minutes played, cards received, ratings, and game-level statistics</w:t>
      </w:r>
    </w:p>
    <w:p>
      <w:pPr>
        <w:pStyle w:val="ListParagraph"/>
        <w:numPr>
          <w:ilvl w:val="0"/>
          <w:numId w:val="2"/>
        </w:numPr>
        <w:spacing w:after="40" w:before="40"/>
      </w:pPr>
      <w:r>
        <w:rPr>
          <w:rFonts w:ascii="Arial" w:cs="Arial" w:eastAsia="Arial" w:hAnsi="Arial"/>
          <w:color w:val="333333"/>
          <w:sz w:val="22"/>
          <w:szCs w:val="22"/>
        </w:rPr>
        <w:t xml:space="preserve">Injury history and physical condition records — NOTE: this constitutes health data and is sensitive personal data under KDPA Section 49</w:t>
      </w:r>
    </w:p>
    <w:p>
      <w:pPr>
        <w:pStyle w:val="ListParagraph"/>
        <w:numPr>
          <w:ilvl w:val="0"/>
          <w:numId w:val="2"/>
        </w:numPr>
        <w:spacing w:after="40" w:before="40"/>
      </w:pPr>
      <w:r>
        <w:rPr>
          <w:rFonts w:ascii="Arial" w:cs="Arial" w:eastAsia="Arial" w:hAnsi="Arial"/>
          <w:color w:val="333333"/>
          <w:sz w:val="22"/>
          <w:szCs w:val="22"/>
        </w:rPr>
        <w:t xml:space="preserve">Uploaded media: photographs and video highlights</w:t>
      </w:r>
    </w:p>
    <w:p>
      <w:pPr>
        <w:pStyle w:val="ListParagraph"/>
        <w:numPr>
          <w:ilvl w:val="0"/>
          <w:numId w:val="2"/>
        </w:numPr>
        <w:spacing w:after="40" w:before="40"/>
      </w:pPr>
      <w:r>
        <w:rPr>
          <w:rFonts w:ascii="Arial" w:cs="Arial" w:eastAsia="Arial" w:hAnsi="Arial"/>
          <w:color w:val="333333"/>
          <w:sz w:val="22"/>
          <w:szCs w:val="22"/>
        </w:rPr>
        <w:t xml:space="preserve">Risk Score and derived analytics generated by the Platform</w:t>
      </w:r>
    </w:p>
    <w:p>
      <w:pPr>
        <w:pStyle w:val="ListParagraph"/>
        <w:numPr>
          <w:ilvl w:val="0"/>
          <w:numId w:val="2"/>
        </w:numPr>
        <w:spacing w:after="40" w:before="40"/>
      </w:pPr>
      <w:r>
        <w:rPr>
          <w:rFonts w:ascii="Arial" w:cs="Arial" w:eastAsia="Arial" w:hAnsi="Arial"/>
          <w:color w:val="333333"/>
          <w:sz w:val="22"/>
          <w:szCs w:val="22"/>
        </w:rPr>
        <w:t xml:space="preserve">Verification status and linked Coach identity</w:t>
      </w:r>
    </w:p>
    <w:p>
      <w:pPr>
        <w:pStyle w:val="ListParagraph"/>
        <w:numPr>
          <w:ilvl w:val="0"/>
          <w:numId w:val="2"/>
        </w:numPr>
        <w:spacing w:after="40" w:before="40"/>
      </w:pPr>
      <w:r>
        <w:rPr>
          <w:rFonts w:ascii="Arial" w:cs="Arial" w:eastAsia="Arial" w:hAnsi="Arial"/>
          <w:color w:val="333333"/>
          <w:sz w:val="22"/>
          <w:szCs w:val="22"/>
        </w:rPr>
        <w:t xml:space="preserve">Communication history with scouts on the Platform</w:t>
      </w:r>
    </w:p>
    <w:p>
      <w:pPr>
        <w:pStyle w:val="ListParagraph"/>
        <w:numPr>
          <w:ilvl w:val="0"/>
          <w:numId w:val="2"/>
        </w:numPr>
        <w:spacing w:after="40" w:before="40"/>
      </w:pPr>
      <w:r>
        <w:rPr>
          <w:rFonts w:ascii="Arial" w:cs="Arial" w:eastAsia="Arial" w:hAnsi="Arial"/>
          <w:color w:val="333333"/>
          <w:sz w:val="22"/>
          <w:szCs w:val="22"/>
        </w:rPr>
        <w:t xml:space="preserve">Insurance consent status (whether consent to insurance data sharing has been given or withdrawn)</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3.2  Coach Data</w:t>
      </w:r>
    </w:p>
    <w:p>
      <w:pPr>
        <w:pStyle w:val="ListParagraph"/>
        <w:numPr>
          <w:ilvl w:val="0"/>
          <w:numId w:val="2"/>
        </w:numPr>
        <w:spacing w:after="40" w:before="40"/>
      </w:pPr>
      <w:r>
        <w:rPr>
          <w:rFonts w:ascii="Arial" w:cs="Arial" w:eastAsia="Arial" w:hAnsi="Arial"/>
          <w:color w:val="333333"/>
          <w:sz w:val="22"/>
          <w:szCs w:val="22"/>
        </w:rPr>
        <w:t xml:space="preserve">Full name and contact information</w:t>
      </w:r>
    </w:p>
    <w:p>
      <w:pPr>
        <w:pStyle w:val="ListParagraph"/>
        <w:numPr>
          <w:ilvl w:val="0"/>
          <w:numId w:val="2"/>
        </w:numPr>
        <w:spacing w:after="40" w:before="40"/>
      </w:pPr>
      <w:r>
        <w:rPr>
          <w:rFonts w:ascii="Arial" w:cs="Arial" w:eastAsia="Arial" w:hAnsi="Arial"/>
          <w:color w:val="333333"/>
          <w:sz w:val="22"/>
          <w:szCs w:val="22"/>
        </w:rPr>
        <w:t xml:space="preserve">Club affiliation and coaching credentials</w:t>
      </w:r>
    </w:p>
    <w:p>
      <w:pPr>
        <w:pStyle w:val="ListParagraph"/>
        <w:numPr>
          <w:ilvl w:val="0"/>
          <w:numId w:val="2"/>
        </w:numPr>
        <w:spacing w:after="40" w:before="40"/>
      </w:pPr>
      <w:r>
        <w:rPr>
          <w:rFonts w:ascii="Arial" w:cs="Arial" w:eastAsia="Arial" w:hAnsi="Arial"/>
          <w:color w:val="333333"/>
          <w:sz w:val="22"/>
          <w:szCs w:val="22"/>
        </w:rPr>
        <w:t xml:space="preserve">Verification history: which athletes have been verified and when</w:t>
      </w:r>
    </w:p>
    <w:p>
      <w:pPr>
        <w:pStyle w:val="ListParagraph"/>
        <w:numPr>
          <w:ilvl w:val="0"/>
          <w:numId w:val="2"/>
        </w:numPr>
        <w:spacing w:after="40" w:before="40"/>
      </w:pPr>
      <w:r>
        <w:rPr>
          <w:rFonts w:ascii="Arial" w:cs="Arial" w:eastAsia="Arial" w:hAnsi="Arial"/>
          <w:color w:val="333333"/>
          <w:sz w:val="22"/>
          <w:szCs w:val="22"/>
        </w:rPr>
        <w:t xml:space="preserve">Coach credibility score and verification accuracy metrics</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3.3  Scout Data</w:t>
      </w:r>
    </w:p>
    <w:p>
      <w:pPr>
        <w:pStyle w:val="ListParagraph"/>
        <w:numPr>
          <w:ilvl w:val="0"/>
          <w:numId w:val="2"/>
        </w:numPr>
        <w:spacing w:after="40" w:before="40"/>
      </w:pPr>
      <w:r>
        <w:rPr>
          <w:rFonts w:ascii="Arial" w:cs="Arial" w:eastAsia="Arial" w:hAnsi="Arial"/>
          <w:color w:val="333333"/>
          <w:sz w:val="22"/>
          <w:szCs w:val="22"/>
        </w:rPr>
        <w:t xml:space="preserve">Full name and professional information</w:t>
      </w:r>
    </w:p>
    <w:p>
      <w:pPr>
        <w:pStyle w:val="ListParagraph"/>
        <w:numPr>
          <w:ilvl w:val="0"/>
          <w:numId w:val="2"/>
        </w:numPr>
        <w:spacing w:after="40" w:before="40"/>
      </w:pPr>
      <w:r>
        <w:rPr>
          <w:rFonts w:ascii="Arial" w:cs="Arial" w:eastAsia="Arial" w:hAnsi="Arial"/>
          <w:color w:val="333333"/>
          <w:sz w:val="22"/>
          <w:szCs w:val="22"/>
        </w:rPr>
        <w:t xml:space="preserve">Club or agency affiliation</w:t>
      </w:r>
    </w:p>
    <w:p>
      <w:pPr>
        <w:pStyle w:val="ListParagraph"/>
        <w:numPr>
          <w:ilvl w:val="0"/>
          <w:numId w:val="2"/>
        </w:numPr>
        <w:spacing w:after="40" w:before="40"/>
      </w:pPr>
      <w:r>
        <w:rPr>
          <w:rFonts w:ascii="Arial" w:cs="Arial" w:eastAsia="Arial" w:hAnsi="Arial"/>
          <w:color w:val="333333"/>
          <w:sz w:val="22"/>
          <w:szCs w:val="22"/>
        </w:rPr>
        <w:t xml:space="preserve">Athlete connection and communication history</w:t>
      </w:r>
    </w:p>
    <w:p>
      <w:pPr>
        <w:pStyle w:val="ListParagraph"/>
        <w:numPr>
          <w:ilvl w:val="0"/>
          <w:numId w:val="2"/>
        </w:numPr>
        <w:spacing w:after="40" w:before="40"/>
      </w:pPr>
      <w:r>
        <w:rPr>
          <w:rFonts w:ascii="Arial" w:cs="Arial" w:eastAsia="Arial" w:hAnsi="Arial"/>
          <w:color w:val="333333"/>
          <w:sz w:val="22"/>
          <w:szCs w:val="22"/>
        </w:rPr>
        <w:t xml:space="preserve">Platform activity data</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3.4  Club Data</w:t>
      </w:r>
    </w:p>
    <w:p>
      <w:pPr>
        <w:pStyle w:val="ListParagraph"/>
        <w:numPr>
          <w:ilvl w:val="0"/>
          <w:numId w:val="2"/>
        </w:numPr>
        <w:spacing w:after="40" w:before="40"/>
      </w:pPr>
      <w:r>
        <w:rPr>
          <w:rFonts w:ascii="Arial" w:cs="Arial" w:eastAsia="Arial" w:hAnsi="Arial"/>
          <w:color w:val="333333"/>
          <w:sz w:val="22"/>
          <w:szCs w:val="22"/>
        </w:rPr>
        <w:t xml:space="preserve">Club name, type, and location</w:t>
      </w:r>
    </w:p>
    <w:p>
      <w:pPr>
        <w:pStyle w:val="ListParagraph"/>
        <w:numPr>
          <w:ilvl w:val="0"/>
          <w:numId w:val="2"/>
        </w:numPr>
        <w:spacing w:after="40" w:before="40"/>
      </w:pPr>
      <w:r>
        <w:rPr>
          <w:rFonts w:ascii="Arial" w:cs="Arial" w:eastAsia="Arial" w:hAnsi="Arial"/>
          <w:color w:val="333333"/>
          <w:sz w:val="22"/>
          <w:szCs w:val="22"/>
        </w:rPr>
        <w:t xml:space="preserve">Affiliated member roles and accounts</w:t>
      </w:r>
    </w:p>
    <w:p>
      <w:pPr>
        <w:pStyle w:val="ListParagraph"/>
        <w:numPr>
          <w:ilvl w:val="0"/>
          <w:numId w:val="2"/>
        </w:numPr>
        <w:spacing w:after="40" w:before="40"/>
      </w:pPr>
      <w:r>
        <w:rPr>
          <w:rFonts w:ascii="Arial" w:cs="Arial" w:eastAsia="Arial" w:hAnsi="Arial"/>
          <w:color w:val="333333"/>
          <w:sz w:val="22"/>
          <w:szCs w:val="22"/>
        </w:rPr>
        <w:t xml:space="preserve">Recruitment pipeline data</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3.5  Technical and Usage Data</w:t>
      </w:r>
    </w:p>
    <w:p>
      <w:pPr>
        <w:pStyle w:val="ListParagraph"/>
        <w:numPr>
          <w:ilvl w:val="0"/>
          <w:numId w:val="2"/>
        </w:numPr>
        <w:spacing w:after="40" w:before="40"/>
      </w:pPr>
      <w:r>
        <w:rPr>
          <w:rFonts w:ascii="Arial" w:cs="Arial" w:eastAsia="Arial" w:hAnsi="Arial"/>
          <w:color w:val="333333"/>
          <w:sz w:val="22"/>
          <w:szCs w:val="22"/>
        </w:rPr>
        <w:t xml:space="preserve">IP address and device information</w:t>
      </w:r>
    </w:p>
    <w:p>
      <w:pPr>
        <w:pStyle w:val="ListParagraph"/>
        <w:numPr>
          <w:ilvl w:val="0"/>
          <w:numId w:val="2"/>
        </w:numPr>
        <w:spacing w:after="40" w:before="40"/>
      </w:pPr>
      <w:r>
        <w:rPr>
          <w:rFonts w:ascii="Arial" w:cs="Arial" w:eastAsia="Arial" w:hAnsi="Arial"/>
          <w:color w:val="333333"/>
          <w:sz w:val="22"/>
          <w:szCs w:val="22"/>
        </w:rPr>
        <w:t xml:space="preserve">Browser type and version</w:t>
      </w:r>
    </w:p>
    <w:p>
      <w:pPr>
        <w:pStyle w:val="ListParagraph"/>
        <w:numPr>
          <w:ilvl w:val="0"/>
          <w:numId w:val="2"/>
        </w:numPr>
        <w:spacing w:after="40" w:before="40"/>
      </w:pPr>
      <w:r>
        <w:rPr>
          <w:rFonts w:ascii="Arial" w:cs="Arial" w:eastAsia="Arial" w:hAnsi="Arial"/>
          <w:color w:val="333333"/>
          <w:sz w:val="22"/>
          <w:szCs w:val="22"/>
        </w:rPr>
        <w:t xml:space="preserve">Session data and access logs</w:t>
      </w:r>
    </w:p>
    <w:p>
      <w:pPr>
        <w:pStyle w:val="ListParagraph"/>
        <w:numPr>
          <w:ilvl w:val="0"/>
          <w:numId w:val="2"/>
        </w:numPr>
        <w:spacing w:after="40" w:before="40"/>
      </w:pPr>
      <w:r>
        <w:rPr>
          <w:rFonts w:ascii="Arial" w:cs="Arial" w:eastAsia="Arial" w:hAnsi="Arial"/>
          <w:color w:val="333333"/>
          <w:sz w:val="22"/>
          <w:szCs w:val="22"/>
        </w:rPr>
        <w:t xml:space="preserve">Cookies and similar tracking technologies</w:t>
      </w:r>
    </w:p>
    <w:p>
      <w:pPr>
        <w:pStyle w:val="ListParagraph"/>
        <w:numPr>
          <w:ilvl w:val="0"/>
          <w:numId w:val="2"/>
        </w:numPr>
        <w:spacing w:after="40" w:before="40"/>
      </w:pPr>
      <w:r>
        <w:rPr>
          <w:rFonts w:ascii="Arial" w:cs="Arial" w:eastAsia="Arial" w:hAnsi="Arial"/>
          <w:color w:val="333333"/>
          <w:sz w:val="22"/>
          <w:szCs w:val="22"/>
        </w:rPr>
        <w:t xml:space="preserve">Security monitoring data</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4.  Legal Basis for Processing — KDPA 2019</w:t>
      </w:r>
    </w:p>
    <w:p>
      <w:pPr>
        <w:spacing w:after="80" w:before="60"/>
        <w:jc w:val="left"/>
      </w:pPr>
      <w:r>
        <w:rPr>
          <w:rFonts w:ascii="Arial" w:cs="Arial" w:eastAsia="Arial" w:hAnsi="Arial"/>
          <w:color w:val="333333"/>
          <w:sz w:val="22"/>
          <w:szCs w:val="22"/>
        </w:rPr>
        <w:t xml:space="preserve">Under the Kenya Data Protection Act 2019, we process personal data only where we have a lawful basis. The lawful bases we rely on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Processing Activity</w:t>
            </w:r>
          </w:p>
        </w:tc>
        <w:tc>
          <w:tcPr>
            <w:tcW w:type="dxa" w:w="32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Lawful Basis</w:t>
            </w:r>
          </w:p>
        </w:tc>
        <w:tc>
          <w:tcPr>
            <w:tcW w:type="dxa" w:w="32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Account creation and profile management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Consent (KDPA s.30) / Contractual necessity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Users consent at registration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Athlete performance data processing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Athlete explicitly consents at profile creation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Coach verification of athlete data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Contractual necessity / Legitimate interests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Verification is core to Platform function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Scout access to verified profiles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Contractual necessity / Legitimate interests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Access is core to the scout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Injury history and physical condition (health data)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Explicit consent (KDPA s.49)</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Separate, explicit consent required — standard consent insufficient for health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Risk Score generation and display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Consent / Contractual necessity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Score derived from consented data inputs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Insurance data sharing with named partners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Explicit, separate consent (KDPA s.49, s.30)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Separate insurance consent mechanism required — see Section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Security monitoring and fraud prevention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Legitimate interests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Necessary to protect users and Platform integrity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Legal compliance and regulatory obligations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Legal obligation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KDPA, court orders, regulatory requirements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Platform analytics and improvement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Legitimate interests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Uses aggregated, anonymised data only</w:t>
            </w:r>
          </w:p>
        </w:tc>
      </w:tr>
    </w:tbl>
    <w:p>
      <w:pPr>
        <w:spacing w:after="80" w:before="80"/>
      </w:pPr>
      <w:r>
        <w:t xml:space="preserve"/>
      </w:r>
    </w:p>
    <w:p>
      <w:pPr>
        <w:pStyle w:val="Heading2"/>
        <w:spacing w:after="100" w:before="300"/>
      </w:pPr>
      <w:r>
        <w:rPr>
          <w:rFonts w:ascii="Arial" w:cs="Arial" w:eastAsia="Arial" w:hAnsi="Arial"/>
          <w:b/>
          <w:bCs/>
          <w:color w:val="1A1A1A"/>
          <w:sz w:val="24"/>
          <w:szCs w:val="24"/>
        </w:rPr>
        <w:t xml:space="preserve">5.  Sensitive Personal Data — Injury and Health Records</w:t>
      </w:r>
    </w:p>
    <w:p>
      <w:pPr>
        <w:pBdr>
          <w:top w:val="single" w:color="CCCCCC" w:sz="1"/>
          <w:bottom w:val="single" w:color="CCCCCC" w:sz="1"/>
          <w:left w:val="single" w:color="C8960C" w:sz="14" w:space="8"/>
          <w:right w:val="single" w:color="CCCCCC" w:sz="1"/>
        </w:pBdr>
        <w:shd w:fill="FFF8E6" w:val="clear"/>
        <w:spacing w:after="120" w:before="120"/>
        <w:ind w:left="240" w:right="240"/>
      </w:pPr>
      <w:r>
        <w:rPr>
          <w:rFonts w:ascii="Arial" w:cs="Arial" w:eastAsia="Arial" w:hAnsi="Arial"/>
          <w:color w:val="333333"/>
          <w:sz w:val="22"/>
          <w:szCs w:val="22"/>
        </w:rPr>
        <w:t xml:space="preserve">Injury history, physical condition, and related health records constitute sensitive personal data under KDPA Section 49. This category of data carries a higher legal protection standard and requires your explicit consent for processing.</w:t>
      </w:r>
    </w:p>
    <w:p>
      <w:pPr>
        <w:spacing w:after="80" w:before="80"/>
      </w:pPr>
      <w:r>
        <w:t xml:space="preserve"/>
      </w:r>
    </w:p>
    <w:p>
      <w:pPr>
        <w:spacing w:after="80" w:before="60"/>
        <w:jc w:val="left"/>
      </w:pPr>
      <w:r>
        <w:rPr>
          <w:rFonts w:ascii="Arial" w:cs="Arial" w:eastAsia="Arial" w:hAnsi="Arial"/>
          <w:color w:val="333333"/>
          <w:sz w:val="22"/>
          <w:szCs w:val="22"/>
        </w:rPr>
        <w:t xml:space="preserve">We process health-related data only where you have given explicit, informed, and specific consent at the time of data entry or at onboarding. You may withdraw this consent at any time by contacting us, which will prevent future processing of health data but will not reverse processing already completed with your consent.</w:t>
      </w:r>
    </w:p>
    <w:p>
      <w:pPr>
        <w:spacing w:after="80" w:before="80"/>
      </w:pPr>
      <w:r>
        <w:t xml:space="preserve"/>
      </w:r>
    </w:p>
    <w:p>
      <w:pPr>
        <w:spacing w:after="80" w:before="60"/>
        <w:jc w:val="left"/>
      </w:pPr>
      <w:r>
        <w:rPr>
          <w:rFonts w:ascii="Arial" w:cs="Arial" w:eastAsia="Arial" w:hAnsi="Arial"/>
          <w:color w:val="333333"/>
          <w:sz w:val="22"/>
          <w:szCs w:val="22"/>
        </w:rPr>
        <w:t xml:space="preserve">Health data is not shared with insurance partners without a second, separate, explicit consent specifically for that purpose. The insurance consent mechanism within the Platform is distinct from general profile consent.</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6.  How We Use Personal Data</w:t>
      </w:r>
    </w:p>
    <w:p>
      <w:pPr>
        <w:spacing w:after="80" w:before="60"/>
        <w:jc w:val="left"/>
      </w:pPr>
      <w:r>
        <w:rPr>
          <w:rFonts w:ascii="Arial" w:cs="Arial" w:eastAsia="Arial" w:hAnsi="Arial"/>
          <w:color w:val="333333"/>
          <w:sz w:val="22"/>
          <w:szCs w:val="22"/>
        </w:rPr>
        <w:t xml:space="preserve">We process personal data for the following purposes:</w:t>
      </w:r>
    </w:p>
    <w:p>
      <w:pPr>
        <w:pStyle w:val="ListParagraph"/>
        <w:numPr>
          <w:ilvl w:val="0"/>
          <w:numId w:val="2"/>
        </w:numPr>
        <w:spacing w:after="40" w:before="40"/>
      </w:pPr>
      <w:r>
        <w:rPr>
          <w:rFonts w:ascii="Arial" w:cs="Arial" w:eastAsia="Arial" w:hAnsi="Arial"/>
          <w:color w:val="333333"/>
          <w:sz w:val="22"/>
          <w:szCs w:val="22"/>
        </w:rPr>
        <w:t xml:space="preserve">Creating and managing user accounts and profiles</w:t>
      </w:r>
    </w:p>
    <w:p>
      <w:pPr>
        <w:pStyle w:val="ListParagraph"/>
        <w:numPr>
          <w:ilvl w:val="0"/>
          <w:numId w:val="2"/>
        </w:numPr>
        <w:spacing w:after="40" w:before="40"/>
      </w:pPr>
      <w:r>
        <w:rPr>
          <w:rFonts w:ascii="Arial" w:cs="Arial" w:eastAsia="Arial" w:hAnsi="Arial"/>
          <w:color w:val="333333"/>
          <w:sz w:val="22"/>
          <w:szCs w:val="22"/>
        </w:rPr>
        <w:t xml:space="preserve">Generating and displaying Risk Scores and Talent Scores</w:t>
      </w:r>
    </w:p>
    <w:p>
      <w:pPr>
        <w:pStyle w:val="ListParagraph"/>
        <w:numPr>
          <w:ilvl w:val="0"/>
          <w:numId w:val="2"/>
        </w:numPr>
        <w:spacing w:after="40" w:before="40"/>
      </w:pPr>
      <w:r>
        <w:rPr>
          <w:rFonts w:ascii="Arial" w:cs="Arial" w:eastAsia="Arial" w:hAnsi="Arial"/>
          <w:color w:val="333333"/>
          <w:sz w:val="22"/>
          <w:szCs w:val="22"/>
        </w:rPr>
        <w:t xml:space="preserve">Enabling verified connections between scouts and athletes</w:t>
      </w:r>
    </w:p>
    <w:p>
      <w:pPr>
        <w:pStyle w:val="ListParagraph"/>
        <w:numPr>
          <w:ilvl w:val="0"/>
          <w:numId w:val="2"/>
        </w:numPr>
        <w:spacing w:after="40" w:before="40"/>
      </w:pPr>
      <w:r>
        <w:rPr>
          <w:rFonts w:ascii="Arial" w:cs="Arial" w:eastAsia="Arial" w:hAnsi="Arial"/>
          <w:color w:val="333333"/>
          <w:sz w:val="22"/>
          <w:szCs w:val="22"/>
        </w:rPr>
        <w:t xml:space="preserve">Operating the coach verification system</w:t>
      </w:r>
    </w:p>
    <w:p>
      <w:pPr>
        <w:pStyle w:val="ListParagraph"/>
        <w:numPr>
          <w:ilvl w:val="0"/>
          <w:numId w:val="2"/>
        </w:numPr>
        <w:spacing w:after="40" w:before="40"/>
      </w:pPr>
      <w:r>
        <w:rPr>
          <w:rFonts w:ascii="Arial" w:cs="Arial" w:eastAsia="Arial" w:hAnsi="Arial"/>
          <w:color w:val="333333"/>
          <w:sz w:val="22"/>
          <w:szCs w:val="22"/>
        </w:rPr>
        <w:t xml:space="preserve">Enforcing role-based access controls across the Platform</w:t>
      </w:r>
    </w:p>
    <w:p>
      <w:pPr>
        <w:pStyle w:val="ListParagraph"/>
        <w:numPr>
          <w:ilvl w:val="0"/>
          <w:numId w:val="2"/>
        </w:numPr>
        <w:spacing w:after="40" w:before="40"/>
      </w:pPr>
      <w:r>
        <w:rPr>
          <w:rFonts w:ascii="Arial" w:cs="Arial" w:eastAsia="Arial" w:hAnsi="Arial"/>
          <w:color w:val="333333"/>
          <w:sz w:val="22"/>
          <w:szCs w:val="22"/>
        </w:rPr>
        <w:t xml:space="preserve">Detecting and preventing fraud, data manipulation, and security breaches</w:t>
      </w:r>
    </w:p>
    <w:p>
      <w:pPr>
        <w:pStyle w:val="ListParagraph"/>
        <w:numPr>
          <w:ilvl w:val="0"/>
          <w:numId w:val="2"/>
        </w:numPr>
        <w:spacing w:after="40" w:before="40"/>
      </w:pPr>
      <w:r>
        <w:rPr>
          <w:rFonts w:ascii="Arial" w:cs="Arial" w:eastAsia="Arial" w:hAnsi="Arial"/>
          <w:color w:val="333333"/>
          <w:sz w:val="22"/>
          <w:szCs w:val="22"/>
        </w:rPr>
        <w:t xml:space="preserve">Conducting cross-referencing of verified data against match records for verification integrity</w:t>
      </w:r>
    </w:p>
    <w:p>
      <w:pPr>
        <w:pStyle w:val="ListParagraph"/>
        <w:numPr>
          <w:ilvl w:val="0"/>
          <w:numId w:val="2"/>
        </w:numPr>
        <w:spacing w:after="40" w:before="40"/>
      </w:pPr>
      <w:r>
        <w:rPr>
          <w:rFonts w:ascii="Arial" w:cs="Arial" w:eastAsia="Arial" w:hAnsi="Arial"/>
          <w:color w:val="333333"/>
          <w:sz w:val="22"/>
          <w:szCs w:val="22"/>
        </w:rPr>
        <w:t xml:space="preserve">Complying with legal obligations under KDPA and other applicable law</w:t>
      </w:r>
    </w:p>
    <w:p>
      <w:pPr>
        <w:pStyle w:val="ListParagraph"/>
        <w:numPr>
          <w:ilvl w:val="0"/>
          <w:numId w:val="2"/>
        </w:numPr>
        <w:spacing w:after="40" w:before="40"/>
      </w:pPr>
      <w:r>
        <w:rPr>
          <w:rFonts w:ascii="Arial" w:cs="Arial" w:eastAsia="Arial" w:hAnsi="Arial"/>
          <w:color w:val="333333"/>
          <w:sz w:val="22"/>
          <w:szCs w:val="22"/>
        </w:rPr>
        <w:t xml:space="preserve">Improving Platform functionality using aggregated and anonymised data</w:t>
      </w:r>
    </w:p>
    <w:p>
      <w:pPr>
        <w:spacing w:after="80" w:before="80"/>
      </w:pPr>
      <w:r>
        <w:t xml:space="preserve"/>
      </w:r>
    </w:p>
    <w:p>
      <w:pPr>
        <w:spacing w:after="80" w:before="60"/>
        <w:jc w:val="left"/>
      </w:pPr>
      <w:r>
        <w:rPr>
          <w:rFonts w:ascii="Arial" w:cs="Arial" w:eastAsia="Arial" w:hAnsi="Arial"/>
          <w:color w:val="333333"/>
          <w:sz w:val="22"/>
          <w:szCs w:val="22"/>
        </w:rPr>
        <w:t xml:space="preserve">We do not sell personal data. We do not serve advertising. We do not monetise athlete data through any means other than the Platform's stated services and, with separate explicit consent, insurance data licensing.</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7.  Data Sharing and Disclosure</w:t>
      </w:r>
    </w:p>
    <w:p>
      <w:pPr>
        <w:pStyle w:val="Heading3"/>
        <w:spacing w:after="80" w:before="200"/>
      </w:pPr>
      <w:r>
        <w:rPr>
          <w:rFonts w:ascii="Arial" w:cs="Arial" w:eastAsia="Arial" w:hAnsi="Arial"/>
          <w:b/>
          <w:bCs/>
          <w:color w:val="333333"/>
          <w:sz w:val="22"/>
          <w:szCs w:val="22"/>
        </w:rPr>
        <w:t xml:space="preserve">7.1  Within the Platform</w:t>
      </w:r>
    </w:p>
    <w:p>
      <w:pPr>
        <w:pStyle w:val="ListParagraph"/>
        <w:numPr>
          <w:ilvl w:val="0"/>
          <w:numId w:val="2"/>
        </w:numPr>
        <w:spacing w:after="40" w:before="40"/>
      </w:pPr>
      <w:r>
        <w:rPr>
          <w:rFonts w:ascii="Arial" w:cs="Arial" w:eastAsia="Arial" w:hAnsi="Arial"/>
          <w:color w:val="333333"/>
          <w:sz w:val="22"/>
          <w:szCs w:val="22"/>
        </w:rPr>
        <w:t xml:space="preserve">Athlete data is visible only to connected scouts and affiliated club members within the access permissions framework</w:t>
      </w:r>
    </w:p>
    <w:p>
      <w:pPr>
        <w:pStyle w:val="ListParagraph"/>
        <w:numPr>
          <w:ilvl w:val="0"/>
          <w:numId w:val="2"/>
        </w:numPr>
        <w:spacing w:after="40" w:before="40"/>
      </w:pPr>
      <w:r>
        <w:rPr>
          <w:rFonts w:ascii="Arial" w:cs="Arial" w:eastAsia="Arial" w:hAnsi="Arial"/>
          <w:color w:val="333333"/>
          <w:sz w:val="22"/>
          <w:szCs w:val="22"/>
        </w:rPr>
        <w:t xml:space="preserve">No cross-club access to athlete data is permitted</w:t>
      </w:r>
    </w:p>
    <w:p>
      <w:pPr>
        <w:pStyle w:val="ListParagraph"/>
        <w:numPr>
          <w:ilvl w:val="0"/>
          <w:numId w:val="2"/>
        </w:numPr>
        <w:spacing w:after="40" w:before="40"/>
      </w:pPr>
      <w:r>
        <w:rPr>
          <w:rFonts w:ascii="Arial" w:cs="Arial" w:eastAsia="Arial" w:hAnsi="Arial"/>
          <w:color w:val="333333"/>
          <w:sz w:val="22"/>
          <w:szCs w:val="22"/>
        </w:rPr>
        <w:t xml:space="preserve">Coach verification identity is visible on athlete profiles to authorised users</w:t>
      </w:r>
    </w:p>
    <w:p>
      <w:pPr>
        <w:pStyle w:val="ListParagraph"/>
        <w:numPr>
          <w:ilvl w:val="0"/>
          <w:numId w:val="2"/>
        </w:numPr>
        <w:spacing w:after="40" w:before="40"/>
      </w:pPr>
      <w:r>
        <w:rPr>
          <w:rFonts w:ascii="Arial" w:cs="Arial" w:eastAsia="Arial" w:hAnsi="Arial"/>
          <w:color w:val="333333"/>
          <w:sz w:val="22"/>
          <w:szCs w:val="22"/>
        </w:rPr>
        <w:t xml:space="preserve">No public profile directory exists</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7.2  Insurance Partners — Separate Consent Required</w:t>
      </w:r>
    </w:p>
    <w:p>
      <w:pPr>
        <w:spacing w:after="80" w:before="60"/>
        <w:jc w:val="left"/>
      </w:pPr>
      <w:r>
        <w:rPr>
          <w:rFonts w:ascii="Arial" w:cs="Arial" w:eastAsia="Arial" w:hAnsi="Arial"/>
          <w:color w:val="333333"/>
          <w:sz w:val="22"/>
          <w:szCs w:val="22"/>
        </w:rPr>
        <w:t xml:space="preserve">Where an Athlete has given separate, explicit consent for insurance data sharing:</w:t>
      </w:r>
    </w:p>
    <w:p>
      <w:pPr>
        <w:pStyle w:val="ListParagraph"/>
        <w:numPr>
          <w:ilvl w:val="0"/>
          <w:numId w:val="2"/>
        </w:numPr>
        <w:spacing w:after="40" w:before="40"/>
      </w:pPr>
      <w:r>
        <w:rPr>
          <w:rFonts w:ascii="Arial" w:cs="Arial" w:eastAsia="Arial" w:hAnsi="Arial"/>
          <w:color w:val="333333"/>
          <w:sz w:val="22"/>
          <w:szCs w:val="22"/>
        </w:rPr>
        <w:t xml:space="preserve">Structured performance and risk data (Risk Score, pillar breakdown, injury flags, and recommended coverage parameters) may be shared with named insurance partners</w:t>
      </w:r>
    </w:p>
    <w:p>
      <w:pPr>
        <w:pStyle w:val="ListParagraph"/>
        <w:numPr>
          <w:ilvl w:val="0"/>
          <w:numId w:val="2"/>
        </w:numPr>
        <w:spacing w:after="40" w:before="40"/>
      </w:pPr>
      <w:r>
        <w:rPr>
          <w:rFonts w:ascii="Arial" w:cs="Arial" w:eastAsia="Arial" w:hAnsi="Arial"/>
          <w:color w:val="333333"/>
          <w:sz w:val="22"/>
          <w:szCs w:val="22"/>
        </w:rPr>
        <w:t xml:space="preserve">Sharing occurs only under a signed Data Processing Agreement between the Company and the insurance partner</w:t>
      </w:r>
    </w:p>
    <w:p>
      <w:pPr>
        <w:pStyle w:val="ListParagraph"/>
        <w:numPr>
          <w:ilvl w:val="0"/>
          <w:numId w:val="2"/>
        </w:numPr>
        <w:spacing w:after="40" w:before="40"/>
      </w:pPr>
      <w:r>
        <w:rPr>
          <w:rFonts w:ascii="Arial" w:cs="Arial" w:eastAsia="Arial" w:hAnsi="Arial"/>
          <w:color w:val="333333"/>
          <w:sz w:val="22"/>
          <w:szCs w:val="22"/>
        </w:rPr>
        <w:t xml:space="preserve">The data shared is limited to what is necessary for insurance eligibility assessment</w:t>
      </w:r>
    </w:p>
    <w:p>
      <w:pPr>
        <w:pStyle w:val="ListParagraph"/>
        <w:numPr>
          <w:ilvl w:val="0"/>
          <w:numId w:val="2"/>
        </w:numPr>
        <w:spacing w:after="40" w:before="40"/>
      </w:pPr>
      <w:r>
        <w:rPr>
          <w:rFonts w:ascii="Arial" w:cs="Arial" w:eastAsia="Arial" w:hAnsi="Arial"/>
          <w:color w:val="333333"/>
          <w:sz w:val="22"/>
          <w:szCs w:val="22"/>
        </w:rPr>
        <w:t xml:space="preserve">The identity of the insurance partner and the purpose of sharing are disclosed to the Athlete at the time consent is obtained</w:t>
      </w:r>
    </w:p>
    <w:p>
      <w:pPr>
        <w:spacing w:after="80" w:before="80"/>
      </w:pPr>
      <w:r>
        <w:t xml:space="preserve"/>
      </w:r>
    </w:p>
    <w:p>
      <w:pPr>
        <w:spacing w:after="80" w:before="60"/>
        <w:jc w:val="left"/>
      </w:pPr>
      <w:r>
        <w:rPr>
          <w:rFonts w:ascii="Arial" w:cs="Arial" w:eastAsia="Arial" w:hAnsi="Arial"/>
          <w:color w:val="333333"/>
          <w:sz w:val="22"/>
          <w:szCs w:val="22"/>
        </w:rPr>
        <w:t xml:space="preserve">The Company does not receive insurance premiums or issue insurance policies. The Company acts solely as a data processor providing structured risk outputs to licensed insurers.</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7.3  Service Providers</w:t>
      </w:r>
    </w:p>
    <w:p>
      <w:pPr>
        <w:spacing w:after="80" w:before="60"/>
        <w:jc w:val="left"/>
      </w:pPr>
      <w:r>
        <w:rPr>
          <w:rFonts w:ascii="Arial" w:cs="Arial" w:eastAsia="Arial" w:hAnsi="Arial"/>
          <w:color w:val="333333"/>
          <w:sz w:val="22"/>
          <w:szCs w:val="22"/>
        </w:rPr>
        <w:t xml:space="preserve">We share data with the following categories of service providers who are contractually obligated to protect personal data:</w:t>
      </w:r>
    </w:p>
    <w:p>
      <w:pPr>
        <w:pStyle w:val="ListParagraph"/>
        <w:numPr>
          <w:ilvl w:val="0"/>
          <w:numId w:val="2"/>
        </w:numPr>
        <w:spacing w:after="40" w:before="40"/>
      </w:pPr>
      <w:r>
        <w:rPr>
          <w:rFonts w:ascii="Arial" w:cs="Arial" w:eastAsia="Arial" w:hAnsi="Arial"/>
          <w:color w:val="333333"/>
          <w:sz w:val="22"/>
          <w:szCs w:val="22"/>
        </w:rPr>
        <w:t xml:space="preserve">Cloud infrastructure and database providers (Firebase / Google Cloud)</w:t>
      </w:r>
    </w:p>
    <w:p>
      <w:pPr>
        <w:pStyle w:val="ListParagraph"/>
        <w:numPr>
          <w:ilvl w:val="0"/>
          <w:numId w:val="2"/>
        </w:numPr>
        <w:spacing w:after="40" w:before="40"/>
      </w:pPr>
      <w:r>
        <w:rPr>
          <w:rFonts w:ascii="Arial" w:cs="Arial" w:eastAsia="Arial" w:hAnsi="Arial"/>
          <w:color w:val="333333"/>
          <w:sz w:val="22"/>
          <w:szCs w:val="22"/>
        </w:rPr>
        <w:t xml:space="preserve">Security monitoring providers</w:t>
      </w:r>
    </w:p>
    <w:p>
      <w:pPr>
        <w:pStyle w:val="ListParagraph"/>
        <w:numPr>
          <w:ilvl w:val="0"/>
          <w:numId w:val="2"/>
        </w:numPr>
        <w:spacing w:after="40" w:before="40"/>
      </w:pPr>
      <w:r>
        <w:rPr>
          <w:rFonts w:ascii="Arial" w:cs="Arial" w:eastAsia="Arial" w:hAnsi="Arial"/>
          <w:color w:val="333333"/>
          <w:sz w:val="22"/>
          <w:szCs w:val="22"/>
        </w:rPr>
        <w:t xml:space="preserve">Analytics providers (using anonymised data only)</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7.4  Legal Disclosure</w:t>
      </w:r>
    </w:p>
    <w:p>
      <w:pPr>
        <w:spacing w:after="80" w:before="60"/>
        <w:jc w:val="left"/>
      </w:pPr>
      <w:r>
        <w:rPr>
          <w:rFonts w:ascii="Arial" w:cs="Arial" w:eastAsia="Arial" w:hAnsi="Arial"/>
          <w:color w:val="333333"/>
          <w:sz w:val="22"/>
          <w:szCs w:val="22"/>
        </w:rPr>
        <w:t xml:space="preserve">We may disclose personal data if required by Kenyan law, court order, order of the Office of the Data Protection Commissioner (ODPC), or other regulatory authority. We will, where legally permitted, notify affected users before such disclosure.</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8.  Insurance Data Consent — Separate Mechanism</w:t>
      </w:r>
    </w:p>
    <w:p>
      <w:pPr>
        <w:spacing w:after="80" w:before="60"/>
        <w:jc w:val="left"/>
      </w:pPr>
      <w:r>
        <w:rPr>
          <w:rFonts w:ascii="Arial" w:cs="Arial" w:eastAsia="Arial" w:hAnsi="Arial"/>
          <w:color w:val="333333"/>
          <w:sz w:val="22"/>
          <w:szCs w:val="22"/>
        </w:rPr>
        <w:t xml:space="preserve">Insurance data sharing requires a separate, dedicated consent that is distinct from agreeing to this Privacy Policy or the Terms of Use. The insurance consent mechanism will:</w:t>
      </w:r>
    </w:p>
    <w:p>
      <w:pPr>
        <w:pStyle w:val="ListParagraph"/>
        <w:numPr>
          <w:ilvl w:val="0"/>
          <w:numId w:val="2"/>
        </w:numPr>
        <w:spacing w:after="40" w:before="40"/>
      </w:pPr>
      <w:r>
        <w:rPr>
          <w:rFonts w:ascii="Arial" w:cs="Arial" w:eastAsia="Arial" w:hAnsi="Arial"/>
          <w:color w:val="333333"/>
          <w:sz w:val="22"/>
          <w:szCs w:val="22"/>
        </w:rPr>
        <w:t xml:space="preserve">Identify the specific insurance partner by name</w:t>
      </w:r>
    </w:p>
    <w:p>
      <w:pPr>
        <w:pStyle w:val="ListParagraph"/>
        <w:numPr>
          <w:ilvl w:val="0"/>
          <w:numId w:val="2"/>
        </w:numPr>
        <w:spacing w:after="40" w:before="40"/>
      </w:pPr>
      <w:r>
        <w:rPr>
          <w:rFonts w:ascii="Arial" w:cs="Arial" w:eastAsia="Arial" w:hAnsi="Arial"/>
          <w:color w:val="333333"/>
          <w:sz w:val="22"/>
          <w:szCs w:val="22"/>
        </w:rPr>
        <w:t xml:space="preserve">Describe exactly what data will be shared (Risk Score components, injury flags, coverage recommendations)</w:t>
      </w:r>
    </w:p>
    <w:p>
      <w:pPr>
        <w:pStyle w:val="ListParagraph"/>
        <w:numPr>
          <w:ilvl w:val="0"/>
          <w:numId w:val="2"/>
        </w:numPr>
        <w:spacing w:after="40" w:before="40"/>
      </w:pPr>
      <w:r>
        <w:rPr>
          <w:rFonts w:ascii="Arial" w:cs="Arial" w:eastAsia="Arial" w:hAnsi="Arial"/>
          <w:color w:val="333333"/>
          <w:sz w:val="22"/>
          <w:szCs w:val="22"/>
        </w:rPr>
        <w:t xml:space="preserve">State the purpose: insurance eligibility assessment and premium pricing</w:t>
      </w:r>
    </w:p>
    <w:p>
      <w:pPr>
        <w:pStyle w:val="ListParagraph"/>
        <w:numPr>
          <w:ilvl w:val="0"/>
          <w:numId w:val="2"/>
        </w:numPr>
        <w:spacing w:after="40" w:before="40"/>
      </w:pPr>
      <w:r>
        <w:rPr>
          <w:rFonts w:ascii="Arial" w:cs="Arial" w:eastAsia="Arial" w:hAnsi="Arial"/>
          <w:color w:val="333333"/>
          <w:sz w:val="22"/>
          <w:szCs w:val="22"/>
        </w:rPr>
        <w:t xml:space="preserve">Confirm that consent is voluntary and will not affect Platform access if withheld</w:t>
      </w:r>
    </w:p>
    <w:p>
      <w:pPr>
        <w:pStyle w:val="ListParagraph"/>
        <w:numPr>
          <w:ilvl w:val="0"/>
          <w:numId w:val="2"/>
        </w:numPr>
        <w:spacing w:after="40" w:before="40"/>
      </w:pPr>
      <w:r>
        <w:rPr>
          <w:rFonts w:ascii="Arial" w:cs="Arial" w:eastAsia="Arial" w:hAnsi="Arial"/>
          <w:color w:val="333333"/>
          <w:sz w:val="22"/>
          <w:szCs w:val="22"/>
        </w:rPr>
        <w:t xml:space="preserve">Allow consent to be withdrawn at any time through the Platform settings</w:t>
      </w:r>
    </w:p>
    <w:p>
      <w:pPr>
        <w:spacing w:after="80" w:before="80"/>
      </w:pPr>
      <w:r>
        <w:t xml:space="preserve"/>
      </w:r>
    </w:p>
    <w:p>
      <w:pPr>
        <w:pBdr>
          <w:top w:val="single" w:color="CCCCCC" w:sz="1"/>
          <w:bottom w:val="single" w:color="CCCCCC" w:sz="1"/>
          <w:left w:val="single" w:color="C8960C" w:sz="14" w:space="8"/>
          <w:right w:val="single" w:color="CCCCCC" w:sz="1"/>
        </w:pBdr>
        <w:shd w:fill="FFF8E6" w:val="clear"/>
        <w:spacing w:after="120" w:before="120"/>
        <w:ind w:left="240" w:right="240"/>
      </w:pPr>
      <w:r>
        <w:rPr>
          <w:rFonts w:ascii="Arial" w:cs="Arial" w:eastAsia="Arial" w:hAnsi="Arial"/>
          <w:color w:val="333333"/>
          <w:sz w:val="22"/>
          <w:szCs w:val="22"/>
        </w:rPr>
        <w:t xml:space="preserve">You will never be enrolled in any insurance data sharing programme without first actively clicking through a separate consent screen. Your data will not be shared with any insurer based on your general acceptance of this Privacy Policy alone.</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9.  Data Retention</w:t>
      </w:r>
    </w:p>
    <w:p>
      <w:pPr>
        <w:spacing w:after="80" w:before="60"/>
        <w:jc w:val="left"/>
      </w:pPr>
      <w:r>
        <w:rPr>
          <w:rFonts w:ascii="Arial" w:cs="Arial" w:eastAsia="Arial" w:hAnsi="Arial"/>
          <w:color w:val="333333"/>
          <w:sz w:val="22"/>
          <w:szCs w:val="22"/>
        </w:rPr>
        <w:t xml:space="preserve">We retain personal data for the following periods:</w:t>
      </w:r>
    </w:p>
    <w:p>
      <w:pPr>
        <w:pStyle w:val="ListParagraph"/>
        <w:numPr>
          <w:ilvl w:val="0"/>
          <w:numId w:val="2"/>
        </w:numPr>
        <w:spacing w:after="40" w:before="40"/>
      </w:pPr>
      <w:r>
        <w:rPr>
          <w:rFonts w:ascii="Arial" w:cs="Arial" w:eastAsia="Arial" w:hAnsi="Arial"/>
          <w:color w:val="333333"/>
          <w:sz w:val="22"/>
          <w:szCs w:val="22"/>
        </w:rPr>
        <w:t xml:space="preserve">Active accounts: data is retained for as long as the account is active</w:t>
      </w:r>
    </w:p>
    <w:p>
      <w:pPr>
        <w:pStyle w:val="ListParagraph"/>
        <w:numPr>
          <w:ilvl w:val="0"/>
          <w:numId w:val="2"/>
        </w:numPr>
        <w:spacing w:after="40" w:before="40"/>
      </w:pPr>
      <w:r>
        <w:rPr>
          <w:rFonts w:ascii="Arial" w:cs="Arial" w:eastAsia="Arial" w:hAnsi="Arial"/>
          <w:color w:val="333333"/>
          <w:sz w:val="22"/>
          <w:szCs w:val="22"/>
        </w:rPr>
        <w:t xml:space="preserve">Deleted accounts: personal profile data is deleted within 30 days of account deletion request, subject to the exceptions below</w:t>
      </w:r>
    </w:p>
    <w:p>
      <w:pPr>
        <w:pStyle w:val="ListParagraph"/>
        <w:numPr>
          <w:ilvl w:val="0"/>
          <w:numId w:val="2"/>
        </w:numPr>
        <w:spacing w:after="40" w:before="40"/>
      </w:pPr>
      <w:r>
        <w:rPr>
          <w:rFonts w:ascii="Arial" w:cs="Arial" w:eastAsia="Arial" w:hAnsi="Arial"/>
          <w:color w:val="333333"/>
          <w:sz w:val="22"/>
          <w:szCs w:val="22"/>
        </w:rPr>
        <w:t xml:space="preserve">Legal and regulatory retention: certain records may be retained for up to 7 years where required by Kenyan law</w:t>
      </w:r>
    </w:p>
    <w:p>
      <w:pPr>
        <w:pStyle w:val="ListParagraph"/>
        <w:numPr>
          <w:ilvl w:val="0"/>
          <w:numId w:val="2"/>
        </w:numPr>
        <w:spacing w:after="40" w:before="40"/>
      </w:pPr>
      <w:r>
        <w:rPr>
          <w:rFonts w:ascii="Arial" w:cs="Arial" w:eastAsia="Arial" w:hAnsi="Arial"/>
          <w:color w:val="333333"/>
          <w:sz w:val="22"/>
          <w:szCs w:val="22"/>
        </w:rPr>
        <w:t xml:space="preserve">Security and fraud logs: retained for up to 12 months</w:t>
      </w:r>
    </w:p>
    <w:p>
      <w:pPr>
        <w:pStyle w:val="ListParagraph"/>
        <w:numPr>
          <w:ilvl w:val="0"/>
          <w:numId w:val="2"/>
        </w:numPr>
        <w:spacing w:after="40" w:before="40"/>
      </w:pPr>
      <w:r>
        <w:rPr>
          <w:rFonts w:ascii="Arial" w:cs="Arial" w:eastAsia="Arial" w:hAnsi="Arial"/>
          <w:color w:val="333333"/>
          <w:sz w:val="22"/>
          <w:szCs w:val="22"/>
        </w:rPr>
        <w:t xml:space="preserve">Backup systems: residual data in secure backups may persist for up to 90 days following deletion</w:t>
      </w:r>
    </w:p>
    <w:p>
      <w:pPr>
        <w:spacing w:after="80" w:before="80"/>
      </w:pPr>
      <w:r>
        <w:t xml:space="preserve"/>
      </w:r>
    </w:p>
    <w:p>
      <w:pPr>
        <w:spacing w:after="80" w:before="60"/>
        <w:jc w:val="left"/>
      </w:pPr>
      <w:r>
        <w:rPr>
          <w:rFonts w:ascii="Arial" w:cs="Arial" w:eastAsia="Arial" w:hAnsi="Arial"/>
          <w:color w:val="333333"/>
          <w:sz w:val="22"/>
          <w:szCs w:val="22"/>
        </w:rPr>
        <w:t xml:space="preserve">Injury and health data (sensitive personal data) is subject to the same retention periods as general profile data but is deleted immediately upon withdrawal of explicit consent, except where retention is required by law.</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10.  Your Rights Under KDPA 2019</w:t>
      </w:r>
    </w:p>
    <w:p>
      <w:pPr>
        <w:spacing w:after="80" w:before="60"/>
        <w:jc w:val="left"/>
      </w:pPr>
      <w:r>
        <w:rPr>
          <w:rFonts w:ascii="Arial" w:cs="Arial" w:eastAsia="Arial" w:hAnsi="Arial"/>
          <w:color w:val="333333"/>
          <w:sz w:val="22"/>
          <w:szCs w:val="22"/>
        </w:rPr>
        <w:t xml:space="preserve">As a data subject under the Kenya Data Protection Act 2019, you have the following rights:</w:t>
      </w:r>
    </w:p>
    <w:p>
      <w:pPr>
        <w:pStyle w:val="ListParagraph"/>
        <w:numPr>
          <w:ilvl w:val="0"/>
          <w:numId w:val="2"/>
        </w:numPr>
        <w:spacing w:after="40" w:before="40"/>
      </w:pPr>
      <w:r>
        <w:rPr>
          <w:rFonts w:ascii="Arial" w:cs="Arial" w:eastAsia="Arial" w:hAnsi="Arial"/>
          <w:color w:val="333333"/>
          <w:sz w:val="22"/>
          <w:szCs w:val="22"/>
        </w:rPr>
        <w:t xml:space="preserve">Right to be informed: you have the right to know what personal data we hold about you and how it is used</w:t>
      </w:r>
    </w:p>
    <w:p>
      <w:pPr>
        <w:pStyle w:val="ListParagraph"/>
        <w:numPr>
          <w:ilvl w:val="0"/>
          <w:numId w:val="2"/>
        </w:numPr>
        <w:spacing w:after="40" w:before="40"/>
      </w:pPr>
      <w:r>
        <w:rPr>
          <w:rFonts w:ascii="Arial" w:cs="Arial" w:eastAsia="Arial" w:hAnsi="Arial"/>
          <w:color w:val="333333"/>
          <w:sz w:val="22"/>
          <w:szCs w:val="22"/>
        </w:rPr>
        <w:t xml:space="preserve">Right of access: you may request a copy of the personal data we hold about you</w:t>
      </w:r>
    </w:p>
    <w:p>
      <w:pPr>
        <w:pStyle w:val="ListParagraph"/>
        <w:numPr>
          <w:ilvl w:val="0"/>
          <w:numId w:val="2"/>
        </w:numPr>
        <w:spacing w:after="40" w:before="40"/>
      </w:pPr>
      <w:r>
        <w:rPr>
          <w:rFonts w:ascii="Arial" w:cs="Arial" w:eastAsia="Arial" w:hAnsi="Arial"/>
          <w:color w:val="333333"/>
          <w:sz w:val="22"/>
          <w:szCs w:val="22"/>
        </w:rPr>
        <w:t xml:space="preserve">Right to rectification: you may request correction of inaccurate or incomplete data</w:t>
      </w:r>
    </w:p>
    <w:p>
      <w:pPr>
        <w:pStyle w:val="ListParagraph"/>
        <w:numPr>
          <w:ilvl w:val="0"/>
          <w:numId w:val="2"/>
        </w:numPr>
        <w:spacing w:after="40" w:before="40"/>
      </w:pPr>
      <w:r>
        <w:rPr>
          <w:rFonts w:ascii="Arial" w:cs="Arial" w:eastAsia="Arial" w:hAnsi="Arial"/>
          <w:color w:val="333333"/>
          <w:sz w:val="22"/>
          <w:szCs w:val="22"/>
        </w:rPr>
        <w:t xml:space="preserve">Right to erasure: you may request deletion of your data subject to legal retention obligations</w:t>
      </w:r>
    </w:p>
    <w:p>
      <w:pPr>
        <w:pStyle w:val="ListParagraph"/>
        <w:numPr>
          <w:ilvl w:val="0"/>
          <w:numId w:val="2"/>
        </w:numPr>
        <w:spacing w:after="40" w:before="40"/>
      </w:pPr>
      <w:r>
        <w:rPr>
          <w:rFonts w:ascii="Arial" w:cs="Arial" w:eastAsia="Arial" w:hAnsi="Arial"/>
          <w:color w:val="333333"/>
          <w:sz w:val="22"/>
          <w:szCs w:val="22"/>
        </w:rPr>
        <w:t xml:space="preserve">Right to object: you may object to processing based on legitimate interests</w:t>
      </w:r>
    </w:p>
    <w:p>
      <w:pPr>
        <w:pStyle w:val="ListParagraph"/>
        <w:numPr>
          <w:ilvl w:val="0"/>
          <w:numId w:val="2"/>
        </w:numPr>
        <w:spacing w:after="40" w:before="40"/>
      </w:pPr>
      <w:r>
        <w:rPr>
          <w:rFonts w:ascii="Arial" w:cs="Arial" w:eastAsia="Arial" w:hAnsi="Arial"/>
          <w:color w:val="333333"/>
          <w:sz w:val="22"/>
          <w:szCs w:val="22"/>
        </w:rPr>
        <w:t xml:space="preserve">Right to restrict processing: you may request that we limit how we use your data in certain circumstances</w:t>
      </w:r>
    </w:p>
    <w:p>
      <w:pPr>
        <w:pStyle w:val="ListParagraph"/>
        <w:numPr>
          <w:ilvl w:val="0"/>
          <w:numId w:val="2"/>
        </w:numPr>
        <w:spacing w:after="40" w:before="40"/>
      </w:pPr>
      <w:r>
        <w:rPr>
          <w:rFonts w:ascii="Arial" w:cs="Arial" w:eastAsia="Arial" w:hAnsi="Arial"/>
          <w:color w:val="333333"/>
          <w:sz w:val="22"/>
          <w:szCs w:val="22"/>
        </w:rPr>
        <w:t xml:space="preserve">Right to data portability: you may request your data in a structured, machine-readable format</w:t>
      </w:r>
    </w:p>
    <w:p>
      <w:pPr>
        <w:pStyle w:val="ListParagraph"/>
        <w:numPr>
          <w:ilvl w:val="0"/>
          <w:numId w:val="2"/>
        </w:numPr>
        <w:spacing w:after="40" w:before="40"/>
      </w:pPr>
      <w:r>
        <w:rPr>
          <w:rFonts w:ascii="Arial" w:cs="Arial" w:eastAsia="Arial" w:hAnsi="Arial"/>
          <w:color w:val="333333"/>
          <w:sz w:val="22"/>
          <w:szCs w:val="22"/>
        </w:rPr>
        <w:t xml:space="preserve">Right not to be subject to automated decision-making: you may request human review of any decision made solely by automated means that significantly affects you, including Risk Score generation</w:t>
      </w:r>
    </w:p>
    <w:p>
      <w:pPr>
        <w:pStyle w:val="ListParagraph"/>
        <w:numPr>
          <w:ilvl w:val="0"/>
          <w:numId w:val="2"/>
        </w:numPr>
        <w:spacing w:after="40" w:before="40"/>
      </w:pPr>
      <w:r>
        <w:rPr>
          <w:rFonts w:ascii="Arial" w:cs="Arial" w:eastAsia="Arial" w:hAnsi="Arial"/>
          <w:color w:val="333333"/>
          <w:sz w:val="22"/>
          <w:szCs w:val="22"/>
        </w:rPr>
        <w:t xml:space="preserve">Right to withdraw consent: where processing is based on consent, you may withdraw at any time without affecting the lawfulness of prior processing</w:t>
      </w:r>
    </w:p>
    <w:p>
      <w:pPr>
        <w:spacing w:after="80" w:before="80"/>
      </w:pPr>
      <w:r>
        <w:t xml:space="preserve"/>
      </w:r>
    </w:p>
    <w:p>
      <w:pPr>
        <w:spacing w:after="80" w:before="60"/>
        <w:jc w:val="left"/>
      </w:pPr>
      <w:r>
        <w:rPr>
          <w:rFonts w:ascii="Arial" w:cs="Arial" w:eastAsia="Arial" w:hAnsi="Arial"/>
          <w:color w:val="333333"/>
          <w:sz w:val="22"/>
          <w:szCs w:val="22"/>
        </w:rPr>
        <w:t xml:space="preserve">To exercise any of these rights, contact us at: [INSERT BUSINESS EMAIL]. We will respond within 21 days as required under KDPA. For unresolved complaints, you may contact the Office of the Data Protection Commissioner (ODPC) at www.odpc.go.ke.</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11.  Minors</w:t>
      </w:r>
    </w:p>
    <w:p>
      <w:pPr>
        <w:spacing w:after="80" w:before="60"/>
        <w:jc w:val="left"/>
      </w:pPr>
      <w:r>
        <w:rPr>
          <w:rFonts w:ascii="Arial" w:cs="Arial" w:eastAsia="Arial" w:hAnsi="Arial"/>
          <w:color w:val="333333"/>
          <w:sz w:val="22"/>
          <w:szCs w:val="22"/>
        </w:rPr>
        <w:t xml:space="preserve">Where users under the age of 18 register on the Platform:</w:t>
      </w:r>
    </w:p>
    <w:p>
      <w:pPr>
        <w:pStyle w:val="ListParagraph"/>
        <w:numPr>
          <w:ilvl w:val="0"/>
          <w:numId w:val="2"/>
        </w:numPr>
        <w:spacing w:after="40" w:before="40"/>
      </w:pPr>
      <w:r>
        <w:rPr>
          <w:rFonts w:ascii="Arial" w:cs="Arial" w:eastAsia="Arial" w:hAnsi="Arial"/>
          <w:color w:val="333333"/>
          <w:sz w:val="22"/>
          <w:szCs w:val="22"/>
        </w:rPr>
        <w:t xml:space="preserve">Parental or legal guardian consent is required and must be obtained before registration</w:t>
      </w:r>
    </w:p>
    <w:p>
      <w:pPr>
        <w:pStyle w:val="ListParagraph"/>
        <w:numPr>
          <w:ilvl w:val="0"/>
          <w:numId w:val="2"/>
        </w:numPr>
        <w:spacing w:after="40" w:before="40"/>
      </w:pPr>
      <w:r>
        <w:rPr>
          <w:rFonts w:ascii="Arial" w:cs="Arial" w:eastAsia="Arial" w:hAnsi="Arial"/>
          <w:color w:val="333333"/>
          <w:sz w:val="22"/>
          <w:szCs w:val="22"/>
        </w:rPr>
        <w:t xml:space="preserve">We implement enhanced access controls and data minimisation for minor accounts</w:t>
      </w:r>
    </w:p>
    <w:p>
      <w:pPr>
        <w:pStyle w:val="ListParagraph"/>
        <w:numPr>
          <w:ilvl w:val="0"/>
          <w:numId w:val="2"/>
        </w:numPr>
        <w:spacing w:after="40" w:before="40"/>
      </w:pPr>
      <w:r>
        <w:rPr>
          <w:rFonts w:ascii="Arial" w:cs="Arial" w:eastAsia="Arial" w:hAnsi="Arial"/>
          <w:color w:val="333333"/>
          <w:sz w:val="22"/>
          <w:szCs w:val="22"/>
        </w:rPr>
        <w:t xml:space="preserve">We do not knowingly share minor data with insurance partners under any circumstances</w:t>
      </w:r>
    </w:p>
    <w:p>
      <w:pPr>
        <w:pStyle w:val="ListParagraph"/>
        <w:numPr>
          <w:ilvl w:val="0"/>
          <w:numId w:val="2"/>
        </w:numPr>
        <w:spacing w:after="40" w:before="40"/>
      </w:pPr>
      <w:r>
        <w:rPr>
          <w:rFonts w:ascii="Arial" w:cs="Arial" w:eastAsia="Arial" w:hAnsi="Arial"/>
          <w:color w:val="333333"/>
          <w:sz w:val="22"/>
          <w:szCs w:val="22"/>
        </w:rPr>
        <w:t xml:space="preserve">We do not commercialise personal data of users under 18</w:t>
      </w:r>
    </w:p>
    <w:p>
      <w:pPr>
        <w:spacing w:after="80" w:before="80"/>
      </w:pPr>
      <w:r>
        <w:t xml:space="preserve"/>
      </w:r>
    </w:p>
    <w:p>
      <w:pPr>
        <w:spacing w:after="80" w:before="60"/>
        <w:jc w:val="left"/>
      </w:pPr>
      <w:r>
        <w:rPr>
          <w:rFonts w:ascii="Arial" w:cs="Arial" w:eastAsia="Arial" w:hAnsi="Arial"/>
          <w:color w:val="333333"/>
          <w:sz w:val="22"/>
          <w:szCs w:val="22"/>
        </w:rPr>
        <w:t xml:space="preserve">Parents and guardians may contact us to review, correct, or request deletion of a minor's account data at any time.</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12.  International Data Transfers</w:t>
      </w:r>
    </w:p>
    <w:p>
      <w:pPr>
        <w:spacing w:after="80" w:before="60"/>
        <w:jc w:val="left"/>
      </w:pPr>
      <w:r>
        <w:rPr>
          <w:rFonts w:ascii="Arial" w:cs="Arial" w:eastAsia="Arial" w:hAnsi="Arial"/>
          <w:color w:val="333333"/>
          <w:sz w:val="22"/>
          <w:szCs w:val="22"/>
        </w:rPr>
        <w:t xml:space="preserve">Your data is primarily stored and processed in Kenya. Where data is transferred to or processed in countries outside Kenya (for example, through cloud infrastructure providers), we ensure appropriate safeguards are in place, including:</w:t>
      </w:r>
    </w:p>
    <w:p>
      <w:pPr>
        <w:pStyle w:val="ListParagraph"/>
        <w:numPr>
          <w:ilvl w:val="0"/>
          <w:numId w:val="2"/>
        </w:numPr>
        <w:spacing w:after="40" w:before="40"/>
      </w:pPr>
      <w:r>
        <w:rPr>
          <w:rFonts w:ascii="Arial" w:cs="Arial" w:eastAsia="Arial" w:hAnsi="Arial"/>
          <w:color w:val="333333"/>
          <w:sz w:val="22"/>
          <w:szCs w:val="22"/>
        </w:rPr>
        <w:t xml:space="preserve">Standard contractual clauses binding recipients to KDPA-equivalent data protection standards</w:t>
      </w:r>
    </w:p>
    <w:p>
      <w:pPr>
        <w:pStyle w:val="ListParagraph"/>
        <w:numPr>
          <w:ilvl w:val="0"/>
          <w:numId w:val="2"/>
        </w:numPr>
        <w:spacing w:after="40" w:before="40"/>
      </w:pPr>
      <w:r>
        <w:rPr>
          <w:rFonts w:ascii="Arial" w:cs="Arial" w:eastAsia="Arial" w:hAnsi="Arial"/>
          <w:color w:val="333333"/>
          <w:sz w:val="22"/>
          <w:szCs w:val="22"/>
        </w:rPr>
        <w:t xml:space="preserve">Contractual data protection obligations in all service provider agreements</w:t>
      </w:r>
    </w:p>
    <w:p>
      <w:pPr>
        <w:pStyle w:val="ListParagraph"/>
        <w:numPr>
          <w:ilvl w:val="0"/>
          <w:numId w:val="2"/>
        </w:numPr>
        <w:spacing w:after="40" w:before="40"/>
      </w:pPr>
      <w:r>
        <w:rPr>
          <w:rFonts w:ascii="Arial" w:cs="Arial" w:eastAsia="Arial" w:hAnsi="Arial"/>
          <w:color w:val="333333"/>
          <w:sz w:val="22"/>
          <w:szCs w:val="22"/>
        </w:rPr>
        <w:t xml:space="preserve">Secure, encrypted hosting environments</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13.  Security Measures</w:t>
      </w:r>
    </w:p>
    <w:p>
      <w:pPr>
        <w:spacing w:after="80" w:before="60"/>
        <w:jc w:val="left"/>
      </w:pPr>
      <w:r>
        <w:rPr>
          <w:rFonts w:ascii="Arial" w:cs="Arial" w:eastAsia="Arial" w:hAnsi="Arial"/>
          <w:color w:val="333333"/>
          <w:sz w:val="22"/>
          <w:szCs w:val="22"/>
        </w:rPr>
        <w:t xml:space="preserve">We implement the following technical and organisational safeguards:</w:t>
      </w:r>
    </w:p>
    <w:p>
      <w:pPr>
        <w:pStyle w:val="ListParagraph"/>
        <w:numPr>
          <w:ilvl w:val="0"/>
          <w:numId w:val="2"/>
        </w:numPr>
        <w:spacing w:after="40" w:before="40"/>
      </w:pPr>
      <w:r>
        <w:rPr>
          <w:rFonts w:ascii="Arial" w:cs="Arial" w:eastAsia="Arial" w:hAnsi="Arial"/>
          <w:color w:val="333333"/>
          <w:sz w:val="22"/>
          <w:szCs w:val="22"/>
        </w:rPr>
        <w:t xml:space="preserve">Encryption in transit (HTTPS/TLS) for all data communications</w:t>
      </w:r>
    </w:p>
    <w:p>
      <w:pPr>
        <w:pStyle w:val="ListParagraph"/>
        <w:numPr>
          <w:ilvl w:val="0"/>
          <w:numId w:val="2"/>
        </w:numPr>
        <w:spacing w:after="40" w:before="40"/>
      </w:pPr>
      <w:r>
        <w:rPr>
          <w:rFonts w:ascii="Arial" w:cs="Arial" w:eastAsia="Arial" w:hAnsi="Arial"/>
          <w:color w:val="333333"/>
          <w:sz w:val="22"/>
          <w:szCs w:val="22"/>
        </w:rPr>
        <w:t xml:space="preserve">Firebase security rules enforcing role-based access control</w:t>
      </w:r>
    </w:p>
    <w:p>
      <w:pPr>
        <w:pStyle w:val="ListParagraph"/>
        <w:numPr>
          <w:ilvl w:val="0"/>
          <w:numId w:val="2"/>
        </w:numPr>
        <w:spacing w:after="40" w:before="40"/>
      </w:pPr>
      <w:r>
        <w:rPr>
          <w:rFonts w:ascii="Arial" w:cs="Arial" w:eastAsia="Arial" w:hAnsi="Arial"/>
          <w:color w:val="333333"/>
          <w:sz w:val="22"/>
          <w:szCs w:val="22"/>
        </w:rPr>
        <w:t xml:space="preserve">Authentication and session management controls</w:t>
      </w:r>
    </w:p>
    <w:p>
      <w:pPr>
        <w:pStyle w:val="ListParagraph"/>
        <w:numPr>
          <w:ilvl w:val="0"/>
          <w:numId w:val="2"/>
        </w:numPr>
        <w:spacing w:after="40" w:before="40"/>
      </w:pPr>
      <w:r>
        <w:rPr>
          <w:rFonts w:ascii="Arial" w:cs="Arial" w:eastAsia="Arial" w:hAnsi="Arial"/>
          <w:color w:val="333333"/>
          <w:sz w:val="22"/>
          <w:szCs w:val="22"/>
        </w:rPr>
        <w:t xml:space="preserve">Regular review of Firestore security rules and access permissions</w:t>
      </w:r>
    </w:p>
    <w:p>
      <w:pPr>
        <w:pStyle w:val="ListParagraph"/>
        <w:numPr>
          <w:ilvl w:val="0"/>
          <w:numId w:val="2"/>
        </w:numPr>
        <w:spacing w:after="40" w:before="40"/>
      </w:pPr>
      <w:r>
        <w:rPr>
          <w:rFonts w:ascii="Arial" w:cs="Arial" w:eastAsia="Arial" w:hAnsi="Arial"/>
          <w:color w:val="333333"/>
          <w:sz w:val="22"/>
          <w:szCs w:val="22"/>
        </w:rPr>
        <w:t xml:space="preserve">Monitoring for unauthorised access and anomalous activity</w:t>
      </w:r>
    </w:p>
    <w:p>
      <w:pPr>
        <w:pStyle w:val="ListParagraph"/>
        <w:numPr>
          <w:ilvl w:val="0"/>
          <w:numId w:val="2"/>
        </w:numPr>
        <w:spacing w:after="40" w:before="40"/>
      </w:pPr>
      <w:r>
        <w:rPr>
          <w:rFonts w:ascii="Arial" w:cs="Arial" w:eastAsia="Arial" w:hAnsi="Arial"/>
          <w:color w:val="333333"/>
          <w:sz w:val="22"/>
          <w:szCs w:val="22"/>
        </w:rPr>
        <w:t xml:space="preserve">Cross-referencing of verification data to detect systematic inaccuracies</w:t>
      </w:r>
    </w:p>
    <w:p>
      <w:pPr>
        <w:spacing w:after="80" w:before="80"/>
      </w:pPr>
      <w:r>
        <w:t xml:space="preserve"/>
      </w:r>
    </w:p>
    <w:p>
      <w:pPr>
        <w:spacing w:after="80" w:before="60"/>
        <w:jc w:val="left"/>
      </w:pPr>
      <w:r>
        <w:rPr>
          <w:rFonts w:ascii="Arial" w:cs="Arial" w:eastAsia="Arial" w:hAnsi="Arial"/>
          <w:color w:val="333333"/>
          <w:sz w:val="22"/>
          <w:szCs w:val="22"/>
        </w:rPr>
        <w:t xml:space="preserve">No system can guarantee absolute security. In the event of a personal data breach, we will notify the ODPC within 72 hours of becoming aware, and affected users within a reasonable period, as required under KDPA Section 43.</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14.  Risk Scores and Automated Processing</w:t>
      </w:r>
    </w:p>
    <w:p>
      <w:pPr>
        <w:spacing w:after="80" w:before="60"/>
        <w:jc w:val="left"/>
      </w:pPr>
      <w:r>
        <w:rPr>
          <w:rFonts w:ascii="Arial" w:cs="Arial" w:eastAsia="Arial" w:hAnsi="Arial"/>
          <w:color w:val="333333"/>
          <w:sz w:val="22"/>
          <w:szCs w:val="22"/>
        </w:rPr>
        <w:t xml:space="preserve">The Platform generates Risk Scores and Talent Scores algorithmically from verified performance data. These scores:</w:t>
      </w:r>
    </w:p>
    <w:p>
      <w:pPr>
        <w:pStyle w:val="ListParagraph"/>
        <w:numPr>
          <w:ilvl w:val="0"/>
          <w:numId w:val="2"/>
        </w:numPr>
        <w:spacing w:after="40" w:before="40"/>
      </w:pPr>
      <w:r>
        <w:rPr>
          <w:rFonts w:ascii="Arial" w:cs="Arial" w:eastAsia="Arial" w:hAnsi="Arial"/>
          <w:color w:val="333333"/>
          <w:sz w:val="22"/>
          <w:szCs w:val="22"/>
        </w:rPr>
        <w:t xml:space="preserve">Are informational only and not professional evaluations, certifications, or guarantees</w:t>
      </w:r>
    </w:p>
    <w:p>
      <w:pPr>
        <w:pStyle w:val="ListParagraph"/>
        <w:numPr>
          <w:ilvl w:val="0"/>
          <w:numId w:val="2"/>
        </w:numPr>
        <w:spacing w:after="40" w:before="40"/>
      </w:pPr>
      <w:r>
        <w:rPr>
          <w:rFonts w:ascii="Arial" w:cs="Arial" w:eastAsia="Arial" w:hAnsi="Arial"/>
          <w:color w:val="333333"/>
          <w:sz w:val="22"/>
          <w:szCs w:val="22"/>
        </w:rPr>
        <w:t xml:space="preserve">May be used by insurance partners (with separate consent) as one input into their independent actuarial assessment</w:t>
      </w:r>
    </w:p>
    <w:p>
      <w:pPr>
        <w:pStyle w:val="ListParagraph"/>
        <w:numPr>
          <w:ilvl w:val="0"/>
          <w:numId w:val="2"/>
        </w:numPr>
        <w:spacing w:after="40" w:before="40"/>
      </w:pPr>
      <w:r>
        <w:rPr>
          <w:rFonts w:ascii="Arial" w:cs="Arial" w:eastAsia="Arial" w:hAnsi="Arial"/>
          <w:color w:val="333333"/>
          <w:sz w:val="22"/>
          <w:szCs w:val="22"/>
        </w:rPr>
        <w:t xml:space="preserve">Are not the sole basis for any insurance decision — insurers apply their own independent professional judgment</w:t>
      </w:r>
    </w:p>
    <w:p>
      <w:pPr>
        <w:spacing w:after="80" w:before="80"/>
      </w:pPr>
      <w:r>
        <w:t xml:space="preserve"/>
      </w:r>
    </w:p>
    <w:p>
      <w:pPr>
        <w:spacing w:after="80" w:before="60"/>
        <w:jc w:val="left"/>
      </w:pPr>
      <w:r>
        <w:rPr>
          <w:rFonts w:ascii="Arial" w:cs="Arial" w:eastAsia="Arial" w:hAnsi="Arial"/>
          <w:color w:val="333333"/>
          <w:sz w:val="22"/>
          <w:szCs w:val="22"/>
        </w:rPr>
        <w:t xml:space="preserve">You may request human review of any Risk Score calculation by contacting us. You may also request a plain-language explanation of how your score was calculated, including the specific data inputs and weighting applied.</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15.  Cookies</w:t>
      </w:r>
    </w:p>
    <w:p>
      <w:pPr>
        <w:spacing w:after="80" w:before="60"/>
        <w:jc w:val="left"/>
      </w:pPr>
      <w:r>
        <w:rPr>
          <w:rFonts w:ascii="Arial" w:cs="Arial" w:eastAsia="Arial" w:hAnsi="Arial"/>
          <w:color w:val="333333"/>
          <w:sz w:val="22"/>
          <w:szCs w:val="22"/>
        </w:rPr>
        <w:t xml:space="preserve">The Platform uses cookies and similar technologies to maintain sessions, improve performance, and monitor security. A full Cookie Policy is available within the Platform settings. You may manage cookie preferences through your browser settings, though disabling certain cookies may affect Platform functionality.</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16.  Changes to This Policy</w:t>
      </w:r>
    </w:p>
    <w:p>
      <w:pPr>
        <w:spacing w:after="80" w:before="60"/>
        <w:jc w:val="left"/>
      </w:pPr>
      <w:r>
        <w:rPr>
          <w:rFonts w:ascii="Arial" w:cs="Arial" w:eastAsia="Arial" w:hAnsi="Arial"/>
          <w:color w:val="333333"/>
          <w:sz w:val="22"/>
          <w:szCs w:val="22"/>
        </w:rPr>
        <w:t xml:space="preserve">We may update this Privacy Policy periodically. Where changes are material, we will provide at least 14 days' notice through in-Platform notifications and email (where registered). Continued use after the effective date of updated terms constitutes acceptance.</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17.  Contact and Complaints</w:t>
      </w:r>
    </w:p>
    <w:p>
      <w:pPr>
        <w:spacing w:after="80" w:before="60"/>
        <w:jc w:val="left"/>
      </w:pPr>
      <w:r>
        <w:rPr>
          <w:rFonts w:ascii="Arial" w:cs="Arial" w:eastAsia="Arial" w:hAnsi="Arial"/>
          <w:color w:val="333333"/>
          <w:sz w:val="22"/>
          <w:szCs w:val="22"/>
        </w:rPr>
        <w:t xml:space="preserve">Verve Vigor Limited — Talent Graph</w:t>
      </w:r>
    </w:p>
    <w:p>
      <w:pPr>
        <w:spacing w:after="80" w:before="60"/>
        <w:jc w:val="left"/>
      </w:pPr>
      <w:r>
        <w:rPr>
          <w:rFonts w:ascii="Arial" w:cs="Arial" w:eastAsia="Arial" w:hAnsi="Arial"/>
          <w:b/>
          <w:bCs/>
          <w:color w:val="CC0000"/>
          <w:sz w:val="22"/>
          <w:szCs w:val="22"/>
        </w:rPr>
        <w:t xml:space="preserve">Data Protection Contact: [INSERT BUSINESS EMAIL BEFORE PUBLISHING]</w:t>
      </w:r>
    </w:p>
    <w:p>
      <w:pPr>
        <w:spacing w:after="80" w:before="60"/>
        <w:jc w:val="left"/>
      </w:pPr>
      <w:r>
        <w:rPr>
          <w:rFonts w:ascii="Arial" w:cs="Arial" w:eastAsia="Arial" w:hAnsi="Arial"/>
          <w:b/>
          <w:bCs/>
          <w:color w:val="CC0000"/>
          <w:sz w:val="22"/>
          <w:szCs w:val="22"/>
        </w:rPr>
        <w:t xml:space="preserve">ODPC Registration Number: [INSERT UPON REGISTRATION]</w:t>
      </w:r>
    </w:p>
    <w:p>
      <w:pPr>
        <w:spacing w:after="80" w:before="60"/>
        <w:jc w:val="left"/>
      </w:pPr>
      <w:r>
        <w:rPr>
          <w:rFonts w:ascii="Arial" w:cs="Arial" w:eastAsia="Arial" w:hAnsi="Arial"/>
          <w:color w:val="333333"/>
          <w:sz w:val="22"/>
          <w:szCs w:val="22"/>
        </w:rPr>
        <w:t xml:space="preserve">Office of the Data Protection Commissioner (ODPC): www.odpc.go.ke</w:t>
      </w:r>
    </w:p>
    <w:p>
      <w:pPr>
        <w:spacing w:after="80" w:before="80"/>
      </w:pPr>
      <w:r>
        <w:t xml:space="preserve"/>
      </w:r>
    </w:p>
    <w:p>
      <w:pPr>
        <w:pBdr>
          <w:bottom w:val="single" w:color="CCCCCC" w:sz="4" w:space="1"/>
        </w:pBdr>
        <w:spacing w:after="200" w:before="200"/>
      </w:pPr>
    </w:p>
    <w:p>
      <w:pPr>
        <w:spacing w:after="80" w:before="60"/>
        <w:jc w:val="left"/>
      </w:pPr>
      <w:r>
        <w:rPr>
          <w:rFonts w:ascii="Arial" w:cs="Arial" w:eastAsia="Arial" w:hAnsi="Arial"/>
          <w:i/>
          <w:iCs/>
          <w:color w:val="888888"/>
          <w:sz w:val="22"/>
          <w:szCs w:val="22"/>
        </w:rPr>
        <w:t xml:space="preserve">This Privacy Policy was last reviewed and updated on June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Arial" w:cs="Arial" w:eastAsia="Arial" w:hAnsi="Arial"/>
      <w:b/>
      <w:bCs/>
      <w:color w:val="1A1A1A"/>
      <w:sz w:val="34"/>
      <w:szCs w:val="34"/>
    </w:rPr>
  </w:style>
  <w:style w:type="paragraph" w:styleId="Heading2">
    <w:name w:val="Heading 2"/>
    <w:basedOn w:val="Normal"/>
    <w:next w:val="Normal"/>
    <w:qFormat/>
    <w:pPr>
      <w:spacing w:after="100" w:before="280"/>
    </w:pPr>
    <w:rPr>
      <w:rFonts w:ascii="Arial" w:cs="Arial" w:eastAsia="Arial" w:hAnsi="Arial"/>
      <w:b/>
      <w:bCs/>
      <w:color w:val="1A1A1A"/>
      <w:sz w:val="24"/>
      <w:szCs w:val="24"/>
    </w:rPr>
  </w:style>
  <w:style w:type="paragraph" w:styleId="Heading3">
    <w:name w:val="Heading 3"/>
    <w:basedOn w:val="Normal"/>
    <w:next w:val="Normal"/>
    <w:qFormat/>
    <w:pPr>
      <w:spacing w:after="80" w:before="200"/>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2026-06-02T16:44:03.038Z</dcterms:created>
  <dcterms:modified xsi:type="dcterms:W3CDTF">2026-06-02T16:44:03.038Z</dcterms:modified>
</cp:coreProperties>
</file>

<file path=docProps/custom.xml><?xml version="1.0" encoding="utf-8"?>
<Properties xmlns="http://schemas.openxmlformats.org/officeDocument/2006/custom-properties" xmlns:vt="http://schemas.openxmlformats.org/officeDocument/2006/docPropsVTypes"/>
</file>