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Grace in the Book of Romans</w:t>
      </w:r>
    </w:p>
    <w:p>
      <w:pPr>
        <w:jc w:val="both"/>
      </w:pPr>
      <w:r>
        <w:t>Paul's letter to the Romans has shaped Christian thinking about grace for centuries. Many readers of the bible have found in it a summary of the gospel, and this Biblical theme deserves careful study. Jeremiah chapter 31 anticipates this new covenant, and Paul draws on the same hope.</w:t>
      </w:r>
      <w:r>
        <w:rPr>
          <w:vertAlign w:val="superscript"/>
        </w:rPr>
        <w:footnoteReference w:id="1"/>
      </w:r>
    </w:p>
    <w:p>
      <w:pPr>
        <w:jc w:val="both"/>
      </w:pPr>
      <w:r>
        <w:t>Paul insists that righteousness comes through faith (Rom. 3:22 NIV). He also says that God shows his love in that while we were still sinners, Christ died for us (Rom 5:8). In the gospel of John the same theme appears (Jn 3:16), and Ps 23 speaks of God's care.</w:t>
      </w:r>
      <w:r>
        <w:rPr>
          <w:vertAlign w:val="superscript"/>
        </w:rPr>
        <w:footnoteReference w:id="2"/>
      </w:r>
    </w:p>
    <w:p>
      <w:pPr>
        <w:pStyle w:val="Heading2"/>
      </w:pPr>
      <w:r>
        <w:t>The Meaning of Justification</w:t>
      </w:r>
    </w:p>
    <w:p>
      <w:pPr>
        <w:jc w:val="both"/>
      </w:pPr>
      <w:r>
        <w:t>Douglas Moo writes, “Justification in Paul is a forensic declaration, a verdict that God pronounces over the sinner who believes, and it rests not on any quality in the believer but entirely on the work of Christ, whose obedience and death provide the ground on which God can be both just and the justifier of the one who has faith in Jesus; this verdict, rendered now in anticipation of the final judgment, gives the believer peace with God and a secure hope that nothing in all creation will be able to separate him or her from the love of God that is in Christ Jesus our Lord.” This long quotation should be a block quotation.</w:t>
      </w:r>
      <w:r>
        <w:rPr>
          <w:vertAlign w:val="superscript"/>
        </w:rPr>
        <w:footnoteReference w:id="3"/>
      </w:r>
      <w:r>
        <w:rPr>
          <w:vertAlign w:val="superscript"/>
        </w:rPr>
        <w:footnoteReference w:id="4"/>
      </w:r>
    </w:p>
    <w:p>
      <w:pPr>
        <w:jc w:val="both"/>
      </w:pPr>
      <w:r>
        <w:t>In verses 8-10 Paul draws the conclusion that salvation is a gift (verses 8-10).</w:t>
      </w:r>
    </w:p>
    <w:p>
      <w:r>
        <w:br w:type="page"/>
      </w:r>
    </w:p>
    <w:p>
      <w:r>
        <w:t>Bibliography</w:t>
      </w:r>
    </w:p>
    <w:p>
      <w:r>
        <w:t>Segal, Benjamin J. A New Psalm: The Psalms as Literature. Jerusalem: Gefen Publishing House, 2013.</w:t>
      </w:r>
    </w:p>
    <w:p>
      <w:r>
        <w:t>Klein, William W. “Exegetical Rigor with Hermeneutical Humility.” In New Testament Greek and Exegesis, edited by Amy M. Donaldson and Timothy B. Sailors, 23-36. Grand Rapids: Eerdmans, 2003.</w:t>
      </w:r>
    </w:p>
    <w:p>
      <w:r>
        <w:t>The Holy Bible: New International Version. Grand Rapids: Zondervan, 2011.</w:t>
      </w:r>
    </w:p>
    <w:p>
      <w:r>
        <w:t>Merriam-Webster. s.v. “grace.” Accessed October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rPr>
          <w:vertAlign w:val="superscript"/>
        </w:rPr>
        <w:footnoteRef/>
      </w:r>
      <w:r>
        <w:rPr>
          <w:sz w:val="24"/>
        </w:rPr>
        <w:t xml:space="preserve"> </w:t>
      </w:r>
      <w:r>
        <w:rPr>
          <w:sz w:val="24"/>
        </w:rPr>
        <w:t xml:space="preserve">Benjamin J. Segal, </w:t>
      </w:r>
      <w:r>
        <w:rPr>
          <w:sz w:val="24"/>
          <w:i/>
        </w:rPr>
        <w:t xml:space="preserve">A New Psalm: The Psalms as Literature</w:t>
      </w:r>
      <w:r>
        <w:rPr>
          <w:sz w:val="24"/>
        </w:rPr>
        <w:t xml:space="preserve"> (Jerusalem: Gefen Publishing House, 2013), 25.</w:t>
      </w:r>
    </w:p>
  </w:footnote>
  <w:footnote w:id="2">
    <w:p>
      <w:r>
        <w:rPr>
          <w:vertAlign w:val="superscript"/>
        </w:rPr>
        <w:footnoteRef/>
      </w:r>
      <w:r>
        <w:rPr>
          <w:sz w:val="24"/>
        </w:rPr>
        <w:t xml:space="preserve"> </w:t>
      </w:r>
      <w:r>
        <w:rPr>
          <w:sz w:val="24"/>
        </w:rPr>
        <w:t xml:space="preserve">ibid., 642–643</w:t>
      </w:r>
    </w:p>
  </w:footnote>
  <w:footnote w:id="3">
    <w:p>
      <w:r>
        <w:rPr>
          <w:vertAlign w:val="superscript"/>
        </w:rPr>
        <w:footnoteRef/>
      </w:r>
      <w:r>
        <w:rPr>
          <w:sz w:val="24"/>
        </w:rPr>
        <w:t xml:space="preserve"> </w:t>
      </w:r>
      <w:r>
        <w:rPr>
          <w:sz w:val="24"/>
        </w:rPr>
        <w:t xml:space="preserve">Douglas J. Moo, </w:t>
      </w:r>
      <w:r>
        <w:rPr>
          <w:sz w:val="24"/>
          <w:i/>
        </w:rPr>
        <w:t xml:space="preserve">The Letter to the Romans</w:t>
      </w:r>
      <w:r>
        <w:rPr>
          <w:sz w:val="24"/>
        </w:rPr>
        <w:t xml:space="preserve">, 2nd ed. (Grand Rapids: Eerdmans, 2018), 1,234.</w:t>
      </w:r>
    </w:p>
  </w:footnote>
  <w:footnote w:id="4">
    <w:p>
      <w:r>
        <w:rPr>
          <w:vertAlign w:val="superscript"/>
        </w:rPr>
        <w:footnoteRef/>
      </w:r>
      <w:r>
        <w:rPr>
          <w:sz w:val="24"/>
        </w:rPr>
        <w:t xml:space="preserve"> </w:t>
      </w:r>
      <w:r>
        <w:rPr>
          <w:sz w:val="24"/>
          <w:i/>
        </w:rPr>
        <w:t xml:space="preserve">Ibid</w:t>
      </w:r>
      <w:r>
        <w:rPr>
          <w:sz w:val="24"/>
        </w:rPr>
        <w:t xml:space="preserve">, 43.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