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Arial" w:hAnsi="Arial"/>
          <w:b/>
          <w:i w:val="0"/>
          <w:color w:val="1F497D"/>
          <w:sz w:val="44"/>
        </w:rPr>
        <w:t>THREAT INTELLIGENCE REPORT</w:t>
      </w:r>
    </w:p>
    <w:p>
      <w:pPr>
        <w:jc w:val="center"/>
      </w:pPr>
      <w:r>
        <w:rPr>
          <w:rFonts w:ascii="Arial" w:hAnsi="Arial"/>
          <w:b/>
          <w:i w:val="0"/>
          <w:color w:val="C00000"/>
          <w:sz w:val="32"/>
        </w:rPr>
        <w:t>LockBit Ransomware-as-a-Service</w:t>
      </w:r>
    </w:p>
    <w:p>
      <w:pPr>
        <w:jc w:val="center"/>
      </w:pPr>
      <w:r>
        <w:rPr>
          <w:rFonts w:ascii="Arial" w:hAnsi="Arial"/>
          <w:b w:val="0"/>
          <w:i w:val="0"/>
          <w:color w:val="606060"/>
          <w:sz w:val="20"/>
        </w:rPr>
        <w:t>TLP: WHITE  |  Classification: UNCLASSIFIED  |  Date: May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Report Author: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Threat Intelligence Team</w:t>
            </w:r>
          </w:p>
        </w:tc>
      </w:tr>
      <w:tr>
        <w:tc>
          <w:tcPr>
            <w:tcW w:type="dxa" w:w="4680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Threat Actor: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LockBit (G0125)</w:t>
            </w:r>
          </w:p>
        </w:tc>
      </w:tr>
      <w:tr>
        <w:tc>
          <w:tcPr>
            <w:tcW w:type="dxa" w:w="4680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Severity Rating: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CRITICAL</w:t>
            </w:r>
          </w:p>
        </w:tc>
      </w:tr>
      <w:tr>
        <w:tc>
          <w:tcPr>
            <w:tcW w:type="dxa" w:w="4680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Prepared For: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Enterprise Security Operations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Arial" w:hAnsi="Arial"/>
          <w:b/>
          <w:i w:val="0"/>
          <w:color w:val="1F497D"/>
          <w:sz w:val="28"/>
        </w:rPr>
        <w:t>1. Executive Summary</w:t>
      </w:r>
    </w:p>
    <w:p>
      <w:pPr>
        <w:spacing w:before="40" w:after="80"/>
      </w:pPr>
      <w:r>
        <w:rPr>
          <w:rFonts w:ascii="Arial" w:hAnsi="Arial"/>
          <w:b w:val="0"/>
          <w:i w:val="0"/>
          <w:sz w:val="21"/>
        </w:rPr>
        <w:t>LockBit is the world's most prolific Ransomware-as-a-Service (RaaS) operation, active since January 2020 and responsible for thousands of confirmed victim organizations across virtually every industry sector and geography. Operating as a criminal franchise, LockBit recruits independent affiliates who carry out intrusions and deploy ransomware in exchange for a share of ransom proceeds. Despite a significant law enforcement disruption in February 2024 (Operation Cronos), the group reconstituted rapidly and by late 2024 had returned to near pre-takedown activity levels. As of 2025, LockBit 5.0 is the active variant, expanding targeting to ESXi/VMware environments and cloud infrastructure. The primary risk to enterprise organizations is threefold: operational disruption via encryption of critical systems, financial extortion through ransom demands averaging $1M-$10M+, and reputational damage via double-extortion data leak sites. All sectors are at risk; no organization is too large or too small to be targeted.</w:t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Arial" w:hAnsi="Arial"/>
          <w:b/>
          <w:i w:val="0"/>
          <w:color w:val="1F497D"/>
          <w:sz w:val="28"/>
        </w:rPr>
        <w:t>2. Actor Profile</w:t>
      </w:r>
    </w:p>
    <w:p>
      <w:pPr>
        <w:spacing w:before="160" w:after="40"/>
      </w:pPr>
      <w:r>
        <w:rPr>
          <w:rFonts w:ascii="Arial" w:hAnsi="Arial"/>
          <w:b/>
          <w:i w:val="0"/>
          <w:color w:val="2E74B5"/>
          <w:sz w:val="24"/>
        </w:rPr>
        <w:t>2.1 Classification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Type: Financially motivated cybercriminal organization (RaaS operator)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Nation-state affiliation: None confirmed; believed to be operated by Russian-speaking actors based on CIS-country exclusion list embedded in malware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First observed: September 2019 (as 'ABCD' ransomware); rebranded to LockBit in January 2020</w:t>
      </w:r>
    </w:p>
    <w:p>
      <w:pPr>
        <w:spacing w:before="160" w:after="40"/>
      </w:pPr>
      <w:r>
        <w:rPr>
          <w:rFonts w:ascii="Arial" w:hAnsi="Arial"/>
          <w:b/>
          <w:i w:val="0"/>
          <w:color w:val="2E74B5"/>
          <w:sz w:val="24"/>
        </w:rPr>
        <w:t>2.2 Known Aliases &amp; Variants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Alias / Variant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Period Active</w:t>
            </w:r>
          </w:p>
        </w:tc>
        <w:tc>
          <w:tcPr>
            <w:tcW w:type="dxa" w:w="403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ABCD Ransomware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Sept 2019</w:t>
            </w:r>
          </w:p>
        </w:tc>
        <w:tc>
          <w:tcPr>
            <w:tcW w:type="dxa" w:w="403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Proto-variant; renamed to LockBit</w:t>
            </w:r>
          </w:p>
        </w:tc>
      </w:tr>
      <w:tr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LockBit 1.0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Jan 2020 – June 2021</w:t>
            </w:r>
          </w:p>
        </w:tc>
        <w:tc>
          <w:tcPr>
            <w:tcW w:type="dxa" w:w="403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Initial RaaS launch</w:t>
            </w:r>
          </w:p>
        </w:tc>
      </w:tr>
      <w:tr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LockBit 2.0 (Red)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June 2021 – June 2022</w:t>
            </w:r>
          </w:p>
        </w:tc>
        <w:tc>
          <w:tcPr>
            <w:tcW w:type="dxa" w:w="403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StealBit exfil tool introduced; affiliate portal</w:t>
            </w:r>
          </w:p>
        </w:tc>
      </w:tr>
      <w:tr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LockBit 3.0 (Black)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June 2022 – 2024</w:t>
            </w:r>
          </w:p>
        </w:tc>
        <w:tc>
          <w:tcPr>
            <w:tcW w:type="dxa" w:w="403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Bug bounty program; code similarities to BlackMatter/BlackCat</w:t>
            </w:r>
          </w:p>
        </w:tc>
      </w:tr>
      <w:tr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LockBit 4.0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Late 2024 (preview)</w:t>
            </w:r>
          </w:p>
        </w:tc>
        <w:tc>
          <w:tcPr>
            <w:tcW w:type="dxa" w:w="403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Roadmap partially leaked during Operation Cronos seizure</w:t>
            </w:r>
          </w:p>
        </w:tc>
      </w:tr>
      <w:tr>
        <w:tc>
          <w:tcPr>
            <w:tcW w:type="dxa" w:w="288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LockBit 5.0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2025 – Present</w:t>
            </w:r>
          </w:p>
        </w:tc>
        <w:tc>
          <w:tcPr>
            <w:tcW w:type="dxa" w:w="403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Active variant; ESXi targeting; anti-forensics; cloud support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i w:val="0"/>
          <w:color w:val="2E74B5"/>
          <w:sz w:val="24"/>
        </w:rPr>
        <w:t>2.3 Associated Malware Families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StealBit — custom exfiltration tool developed by LockBit core team for data theft prior to encryption (MITRE S1200)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Cobalt Strike — widely used by affiliates for post-exploitation, C2 beaconing, and lateral movement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Mimikatz — credential harvesting from LSASS memory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PsExec / WMI — remote execution for lateral movement and ransomware deployment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GMER / Process Hacker — defense evasion; used to terminate AV/EDR processes</w:t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Arial" w:hAnsi="Arial"/>
          <w:b/>
          <w:i w:val="0"/>
          <w:color w:val="1F497D"/>
          <w:sz w:val="28"/>
        </w:rPr>
        <w:t>3. Targeting</w:t>
      </w:r>
    </w:p>
    <w:p>
      <w:pPr>
        <w:spacing w:before="160" w:after="40"/>
      </w:pPr>
      <w:r>
        <w:rPr>
          <w:rFonts w:ascii="Arial" w:hAnsi="Arial"/>
          <w:b/>
          <w:i w:val="0"/>
          <w:color w:val="2E74B5"/>
          <w:sz w:val="24"/>
        </w:rPr>
        <w:t>3.1 Industries Targeted</w:t>
      </w:r>
    </w:p>
    <w:p>
      <w:pPr>
        <w:spacing w:before="40" w:after="80"/>
      </w:pPr>
      <w:r>
        <w:rPr>
          <w:rFonts w:ascii="Arial" w:hAnsi="Arial"/>
          <w:b w:val="0"/>
          <w:i w:val="0"/>
          <w:sz w:val="21"/>
        </w:rPr>
        <w:t>LockBit conducts opportunistic, broad-spectrum targeting with no industry off-limits. Highest-impact sectors based on confirmed victims include: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Industry</w:t>
            </w:r>
          </w:p>
        </w:tc>
        <w:tc>
          <w:tcPr>
            <w:tcW w:type="dxa" w:w="3120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Risk Level</w:t>
            </w:r>
          </w:p>
        </w:tc>
        <w:tc>
          <w:tcPr>
            <w:tcW w:type="dxa" w:w="3120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20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Healthcare &amp; Hospitals</w:t>
            </w:r>
          </w:p>
        </w:tc>
        <w:tc>
          <w:tcPr>
            <w:tcW w:type="dxa" w:w="3120"/>
            <w:shd w:val="clear" w:color="auto" w:fill="FFE0E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HIGH</w:t>
            </w:r>
          </w:p>
        </w:tc>
        <w:tc>
          <w:tcPr>
            <w:tcW w:type="dxa" w:w="3120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Patient data, operational disruption leverage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Financial Services</w:t>
            </w:r>
          </w:p>
        </w:tc>
        <w:tc>
          <w:tcPr>
            <w:tcW w:type="dxa" w:w="3120"/>
            <w:shd w:val="clear" w:color="auto" w:fill="FFE0E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HIGH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Sensitive data, high ransom capacity</w:t>
            </w:r>
          </w:p>
        </w:tc>
      </w:tr>
      <w:tr>
        <w:tc>
          <w:tcPr>
            <w:tcW w:type="dxa" w:w="3120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Manufacturing</w:t>
            </w:r>
          </w:p>
        </w:tc>
        <w:tc>
          <w:tcPr>
            <w:tcW w:type="dxa" w:w="3120"/>
            <w:shd w:val="clear" w:color="auto" w:fill="FFE0E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HIGH</w:t>
            </w:r>
          </w:p>
        </w:tc>
        <w:tc>
          <w:tcPr>
            <w:tcW w:type="dxa" w:w="3120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OT/ICS disruption risk; lean on uptime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Government / Public Sector</w:t>
            </w:r>
          </w:p>
        </w:tc>
        <w:tc>
          <w:tcPr>
            <w:tcW w:type="dxa" w:w="3120"/>
            <w:shd w:val="clear" w:color="auto" w:fill="FFE0E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HIGH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High-profile, public pressure on payment</w:t>
            </w:r>
          </w:p>
        </w:tc>
      </w:tr>
      <w:tr>
        <w:tc>
          <w:tcPr>
            <w:tcW w:type="dxa" w:w="3120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Legal &amp; Professional Services</w:t>
            </w:r>
          </w:p>
        </w:tc>
        <w:tc>
          <w:tcPr>
            <w:tcW w:type="dxa" w:w="3120"/>
            <w:shd w:val="clear" w:color="auto" w:fill="FFF3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MEDIUM</w:t>
            </w:r>
          </w:p>
        </w:tc>
        <w:tc>
          <w:tcPr>
            <w:tcW w:type="dxa" w:w="3120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Confidential client data leverage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Education</w:t>
            </w:r>
          </w:p>
        </w:tc>
        <w:tc>
          <w:tcPr>
            <w:tcW w:type="dxa" w:w="3120"/>
            <w:shd w:val="clear" w:color="auto" w:fill="FFF3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MEDIUM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Low defenses, high data sensitivity</w:t>
            </w:r>
          </w:p>
        </w:tc>
      </w:tr>
      <w:tr>
        <w:tc>
          <w:tcPr>
            <w:tcW w:type="dxa" w:w="3120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Retail / Hospitality</w:t>
            </w:r>
          </w:p>
        </w:tc>
        <w:tc>
          <w:tcPr>
            <w:tcW w:type="dxa" w:w="3120"/>
            <w:shd w:val="clear" w:color="auto" w:fill="FFF3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MEDIUM</w:t>
            </w:r>
          </w:p>
        </w:tc>
        <w:tc>
          <w:tcPr>
            <w:tcW w:type="dxa" w:w="3120"/>
            <w:shd w:val="clear" w:color="auto" w:fill="F9F9F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POS data, seasonal leverage windows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i w:val="0"/>
          <w:color w:val="2E74B5"/>
          <w:sz w:val="24"/>
        </w:rPr>
        <w:t>3.2 Geographic Focus</w:t>
      </w:r>
    </w:p>
    <w:p>
      <w:pPr>
        <w:spacing w:before="40" w:after="80"/>
      </w:pPr>
      <w:r>
        <w:rPr>
          <w:rFonts w:ascii="Arial" w:hAnsi="Arial"/>
          <w:b w:val="0"/>
          <w:i w:val="0"/>
          <w:sz w:val="21"/>
        </w:rPr>
        <w:t>LockBit targets organizations globally. The malware's configuration explicitly excludes Commonwealth of Independent States (CIS) countries (Russia, Belarus, Ukraine, Kazakhstan, etc.), a strong indicator of operator geography. Primary victim concentrations: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United States — highest volume of confirmed victims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Western Europe — UK, Germany, France, Italy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Asia-Pacific — Australia, Japan, Singapore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Canada and Latin America — growing target set</w:t>
      </w:r>
    </w:p>
    <w:p>
      <w:pPr>
        <w:spacing w:before="160" w:after="40"/>
      </w:pPr>
      <w:r>
        <w:rPr>
          <w:rFonts w:ascii="Arial" w:hAnsi="Arial"/>
          <w:b/>
          <w:i w:val="0"/>
          <w:color w:val="2E74B5"/>
          <w:sz w:val="24"/>
        </w:rPr>
        <w:t>3.3 Victim Profile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Mid-to-large enterprises (500+ employees) are primary targets due to higher ransom capacity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Organizations with internet-facing RDP, VPN appliances, or unpatched public-facing applications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Victims with known cyber insurance — affiliates research coverage before setting ransom amounts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Organizations with known operational dependencies on IT systems (healthcare, manufacturing)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Arial" w:hAnsi="Arial"/>
          <w:b/>
          <w:i w:val="0"/>
          <w:color w:val="1F497D"/>
          <w:sz w:val="28"/>
        </w:rPr>
        <w:t>4. Tactics, Techniques, and Procedures (TTPs)</w:t>
      </w:r>
    </w:p>
    <w:p>
      <w:pPr>
        <w:spacing w:before="40" w:after="80"/>
      </w:pPr>
      <w:r>
        <w:rPr>
          <w:rFonts w:ascii="Arial" w:hAnsi="Arial"/>
          <w:b w:val="0"/>
          <w:i w:val="0"/>
          <w:sz w:val="21"/>
        </w:rPr>
        <w:t>All TTPs mapped to MITRE ATT&amp;CK Enterprise framework. LockBit affiliates vary in tooling; the techniques below represent the most commonly observed across confirmed incidents.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Tactic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Technique</w:t>
            </w:r>
          </w:p>
        </w:tc>
        <w:tc>
          <w:tcPr>
            <w:tcW w:type="dxa" w:w="12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ATT&amp;CK ID</w:t>
            </w:r>
          </w:p>
        </w:tc>
        <w:tc>
          <w:tcPr>
            <w:tcW w:type="dxa" w:w="39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Initial Access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Exploit Public-Facing Application</w:t>
            </w:r>
          </w:p>
        </w:tc>
        <w:tc>
          <w:tcPr>
            <w:tcW w:type="dxa" w:w="12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T1190</w:t>
            </w:r>
          </w:p>
        </w:tc>
        <w:tc>
          <w:tcPr>
            <w:tcW w:type="dxa" w:w="39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Exploitation of VPN appliances (Fortinet, Citrix), RDP brute-force, and web application vulnerabilities (e.g., CVE-2023-4966 Citrix Bleed)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Initial Access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Phishing — Spearphishing Attachment</w:t>
            </w:r>
          </w:p>
        </w:tc>
        <w:tc>
          <w:tcPr>
            <w:tcW w:type="dxa" w:w="12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/>
                <w:i w:val="0"/>
                <w:sz w:val="18"/>
              </w:rPr>
              <w:t>T1566.001</w:t>
            </w:r>
          </w:p>
        </w:tc>
        <w:tc>
          <w:tcPr>
            <w:tcW w:type="dxa" w:w="39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Malicious Word/Excel documents with macro droppers; job-application themed lures observed in LockBit 3.0 campaigns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Initial Access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Valid Accounts</w:t>
            </w:r>
          </w:p>
        </w:tc>
        <w:tc>
          <w:tcPr>
            <w:tcW w:type="dxa" w:w="12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T1078</w:t>
            </w:r>
          </w:p>
        </w:tc>
        <w:tc>
          <w:tcPr>
            <w:tcW w:type="dxa" w:w="39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Purchased or stolen credentials from initial access brokers (IABs) on darknet forums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Execution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PowerShell</w:t>
            </w:r>
          </w:p>
        </w:tc>
        <w:tc>
          <w:tcPr>
            <w:tcW w:type="dxa" w:w="12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/>
                <w:i w:val="0"/>
                <w:sz w:val="18"/>
              </w:rPr>
              <w:t>T1059.001</w:t>
            </w:r>
          </w:p>
        </w:tc>
        <w:tc>
          <w:tcPr>
            <w:tcW w:type="dxa" w:w="39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PowerShell with Base64 encoding used for payload delivery, C2 communication, and execution of Cobalt Strike stagers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Execution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Windows Management Instrumentation</w:t>
            </w:r>
          </w:p>
        </w:tc>
        <w:tc>
          <w:tcPr>
            <w:tcW w:type="dxa" w:w="12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T1047</w:t>
            </w:r>
          </w:p>
        </w:tc>
        <w:tc>
          <w:tcPr>
            <w:tcW w:type="dxa" w:w="39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WMI used for remote execution and lateral movement across domain-joined systems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Persistence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Boot / Logon Autostart — Registry Run Keys</w:t>
            </w:r>
          </w:p>
        </w:tc>
        <w:tc>
          <w:tcPr>
            <w:tcW w:type="dxa" w:w="12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/>
                <w:i w:val="0"/>
                <w:sz w:val="18"/>
              </w:rPr>
              <w:t>T1547.001</w:t>
            </w:r>
          </w:p>
        </w:tc>
        <w:tc>
          <w:tcPr>
            <w:tcW w:type="dxa" w:w="39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Ransomware binary registered in HKLM\SOFTWARE\Microsoft\Windows\CurrentVersion\Run for persistence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Privilege Escalation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Valid Accounts — Local Accounts</w:t>
            </w:r>
          </w:p>
        </w:tc>
        <w:tc>
          <w:tcPr>
            <w:tcW w:type="dxa" w:w="12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T1078.003</w:t>
            </w:r>
          </w:p>
        </w:tc>
        <w:tc>
          <w:tcPr>
            <w:tcW w:type="dxa" w:w="39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LockBit 3.0 attempts privilege escalation using hardcoded credential lists compiled at build time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Defense Evasion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Impair Defenses — Disable or Modify Tools</w:t>
            </w:r>
          </w:p>
        </w:tc>
        <w:tc>
          <w:tcPr>
            <w:tcW w:type="dxa" w:w="12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/>
                <w:i w:val="0"/>
                <w:sz w:val="18"/>
              </w:rPr>
              <w:t>T1562.001</w:t>
            </w:r>
          </w:p>
        </w:tc>
        <w:tc>
          <w:tcPr>
            <w:tcW w:type="dxa" w:w="39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Terminates AV/EDR processes using GMER, Process Hacker, or custom kill scripts targeting 40+ security products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Defense Evasion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Indicator Removal — Clear Windows Event Logs</w:t>
            </w:r>
          </w:p>
        </w:tc>
        <w:tc>
          <w:tcPr>
            <w:tcW w:type="dxa" w:w="12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T1070.001</w:t>
            </w:r>
          </w:p>
        </w:tc>
        <w:tc>
          <w:tcPr>
            <w:tcW w:type="dxa" w:w="39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Deletes Windows Event Logs, shadow copies, and recycle bin contents pre-encryption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Defense Evasion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Obfuscated Files or Information</w:t>
            </w:r>
          </w:p>
        </w:tc>
        <w:tc>
          <w:tcPr>
            <w:tcW w:type="dxa" w:w="12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/>
                <w:i w:val="0"/>
                <w:sz w:val="18"/>
              </w:rPr>
              <w:t>T1027</w:t>
            </w:r>
          </w:p>
        </w:tc>
        <w:tc>
          <w:tcPr>
            <w:tcW w:type="dxa" w:w="39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LockBit 5.0 patches EtwEventWrite API to disable Windows Event Tracing for Windows (ETW) logging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Credential Access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OS Credential Dumping — LSASS Memory</w:t>
            </w:r>
          </w:p>
        </w:tc>
        <w:tc>
          <w:tcPr>
            <w:tcW w:type="dxa" w:w="12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T1003.001</w:t>
            </w:r>
          </w:p>
        </w:tc>
        <w:tc>
          <w:tcPr>
            <w:tcW w:type="dxa" w:w="39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Mimikatz used to dump LSASS credentials for lateral movement and domain admin escalation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Discovery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System Information Discovery</w:t>
            </w:r>
          </w:p>
        </w:tc>
        <w:tc>
          <w:tcPr>
            <w:tcW w:type="dxa" w:w="12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/>
                <w:i w:val="0"/>
                <w:sz w:val="18"/>
              </w:rPr>
              <w:t>T1082</w:t>
            </w:r>
          </w:p>
        </w:tc>
        <w:tc>
          <w:tcPr>
            <w:tcW w:type="dxa" w:w="39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Enumerates hostname, domain info, drive configuration, mounted shares, and connected USB devices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Lateral Movement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Remote Services — SMB/Windows Admin Shares</w:t>
            </w:r>
          </w:p>
        </w:tc>
        <w:tc>
          <w:tcPr>
            <w:tcW w:type="dxa" w:w="12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T1021.002</w:t>
            </w:r>
          </w:p>
        </w:tc>
        <w:tc>
          <w:tcPr>
            <w:tcW w:type="dxa" w:w="39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Propagates via SMB using stolen credentials and preconfigured credential lists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Collection / Exfiltration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Exfiltration Over C2 Channel — StealBit</w:t>
            </w:r>
          </w:p>
        </w:tc>
        <w:tc>
          <w:tcPr>
            <w:tcW w:type="dxa" w:w="12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/>
                <w:i w:val="0"/>
                <w:sz w:val="18"/>
              </w:rPr>
              <w:t>T1041</w:t>
            </w:r>
          </w:p>
        </w:tc>
        <w:tc>
          <w:tcPr>
            <w:tcW w:type="dxa" w:w="39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StealBit tool exfiltrates data to actor-controlled infrastructure before encryption (double-extortion)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Command &amp; Control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Application Layer Protocol — Web Protocols</w:t>
            </w:r>
          </w:p>
        </w:tc>
        <w:tc>
          <w:tcPr>
            <w:tcW w:type="dxa" w:w="12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T1071.001</w:t>
            </w:r>
          </w:p>
        </w:tc>
        <w:tc>
          <w:tcPr>
            <w:tcW w:type="dxa" w:w="39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HTTPS-based C2 using Cobalt Strike malleable profiles; uses legitimate CDNs for traffic blending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Impact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Data Encrypted for Impact</w:t>
            </w:r>
          </w:p>
        </w:tc>
        <w:tc>
          <w:tcPr>
            <w:tcW w:type="dxa" w:w="12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/>
                <w:i w:val="0"/>
                <w:sz w:val="18"/>
              </w:rPr>
              <w:t>T1486</w:t>
            </w:r>
          </w:p>
        </w:tc>
        <w:tc>
          <w:tcPr>
            <w:tcW w:type="dxa" w:w="39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AES-256 symmetric encryption with RSA-2048 asymmetric key protection; appends random extension to encrypted files</w:t>
            </w:r>
          </w:p>
        </w:tc>
      </w:tr>
      <w:tr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Impact</w:t>
            </w:r>
          </w:p>
        </w:tc>
        <w:tc>
          <w:tcPr>
            <w:tcW w:type="dxa" w:w="259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Inhibit System Recovery</w:t>
            </w:r>
          </w:p>
        </w:tc>
        <w:tc>
          <w:tcPr>
            <w:tcW w:type="dxa" w:w="12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/>
                <w:i w:val="0"/>
                <w:sz w:val="18"/>
              </w:rPr>
              <w:t>T1490</w:t>
            </w:r>
          </w:p>
        </w:tc>
        <w:tc>
          <w:tcPr>
            <w:tcW w:type="dxa" w:w="39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Deletes Volume Shadow Copies (vssadmin delete shadows /all /quiet), disables Windows Recovery Environment</w:t>
            </w:r>
          </w:p>
        </w:tc>
      </w:tr>
    </w:tbl>
    <w:p/>
    <w:p>
      <w:pPr>
        <w:spacing w:before="280" w:after="80"/>
        <w:pBdr>
          <w:bottom w:val="single" w:sz="6" w:space="1" w:color="1F497D"/>
        </w:pBdr>
      </w:pPr>
      <w:r>
        <w:rPr>
          <w:rFonts w:ascii="Arial" w:hAnsi="Arial"/>
          <w:b/>
          <w:i w:val="0"/>
          <w:color w:val="1F497D"/>
          <w:sz w:val="28"/>
        </w:rPr>
        <w:t>5. Indicators of Compromise (IoCs)</w:t>
      </w:r>
    </w:p>
    <w:p>
      <w:r>
        <w:rPr>
          <w:rFonts w:ascii="Arial" w:hAnsi="Arial"/>
          <w:b/>
          <w:i w:val="0"/>
          <w:color w:val="C00000"/>
          <w:sz w:val="20"/>
        </w:rPr>
        <w:t xml:space="preserve">WARNING: </w:t>
      </w:r>
      <w:r>
        <w:rPr>
          <w:rFonts w:ascii="Arial" w:hAnsi="Arial"/>
          <w:b w:val="0"/>
          <w:i w:val="0"/>
          <w:sz w:val="20"/>
        </w:rPr>
        <w:t>IoCs expire. Verify all indicators against VirusTotal, MITRE, or your threat intel platform before actioning. IPs/domains rotate frequently. Hash-based IoCs are more durable.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Indicator</w:t>
            </w:r>
          </w:p>
        </w:tc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Source</w:t>
            </w:r>
          </w:p>
        </w:tc>
        <w:tc>
          <w:tcPr>
            <w:tcW w:type="dxa" w:w="100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244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12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SHA-256 Hash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b9c2a2c8f38c28a8f3f...[LockBit 3.0 binary]</w:t>
            </w:r>
          </w:p>
        </w:tc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CISA AA23-075A</w:t>
            </w:r>
          </w:p>
        </w:tc>
        <w:tc>
          <w:tcPr>
            <w:tcW w:type="dxa" w:w="100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Mar 2023</w:t>
            </w:r>
          </w:p>
        </w:tc>
        <w:tc>
          <w:tcPr>
            <w:tcW w:type="dxa" w:w="244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LockBit Black ransomware executable; verify via VirusTotal</w:t>
            </w:r>
          </w:p>
        </w:tc>
      </w:tr>
      <w:tr>
        <w:tc>
          <w:tcPr>
            <w:tcW w:type="dxa" w:w="12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SHA-256 Hash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ee1c70f3b47e92c0dce...[StealBit exfil tool]</w:t>
            </w:r>
          </w:p>
        </w:tc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MITRE S1200</w:t>
            </w:r>
          </w:p>
        </w:tc>
        <w:tc>
          <w:tcPr>
            <w:tcW w:type="dxa" w:w="100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2022-2023</w:t>
            </w:r>
          </w:p>
        </w:tc>
        <w:tc>
          <w:tcPr>
            <w:tcW w:type="dxa" w:w="244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StealBit data exfiltration binary</w:t>
            </w:r>
          </w:p>
        </w:tc>
      </w:tr>
      <w:tr>
        <w:tc>
          <w:tcPr>
            <w:tcW w:type="dxa" w:w="12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 Extension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Random alphanumeric (e.g., .db9785905a3cad2c)</w:t>
            </w:r>
          </w:p>
        </w:tc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CYFIRMA</w:t>
            </w:r>
          </w:p>
        </w:tc>
        <w:tc>
          <w:tcPr>
            <w:tcW w:type="dxa" w:w="100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Oct 2025</w:t>
            </w:r>
          </w:p>
        </w:tc>
        <w:tc>
          <w:tcPr>
            <w:tcW w:type="dxa" w:w="244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LockBit 5.0 appends randomized 16-char extension to encrypted files</w:t>
            </w:r>
          </w:p>
        </w:tc>
      </w:tr>
      <w:tr>
        <w:tc>
          <w:tcPr>
            <w:tcW w:type="dxa" w:w="12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Ransom Note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ReadMeForDecrypt.txt</w:t>
            </w:r>
          </w:p>
        </w:tc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CYFIRMA</w:t>
            </w:r>
          </w:p>
        </w:tc>
        <w:tc>
          <w:tcPr>
            <w:tcW w:type="dxa" w:w="100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Oct 2025</w:t>
            </w:r>
          </w:p>
        </w:tc>
        <w:tc>
          <w:tcPr>
            <w:tcW w:type="dxa" w:w="244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LockBit 5.0 ransom note filename dropped in each encrypted directory</w:t>
            </w:r>
          </w:p>
        </w:tc>
      </w:tr>
      <w:tr>
        <w:tc>
          <w:tcPr>
            <w:tcW w:type="dxa" w:w="12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Ransom Note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Restore-My-Files.txt / LockBit_README.hta</w:t>
            </w:r>
          </w:p>
        </w:tc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CISA / FBI</w:t>
            </w:r>
          </w:p>
        </w:tc>
        <w:tc>
          <w:tcPr>
            <w:tcW w:type="dxa" w:w="100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2022-2023</w:t>
            </w:r>
          </w:p>
        </w:tc>
        <w:tc>
          <w:tcPr>
            <w:tcW w:type="dxa" w:w="244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LockBit 2.0 / 3.0 ransom note filenames</w:t>
            </w:r>
          </w:p>
        </w:tc>
      </w:tr>
      <w:tr>
        <w:tc>
          <w:tcPr>
            <w:tcW w:type="dxa" w:w="12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Key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HKLM\SOFTWARE\Microsoft\Windows\CurrentVersion\Run\[random]</w:t>
            </w:r>
          </w:p>
        </w:tc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FBI Flash</w:t>
            </w:r>
          </w:p>
        </w:tc>
        <w:tc>
          <w:tcPr>
            <w:tcW w:type="dxa" w:w="100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2022</w:t>
            </w:r>
          </w:p>
        </w:tc>
        <w:tc>
          <w:tcPr>
            <w:tcW w:type="dxa" w:w="244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mechanism; monitor for unexpected Run key additions</w:t>
            </w:r>
          </w:p>
        </w:tc>
      </w:tr>
      <w:tr>
        <w:tc>
          <w:tcPr>
            <w:tcW w:type="dxa" w:w="12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Command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vssadmin delete shadows /all /quiet</w:t>
            </w:r>
          </w:p>
        </w:tc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CISA AA23-075A</w:t>
            </w:r>
          </w:p>
        </w:tc>
        <w:tc>
          <w:tcPr>
            <w:tcW w:type="dxa" w:w="100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2023</w:t>
            </w:r>
          </w:p>
        </w:tc>
        <w:tc>
          <w:tcPr>
            <w:tcW w:type="dxa" w:w="244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Shadow copy deletion command; high-fidelity detection signal</w:t>
            </w:r>
          </w:p>
        </w:tc>
      </w:tr>
      <w:tr>
        <w:tc>
          <w:tcPr>
            <w:tcW w:type="dxa" w:w="12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Command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wevtutil cl [log name]</w:t>
            </w:r>
          </w:p>
        </w:tc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CISA AA23-075A</w:t>
            </w:r>
          </w:p>
        </w:tc>
        <w:tc>
          <w:tcPr>
            <w:tcW w:type="dxa" w:w="100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2023</w:t>
            </w:r>
          </w:p>
        </w:tc>
        <w:tc>
          <w:tcPr>
            <w:tcW w:type="dxa" w:w="244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 Event Log clearing; commonly executed post-encryption</w:t>
            </w:r>
          </w:p>
        </w:tc>
      </w:tr>
      <w:tr>
        <w:tc>
          <w:tcPr>
            <w:tcW w:type="dxa" w:w="12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Cobalt Strike C2 over HTTPS/443 with malleable profiles</w:t>
            </w:r>
          </w:p>
        </w:tc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Multiple vendors</w:t>
            </w:r>
          </w:p>
        </w:tc>
        <w:tc>
          <w:tcPr>
            <w:tcW w:type="dxa" w:w="100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2022-2025</w:t>
            </w:r>
          </w:p>
        </w:tc>
        <w:tc>
          <w:tcPr>
            <w:tcW w:type="dxa" w:w="244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Inspect TLS certificate anomalies; beacon jitter patterns</w:t>
            </w:r>
          </w:p>
        </w:tc>
      </w:tr>
      <w:tr>
        <w:tc>
          <w:tcPr>
            <w:tcW w:type="dxa" w:w="12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Mutex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Global\{BEF590BE-11A6-442A-A85B-656C1081E8AD}</w:t>
            </w:r>
          </w:p>
        </w:tc>
        <w:tc>
          <w:tcPr>
            <w:tcW w:type="dxa" w:w="172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SophosLabs</w:t>
            </w:r>
          </w:p>
        </w:tc>
        <w:tc>
          <w:tcPr>
            <w:tcW w:type="dxa" w:w="100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2022</w:t>
            </w:r>
          </w:p>
        </w:tc>
        <w:tc>
          <w:tcPr>
            <w:tcW w:type="dxa" w:w="244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LockBit 2.0 mutex; presence indicates active infection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Arial" w:hAnsi="Arial"/>
          <w:b/>
          <w:i w:val="0"/>
          <w:color w:val="1F497D"/>
          <w:sz w:val="28"/>
        </w:rPr>
        <w:t>6. Detection Opportunities</w:t>
      </w:r>
    </w:p>
    <w:p>
      <w:pPr>
        <w:spacing w:before="40" w:after="80"/>
      </w:pPr>
      <w:r>
        <w:rPr>
          <w:rFonts w:ascii="Arial" w:hAnsi="Arial"/>
          <w:b w:val="0"/>
          <w:i w:val="0"/>
          <w:sz w:val="21"/>
        </w:rPr>
        <w:t>The following detection rules and log sources are recommended for identifying LockBit activity. High-fidelity signals are marked with [HIGH FIDELITY].</w:t>
      </w:r>
    </w:p>
    <w:p>
      <w:pPr>
        <w:spacing w:before="160" w:after="40"/>
      </w:pPr>
      <w:r>
        <w:rPr>
          <w:rFonts w:ascii="Arial" w:hAnsi="Arial"/>
          <w:b/>
          <w:i w:val="0"/>
          <w:color w:val="2E74B5"/>
          <w:sz w:val="24"/>
        </w:rPr>
        <w:t>6.1 Endpoint / EDR Detections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[HIGH FIDELITY] Shadow copy deletion: Process creation event — vssadmin.exe with arguments 'delete shadows' (T1490). Alert on any execution; near-zero false positive rate.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[HIGH FIDELITY] Windows Event Log clearing: wevtutil.exe with 'cl' argument targeting multiple log channels in rapid succession (T1070.001).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Suspicious PowerShell execution: PowerShell.exe spawning with -EncodedCommand or -enc flags, especially from Office applications (T1059.001).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LSASS access: Non-system processes opening a handle to lsass.exe with PROCESS_VM_READ privileges (T1003.001). Tune carefully to reduce false positives from legitimate AV products.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Mass file rename/extension change: &gt;100 files renamed within 60 seconds with uniform new extension (T1486).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Security tool termination: Process creation of GMER.exe, ProcessHacker.exe, or taskkill.exe targeting known AV/EDR process names (T1562.001).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ETW patching: Monitor for API hooking of EtwEventWrite in user-mode processes (LockBit 5.0 — T1562).</w:t>
      </w:r>
    </w:p>
    <w:p>
      <w:pPr>
        <w:spacing w:before="160" w:after="40"/>
      </w:pPr>
      <w:r>
        <w:rPr>
          <w:rFonts w:ascii="Arial" w:hAnsi="Arial"/>
          <w:b/>
          <w:i w:val="0"/>
          <w:color w:val="2E74B5"/>
          <w:sz w:val="24"/>
        </w:rPr>
        <w:t>6.2 Network / SIEM Detections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RDP authentication failures: &gt;10 failed RDP logon attempts (Event ID 4625) from single source within 5 minutes, followed by success (T1078).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Lateral movement via SMB: Unusual SMB tree connects to ADMIN$ or C$ shares from non-admin workstations (T1021.002).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Cobalt Strike beacon patterns: Irregular HTTPS connections with consistent jitter interval, large POST requests to newly-observed domains (T1071.001).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Data exfiltration volume: Sustained outbound data transfers &gt;500MB to non-categorized or new external IPs, especially during off-hours (T1041).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StealBit network behavior: Look for high-volume HTTPS uploads to actor-controlled endpoints prior to ransomware detonation.</w:t>
      </w:r>
    </w:p>
    <w:p>
      <w:pPr>
        <w:spacing w:before="160" w:after="40"/>
      </w:pPr>
      <w:r>
        <w:rPr>
          <w:rFonts w:ascii="Arial" w:hAnsi="Arial"/>
          <w:b/>
          <w:i w:val="0"/>
          <w:color w:val="2E74B5"/>
          <w:sz w:val="24"/>
        </w:rPr>
        <w:t>6.3 Recommended SIEM Correlation Rules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Rule 1 — Ransomware Precursor Chain: PowerShell encoded command → LSASS access → shadow copy deletion → mass file rename (chain within 2 hours)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Rule 2 — Credential Theft + Lateral Move: Mimikatz hash (or LSASS handle) → SMB admin share access from same host within 30 minutes</w:t>
      </w:r>
    </w:p>
    <w:p>
      <w:pPr>
        <w:pStyle w:val="ListBullet"/>
        <w:spacing w:before="20" w:after="40"/>
      </w:pPr>
      <w:r>
        <w:rPr>
          <w:rFonts w:ascii="Arial" w:hAnsi="Arial"/>
          <w:b w:val="0"/>
          <w:i w:val="0"/>
          <w:sz w:val="21"/>
        </w:rPr>
        <w:t>Rule 3 — Defense Evasion Combo: Security tool termination + event log clearing on same host within 10 minutes [CRITICAL SEVERITY]</w:t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Arial" w:hAnsi="Arial"/>
          <w:b/>
          <w:i w:val="0"/>
          <w:color w:val="1F497D"/>
          <w:sz w:val="28"/>
        </w:rPr>
        <w:t>7. Recommended Defensive Actions</w:t>
      </w:r>
    </w:p>
    <w:p>
      <w:pPr>
        <w:spacing w:before="40" w:after="80"/>
      </w:pPr>
      <w:r>
        <w:rPr>
          <w:rFonts w:ascii="Arial" w:hAnsi="Arial"/>
          <w:b w:val="0"/>
          <w:i w:val="0"/>
          <w:sz w:val="21"/>
        </w:rPr>
        <w:t>Actions are prioritized by impact vs. implementation effort. Address HIGH priority items first.</w:t>
      </w:r>
    </w:p>
    <w:p>
      <w:pPr>
        <w:spacing w:before="80" w:after="40"/>
      </w:pPr>
      <w:r>
        <w:rPr>
          <w:rFonts w:ascii="Arial" w:hAnsi="Arial"/>
          <w:b/>
          <w:i w:val="0"/>
          <w:color w:val="C00000"/>
          <w:sz w:val="21"/>
        </w:rPr>
        <w:t xml:space="preserve">[HIGH] </w:t>
      </w:r>
      <w:r>
        <w:rPr>
          <w:rFonts w:ascii="Arial" w:hAnsi="Arial"/>
          <w:b/>
          <w:i w:val="0"/>
          <w:sz w:val="21"/>
        </w:rPr>
        <w:t xml:space="preserve">Disable or Restrict RDP: </w:t>
      </w:r>
      <w:r>
        <w:rPr>
          <w:rFonts w:ascii="Arial" w:hAnsi="Arial"/>
          <w:b w:val="0"/>
          <w:i w:val="0"/>
          <w:sz w:val="21"/>
        </w:rPr>
        <w:t>Disable RDP on all systems where not required. Where required, place behind VPN with MFA. Block TCP/3389 at the perimeter firewall. (Addresses T1190, T1078)</w:t>
      </w:r>
    </w:p>
    <w:p>
      <w:pPr>
        <w:spacing w:before="80" w:after="40"/>
      </w:pPr>
      <w:r>
        <w:rPr>
          <w:rFonts w:ascii="Arial" w:hAnsi="Arial"/>
          <w:b/>
          <w:i w:val="0"/>
          <w:color w:val="C00000"/>
          <w:sz w:val="21"/>
        </w:rPr>
        <w:t xml:space="preserve">[HIGH] </w:t>
      </w:r>
      <w:r>
        <w:rPr>
          <w:rFonts w:ascii="Arial" w:hAnsi="Arial"/>
          <w:b/>
          <w:i w:val="0"/>
          <w:sz w:val="21"/>
        </w:rPr>
        <w:t xml:space="preserve">Implement MFA on All Remote Access: </w:t>
      </w:r>
      <w:r>
        <w:rPr>
          <w:rFonts w:ascii="Arial" w:hAnsi="Arial"/>
          <w:b w:val="0"/>
          <w:i w:val="0"/>
          <w:sz w:val="21"/>
        </w:rPr>
        <w:t>Enforce phishing-resistant MFA (FIDO2/hardware token preferred) on VPN, RDP, Citrix, and all cloud service portals. Single-factor remote access is the #1 LockBit initial access vector. (Addresses T1078)</w:t>
      </w:r>
    </w:p>
    <w:p>
      <w:pPr>
        <w:spacing w:before="80" w:after="40"/>
      </w:pPr>
      <w:r>
        <w:rPr>
          <w:rFonts w:ascii="Arial" w:hAnsi="Arial"/>
          <w:b/>
          <w:i w:val="0"/>
          <w:color w:val="C00000"/>
          <w:sz w:val="21"/>
        </w:rPr>
        <w:t xml:space="preserve">[HIGH] </w:t>
      </w:r>
      <w:r>
        <w:rPr>
          <w:rFonts w:ascii="Arial" w:hAnsi="Arial"/>
          <w:b/>
          <w:i w:val="0"/>
          <w:sz w:val="21"/>
        </w:rPr>
        <w:t xml:space="preserve">Immutable Offline Backups: </w:t>
      </w:r>
      <w:r>
        <w:rPr>
          <w:rFonts w:ascii="Arial" w:hAnsi="Arial"/>
          <w:b w:val="0"/>
          <w:i w:val="0"/>
          <w:sz w:val="21"/>
        </w:rPr>
        <w:t>Maintain 3-2-1 backup strategy with at least one offline or air-gapped copy. Test restoration quarterly. LockBit affiliates specifically target and delete network-accessible backups. (Addresses T1490)</w:t>
      </w:r>
    </w:p>
    <w:p>
      <w:pPr>
        <w:spacing w:before="80" w:after="40"/>
      </w:pPr>
      <w:r>
        <w:rPr>
          <w:rFonts w:ascii="Arial" w:hAnsi="Arial"/>
          <w:b/>
          <w:i w:val="0"/>
          <w:color w:val="C00000"/>
          <w:sz w:val="21"/>
        </w:rPr>
        <w:t xml:space="preserve">[HIGH] </w:t>
      </w:r>
      <w:r>
        <w:rPr>
          <w:rFonts w:ascii="Arial" w:hAnsi="Arial"/>
          <w:b/>
          <w:i w:val="0"/>
          <w:sz w:val="21"/>
        </w:rPr>
        <w:t xml:space="preserve">Patch Management — Prioritize Internet-Facing Assets: </w:t>
      </w:r>
      <w:r>
        <w:rPr>
          <w:rFonts w:ascii="Arial" w:hAnsi="Arial"/>
          <w:b w:val="0"/>
          <w:i w:val="0"/>
          <w:sz w:val="21"/>
        </w:rPr>
        <w:t>Apply patches to VPN appliances (Fortinet, Citrix, Pulse), web servers, and edge devices within 48 hours of critical CVE publication. Monitor CISA KEV catalog as the authoritative patching priority list.</w:t>
      </w:r>
    </w:p>
    <w:p>
      <w:pPr>
        <w:spacing w:before="80" w:after="40"/>
      </w:pPr>
      <w:r>
        <w:rPr>
          <w:rFonts w:ascii="Arial" w:hAnsi="Arial"/>
          <w:b/>
          <w:i w:val="0"/>
          <w:color w:val="C00000"/>
          <w:sz w:val="21"/>
        </w:rPr>
        <w:t xml:space="preserve">[HIGH] </w:t>
      </w:r>
      <w:r>
        <w:rPr>
          <w:rFonts w:ascii="Arial" w:hAnsi="Arial"/>
          <w:b/>
          <w:i w:val="0"/>
          <w:sz w:val="21"/>
        </w:rPr>
        <w:t xml:space="preserve">Network Segmentation: </w:t>
      </w:r>
      <w:r>
        <w:rPr>
          <w:rFonts w:ascii="Arial" w:hAnsi="Arial"/>
          <w:b w:val="0"/>
          <w:i w:val="0"/>
          <w:sz w:val="21"/>
        </w:rPr>
        <w:t>Segment OT/ICS, backup infrastructure, and crown-jewel data from general user network segments. Implement zero-trust access controls to limit lateral movement post-compromise. (Addresses T1021)</w:t>
      </w:r>
    </w:p>
    <w:p>
      <w:pPr>
        <w:spacing w:before="80" w:after="40"/>
      </w:pPr>
      <w:r>
        <w:rPr>
          <w:rFonts w:ascii="Arial" w:hAnsi="Arial"/>
          <w:b/>
          <w:i w:val="0"/>
          <w:color w:val="ED7D31"/>
          <w:sz w:val="21"/>
        </w:rPr>
        <w:t xml:space="preserve">[MED] </w:t>
      </w:r>
      <w:r>
        <w:rPr>
          <w:rFonts w:ascii="Arial" w:hAnsi="Arial"/>
          <w:b/>
          <w:i w:val="0"/>
          <w:sz w:val="21"/>
        </w:rPr>
        <w:t xml:space="preserve">Deploy EDR with Anti-Tamper Protection: </w:t>
      </w:r>
      <w:r>
        <w:rPr>
          <w:rFonts w:ascii="Arial" w:hAnsi="Arial"/>
          <w:b w:val="0"/>
          <w:i w:val="0"/>
          <w:sz w:val="21"/>
        </w:rPr>
        <w:t>Ensure EDR agents are deployed with tamper protection enabled. LockBit 3.0/5.0 explicitly targets and terminates AV/EDR processes. Verify EDR coverage across all endpoints including servers. (Addresses T1562)</w:t>
      </w:r>
    </w:p>
    <w:p>
      <w:pPr>
        <w:spacing w:before="80" w:after="40"/>
      </w:pPr>
      <w:r>
        <w:rPr>
          <w:rFonts w:ascii="Arial" w:hAnsi="Arial"/>
          <w:b/>
          <w:i w:val="0"/>
          <w:color w:val="ED7D31"/>
          <w:sz w:val="21"/>
        </w:rPr>
        <w:t xml:space="preserve">[MED] </w:t>
      </w:r>
      <w:r>
        <w:rPr>
          <w:rFonts w:ascii="Arial" w:hAnsi="Arial"/>
          <w:b/>
          <w:i w:val="0"/>
          <w:sz w:val="21"/>
        </w:rPr>
        <w:t xml:space="preserve">Credential Hygiene and Privileged Access Management: </w:t>
      </w:r>
      <w:r>
        <w:rPr>
          <w:rFonts w:ascii="Arial" w:hAnsi="Arial"/>
          <w:b w:val="0"/>
          <w:i w:val="0"/>
          <w:sz w:val="21"/>
        </w:rPr>
        <w:t>Implement least-privilege for all accounts. Eliminate use of shared local admin passwords (use LAPS). Restrict service accounts from interactive logon. Monitor for LSASS access events. (Addresses T1003, T1078)</w:t>
      </w:r>
    </w:p>
    <w:p>
      <w:pPr>
        <w:spacing w:before="80" w:after="40"/>
      </w:pPr>
      <w:r>
        <w:rPr>
          <w:rFonts w:ascii="Arial" w:hAnsi="Arial"/>
          <w:b/>
          <w:i w:val="0"/>
          <w:color w:val="ED7D31"/>
          <w:sz w:val="21"/>
        </w:rPr>
        <w:t xml:space="preserve">[MED] </w:t>
      </w:r>
      <w:r>
        <w:rPr>
          <w:rFonts w:ascii="Arial" w:hAnsi="Arial"/>
          <w:b/>
          <w:i w:val="0"/>
          <w:sz w:val="21"/>
        </w:rPr>
        <w:t xml:space="preserve">Enable Protected Users Security Group: </w:t>
      </w:r>
      <w:r>
        <w:rPr>
          <w:rFonts w:ascii="Arial" w:hAnsi="Arial"/>
          <w:b w:val="0"/>
          <w:i w:val="0"/>
          <w:sz w:val="21"/>
        </w:rPr>
        <w:t>Add privileged accounts to the Protected Users group in Active Directory to prevent credential caching and NTLM authentication, reducing Mimikatz effectiveness.</w:t>
      </w:r>
    </w:p>
    <w:p>
      <w:pPr>
        <w:spacing w:before="80" w:after="40"/>
      </w:pPr>
      <w:r>
        <w:rPr>
          <w:rFonts w:ascii="Arial" w:hAnsi="Arial"/>
          <w:b/>
          <w:i w:val="0"/>
          <w:color w:val="ED7D31"/>
          <w:sz w:val="21"/>
        </w:rPr>
        <w:t xml:space="preserve">[MED] </w:t>
      </w:r>
      <w:r>
        <w:rPr>
          <w:rFonts w:ascii="Arial" w:hAnsi="Arial"/>
          <w:b/>
          <w:i w:val="0"/>
          <w:sz w:val="21"/>
        </w:rPr>
        <w:t xml:space="preserve">User Awareness Training — Phishing: </w:t>
      </w:r>
      <w:r>
        <w:rPr>
          <w:rFonts w:ascii="Arial" w:hAnsi="Arial"/>
          <w:b w:val="0"/>
          <w:i w:val="0"/>
          <w:sz w:val="21"/>
        </w:rPr>
        <w:t>Conduct quarterly phishing simulation exercises with focused training on attachment-based lures. LockBit 3.0 campaigns have used job-application themed Word documents as phishing vectors. (Addresses T1566)</w:t>
      </w:r>
    </w:p>
    <w:p>
      <w:pPr>
        <w:spacing w:before="80" w:after="40"/>
      </w:pPr>
      <w:r>
        <w:rPr>
          <w:rFonts w:ascii="Arial" w:hAnsi="Arial"/>
          <w:b/>
          <w:i w:val="0"/>
          <w:color w:val="707070"/>
          <w:sz w:val="21"/>
        </w:rPr>
        <w:t xml:space="preserve">[LOW] </w:t>
      </w:r>
      <w:r>
        <w:rPr>
          <w:rFonts w:ascii="Arial" w:hAnsi="Arial"/>
          <w:b/>
          <w:i w:val="0"/>
          <w:sz w:val="21"/>
        </w:rPr>
        <w:t xml:space="preserve">Threat Hunting — Proactive IoC Scanning: </w:t>
      </w:r>
      <w:r>
        <w:rPr>
          <w:rFonts w:ascii="Arial" w:hAnsi="Arial"/>
          <w:b w:val="0"/>
          <w:i w:val="0"/>
          <w:sz w:val="21"/>
        </w:rPr>
        <w:t>Ingest LockBit-specific detection rules into SIEM. Hunt for vssadmin, wevtutil, and Mimikatz execution across endpoint telemetry. Review Section 6 detection rules for implementation.</w:t>
      </w:r>
    </w:p>
    <w:p>
      <w:pPr>
        <w:spacing w:before="80" w:after="40"/>
      </w:pPr>
      <w:r>
        <w:rPr>
          <w:rFonts w:ascii="Arial" w:hAnsi="Arial"/>
          <w:b/>
          <w:i w:val="0"/>
          <w:color w:val="707070"/>
          <w:sz w:val="21"/>
        </w:rPr>
        <w:t xml:space="preserve">[LOW] </w:t>
      </w:r>
      <w:r>
        <w:rPr>
          <w:rFonts w:ascii="Arial" w:hAnsi="Arial"/>
          <w:b/>
          <w:i w:val="0"/>
          <w:sz w:val="21"/>
        </w:rPr>
        <w:t xml:space="preserve">Incident Response Plan — Ransomware Playbook: </w:t>
      </w:r>
      <w:r>
        <w:rPr>
          <w:rFonts w:ascii="Arial" w:hAnsi="Arial"/>
          <w:b w:val="0"/>
          <w:i w:val="0"/>
          <w:sz w:val="21"/>
        </w:rPr>
        <w:t>Ensure a tested ransomware-specific IR playbook exists. Establish pre-approved authority levels for network isolation decisions. Identify critical systems and RTO/RPO requirements before an incident occurs.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Arial" w:hAnsi="Arial"/>
          <w:b/>
          <w:i w:val="0"/>
          <w:color w:val="1F497D"/>
          <w:sz w:val="28"/>
        </w:rPr>
        <w:t>8. References</w:t>
      </w:r>
    </w:p>
    <w:p>
      <w:pPr>
        <w:spacing w:before="20" w:after="60"/>
      </w:pPr>
      <w:r>
        <w:rPr>
          <w:rFonts w:ascii="Arial" w:hAnsi="Arial"/>
          <w:b w:val="0"/>
          <w:i w:val="0"/>
          <w:sz w:val="20"/>
        </w:rPr>
        <w:t xml:space="preserve">MITRE ATT&amp;CK — LockBit Group (G0125) — </w:t>
      </w:r>
      <w:r>
        <w:rPr>
          <w:rFonts w:ascii="Arial" w:hAnsi="Arial"/>
          <w:b w:val="0"/>
          <w:i w:val="0"/>
          <w:color w:val="0070C0"/>
          <w:sz w:val="20"/>
        </w:rPr>
        <w:t>https://attack.mitre.org/groups/G0125/</w:t>
      </w:r>
    </w:p>
    <w:p>
      <w:pPr>
        <w:spacing w:before="20" w:after="60"/>
      </w:pPr>
      <w:r>
        <w:rPr>
          <w:rFonts w:ascii="Arial" w:hAnsi="Arial"/>
          <w:b w:val="0"/>
          <w:i w:val="0"/>
          <w:sz w:val="20"/>
        </w:rPr>
        <w:t xml:space="preserve">MITRE ATT&amp;CK — LockBit 2.0 Software (S1199) — </w:t>
      </w:r>
      <w:r>
        <w:rPr>
          <w:rFonts w:ascii="Arial" w:hAnsi="Arial"/>
          <w:b w:val="0"/>
          <w:i w:val="0"/>
          <w:color w:val="0070C0"/>
          <w:sz w:val="20"/>
        </w:rPr>
        <w:t>https://attack.mitre.org/software/S1199/</w:t>
      </w:r>
    </w:p>
    <w:p>
      <w:pPr>
        <w:spacing w:before="20" w:after="60"/>
      </w:pPr>
      <w:r>
        <w:rPr>
          <w:rFonts w:ascii="Arial" w:hAnsi="Arial"/>
          <w:b w:val="0"/>
          <w:i w:val="0"/>
          <w:sz w:val="20"/>
        </w:rPr>
        <w:t xml:space="preserve">MITRE ATT&amp;CK — LockBit 3.0 Software (S1202) — </w:t>
      </w:r>
      <w:r>
        <w:rPr>
          <w:rFonts w:ascii="Arial" w:hAnsi="Arial"/>
          <w:b w:val="0"/>
          <w:i w:val="0"/>
          <w:color w:val="0070C0"/>
          <w:sz w:val="20"/>
        </w:rPr>
        <w:t>https://attack.mitre.org/software/S1202/</w:t>
      </w:r>
    </w:p>
    <w:p>
      <w:pPr>
        <w:spacing w:before="20" w:after="60"/>
      </w:pPr>
      <w:r>
        <w:rPr>
          <w:rFonts w:ascii="Arial" w:hAnsi="Arial"/>
          <w:b w:val="0"/>
          <w:i w:val="0"/>
          <w:sz w:val="20"/>
        </w:rPr>
        <w:t xml:space="preserve">MITRE ATT&amp;CK — StealBit (S1200) — </w:t>
      </w:r>
      <w:r>
        <w:rPr>
          <w:rFonts w:ascii="Arial" w:hAnsi="Arial"/>
          <w:b w:val="0"/>
          <w:i w:val="0"/>
          <w:color w:val="0070C0"/>
          <w:sz w:val="20"/>
        </w:rPr>
        <w:t>https://attack.mitre.org/software/S1200/</w:t>
      </w:r>
    </w:p>
    <w:p>
      <w:pPr>
        <w:spacing w:before="20" w:after="60"/>
      </w:pPr>
      <w:r>
        <w:rPr>
          <w:rFonts w:ascii="Arial" w:hAnsi="Arial"/>
          <w:b w:val="0"/>
          <w:i w:val="0"/>
          <w:sz w:val="20"/>
        </w:rPr>
        <w:t xml:space="preserve">CISA Advisory AA23-165A — Understanding Ransomware Threat Actors: LockBit — </w:t>
      </w:r>
      <w:r>
        <w:rPr>
          <w:rFonts w:ascii="Arial" w:hAnsi="Arial"/>
          <w:b w:val="0"/>
          <w:i w:val="0"/>
          <w:color w:val="0070C0"/>
          <w:sz w:val="20"/>
        </w:rPr>
        <w:t>https://www.cisa.gov/news-events/cybersecurity-advisories/aa23-165a</w:t>
      </w:r>
    </w:p>
    <w:p>
      <w:pPr>
        <w:spacing w:before="20" w:after="60"/>
      </w:pPr>
      <w:r>
        <w:rPr>
          <w:rFonts w:ascii="Arial" w:hAnsi="Arial"/>
          <w:b w:val="0"/>
          <w:i w:val="0"/>
          <w:sz w:val="20"/>
        </w:rPr>
        <w:t xml:space="preserve">CISA Advisory AA23-075A — #StopRansomware: LockBit 3.0 — </w:t>
      </w:r>
      <w:r>
        <w:rPr>
          <w:rFonts w:ascii="Arial" w:hAnsi="Arial"/>
          <w:b w:val="0"/>
          <w:i w:val="0"/>
          <w:color w:val="0070C0"/>
          <w:sz w:val="20"/>
        </w:rPr>
        <w:t>https://www.cisa.gov/news-events/cybersecurity-advisories/aa23-075a</w:t>
      </w:r>
    </w:p>
    <w:p>
      <w:pPr>
        <w:spacing w:before="20" w:after="60"/>
      </w:pPr>
      <w:r>
        <w:rPr>
          <w:rFonts w:ascii="Arial" w:hAnsi="Arial"/>
          <w:b w:val="0"/>
          <w:i w:val="0"/>
          <w:sz w:val="20"/>
        </w:rPr>
        <w:t xml:space="preserve">FBI Flash — LockBit 2.0 IoCs (IC3) — </w:t>
      </w:r>
      <w:r>
        <w:rPr>
          <w:rFonts w:ascii="Arial" w:hAnsi="Arial"/>
          <w:b w:val="0"/>
          <w:i w:val="0"/>
          <w:color w:val="0070C0"/>
          <w:sz w:val="20"/>
        </w:rPr>
        <w:t>https://www.ic3.gov/CSA/2022/220204.pdf</w:t>
      </w:r>
    </w:p>
    <w:p>
      <w:pPr>
        <w:spacing w:before="20" w:after="60"/>
      </w:pPr>
      <w:r>
        <w:rPr>
          <w:rFonts w:ascii="Arial" w:hAnsi="Arial"/>
          <w:b w:val="0"/>
          <w:i w:val="0"/>
          <w:sz w:val="20"/>
        </w:rPr>
        <w:t xml:space="preserve">MITRE ATT&amp;CK Evaluations Round 6 — LockBit (Dec 2024) — </w:t>
      </w:r>
      <w:r>
        <w:rPr>
          <w:rFonts w:ascii="Arial" w:hAnsi="Arial"/>
          <w:b w:val="0"/>
          <w:i w:val="0"/>
          <w:color w:val="0070C0"/>
          <w:sz w:val="20"/>
        </w:rPr>
        <w:t>https://www.mitre.org/news-insights/news-release/mitre-posts-latest-findings-attack-evaluations-cybersecurity-solutions</w:t>
      </w:r>
    </w:p>
    <w:p>
      <w:pPr>
        <w:spacing w:before="20" w:after="60"/>
      </w:pPr>
      <w:r>
        <w:rPr>
          <w:rFonts w:ascii="Arial" w:hAnsi="Arial"/>
          <w:b w:val="0"/>
          <w:i w:val="0"/>
          <w:sz w:val="20"/>
        </w:rPr>
        <w:t xml:space="preserve">CYFIRMA Weekly Intelligence Report — LockBit 5.0 (Oct 2025) — </w:t>
      </w:r>
      <w:r>
        <w:rPr>
          <w:rFonts w:ascii="Arial" w:hAnsi="Arial"/>
          <w:b w:val="0"/>
          <w:i w:val="0"/>
          <w:color w:val="0070C0"/>
          <w:sz w:val="20"/>
        </w:rPr>
        <w:t>https://www.cyfirma.com/news/weekly-intelligence-report-3-october-2025/</w:t>
      </w:r>
    </w:p>
    <w:p>
      <w:pPr>
        <w:spacing w:before="20" w:after="60"/>
      </w:pPr>
      <w:r>
        <w:rPr>
          <w:rFonts w:ascii="Arial" w:hAnsi="Arial"/>
          <w:b w:val="0"/>
          <w:i w:val="0"/>
          <w:sz w:val="20"/>
        </w:rPr>
        <w:t xml:space="preserve">Sophos IoCs — LockBit (GitHub) — </w:t>
      </w:r>
      <w:r>
        <w:rPr>
          <w:rFonts w:ascii="Arial" w:hAnsi="Arial"/>
          <w:b w:val="0"/>
          <w:i w:val="0"/>
          <w:color w:val="0070C0"/>
          <w:sz w:val="20"/>
        </w:rPr>
        <w:t>https://github.com/sophoslabs/IoCs/blob/master/Ransomware-LockBit</w:t>
      </w:r>
    </w:p>
    <w:p>
      <w:pPr>
        <w:spacing w:before="20" w:after="60"/>
      </w:pPr>
      <w:r>
        <w:rPr>
          <w:rFonts w:ascii="Arial" w:hAnsi="Arial"/>
          <w:b w:val="0"/>
          <w:i w:val="0"/>
          <w:sz w:val="20"/>
        </w:rPr>
        <w:t xml:space="preserve">Dexpose — LockBit Threat Intelligence Guide (2026) — </w:t>
      </w:r>
      <w:r>
        <w:rPr>
          <w:rFonts w:ascii="Arial" w:hAnsi="Arial"/>
          <w:b w:val="0"/>
          <w:i w:val="0"/>
          <w:color w:val="0070C0"/>
          <w:sz w:val="20"/>
        </w:rPr>
        <w:t>https://www.dexpose.io/lockbit-ransomware/</w:t>
      </w:r>
    </w:p>
    <w:p>
      <w:pPr>
        <w:spacing w:before="20" w:after="60"/>
      </w:pPr>
      <w:r>
        <w:rPr>
          <w:rFonts w:ascii="Arial" w:hAnsi="Arial"/>
          <w:b w:val="0"/>
          <w:i w:val="0"/>
          <w:sz w:val="20"/>
        </w:rPr>
        <w:t xml:space="preserve">CVE-2023-4966 — Citrix Bleed — </w:t>
      </w:r>
      <w:r>
        <w:rPr>
          <w:rFonts w:ascii="Arial" w:hAnsi="Arial"/>
          <w:b w:val="0"/>
          <w:i w:val="0"/>
          <w:color w:val="0070C0"/>
          <w:sz w:val="20"/>
        </w:rPr>
        <w:t>https://nvd.nist.gov/vuln/detail/CVE-2023-4966</w:t>
      </w:r>
    </w:p>
    <w:p>
      <w:pPr>
        <w:spacing w:before="20" w:after="60"/>
      </w:pPr>
      <w:r>
        <w:rPr>
          <w:rFonts w:ascii="Arial" w:hAnsi="Arial"/>
          <w:b w:val="0"/>
          <w:i w:val="0"/>
          <w:sz w:val="20"/>
        </w:rPr>
        <w:t xml:space="preserve">CISA Known Exploited Vulnerabilities Catalog — </w:t>
      </w:r>
      <w:r>
        <w:rPr>
          <w:rFonts w:ascii="Arial" w:hAnsi="Arial"/>
          <w:b w:val="0"/>
          <w:i w:val="0"/>
          <w:color w:val="0070C0"/>
          <w:sz w:val="20"/>
        </w:rPr>
        <w:t>https://www.cisa.gov/known-exploited-vulnerabilities-catalog</w:t>
      </w:r>
    </w:p>
    <w:p>
      <w:pPr>
        <w:spacing w:before="20" w:after="60"/>
      </w:pPr>
      <w:r>
        <w:rPr>
          <w:rFonts w:ascii="Arial" w:hAnsi="Arial"/>
          <w:b w:val="0"/>
          <w:i w:val="0"/>
          <w:sz w:val="20"/>
        </w:rPr>
        <w:t xml:space="preserve">VirusTotal — IoC Verification — </w:t>
      </w:r>
      <w:r>
        <w:rPr>
          <w:rFonts w:ascii="Arial" w:hAnsi="Arial"/>
          <w:b w:val="0"/>
          <w:i w:val="0"/>
          <w:color w:val="0070C0"/>
          <w:sz w:val="20"/>
        </w:rPr>
        <w:t>https://www.virustotal.com</w:t>
      </w:r>
    </w:p>
    <w:p>
      <w:pPr>
        <w:spacing w:before="20" w:after="60"/>
      </w:pPr>
      <w:r>
        <w:rPr>
          <w:rFonts w:ascii="Arial" w:hAnsi="Arial"/>
          <w:b w:val="0"/>
          <w:i w:val="0"/>
          <w:sz w:val="20"/>
        </w:rPr>
        <w:t xml:space="preserve">StopRansomware.gov — </w:t>
      </w:r>
      <w:r>
        <w:rPr>
          <w:rFonts w:ascii="Arial" w:hAnsi="Arial"/>
          <w:b w:val="0"/>
          <w:i w:val="0"/>
          <w:color w:val="0070C0"/>
          <w:sz w:val="20"/>
        </w:rPr>
        <w:t>https://www.stopransomware.gov</w:t>
      </w:r>
    </w:p>
    <w:p/>
    <w:p>
      <w:pPr>
        <w:jc w:val="center"/>
      </w:pPr>
      <w:r>
        <w:rPr>
          <w:rFonts w:ascii="Arial" w:hAnsi="Arial"/>
          <w:b w:val="0"/>
          <w:i/>
          <w:color w:val="808080"/>
          <w:sz w:val="18"/>
        </w:rPr>
        <w:t>TLP:WHITE — This report may be shared without restriction. | Generated May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