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20F2" w14:textId="77777777" w:rsidR="00515456" w:rsidRDefault="00000000">
      <w:pPr>
        <w:pStyle w:val="Heading1"/>
      </w:pPr>
      <w:r>
        <w:t>Next-Level Upgrades for the Energy Stock Screener</w:t>
      </w:r>
    </w:p>
    <w:p w14:paraId="1A95E5FE" w14:textId="77777777" w:rsidR="00515456" w:rsidRDefault="00000000">
      <w:r>
        <w:t>This document summarizes the recommended improvements for evolving the energy stock screener into a more advanced multi-factor investment model.</w:t>
      </w:r>
    </w:p>
    <w:p w14:paraId="03A50157" w14:textId="77777777" w:rsidR="00515456" w:rsidRDefault="00000000">
      <w:pPr>
        <w:pStyle w:val="Heading2"/>
      </w:pPr>
      <w:r>
        <w:t>1. Rank Within Subsectors</w:t>
      </w:r>
    </w:p>
    <w:p w14:paraId="6C3125B1" w14:textId="77777777" w:rsidR="00515456" w:rsidRDefault="00000000">
      <w:r>
        <w:t>Build separate percentile universes for upstream, integrated, refining, midstream, and oil services companies. Rank metrics only within each classification to improve comparability and reduce distortion.</w:t>
      </w:r>
    </w:p>
    <w:p w14:paraId="6B188494" w14:textId="5AF29126" w:rsidR="008D2073" w:rsidRPr="008D2073" w:rsidRDefault="008D2073">
      <w:pPr>
        <w:rPr>
          <w:b/>
          <w:bCs/>
          <w:color w:val="EE0000"/>
        </w:rPr>
      </w:pPr>
      <w:r w:rsidRPr="008D2073">
        <w:rPr>
          <w:b/>
          <w:bCs/>
          <w:color w:val="EE0000"/>
        </w:rPr>
        <w:t>DONE</w:t>
      </w:r>
    </w:p>
    <w:p w14:paraId="347FF542" w14:textId="77777777" w:rsidR="00515456" w:rsidRDefault="00000000">
      <w:pPr>
        <w:pStyle w:val="Heading2"/>
      </w:pPr>
      <w:r>
        <w:t>2. Replace Remaining Static Thresholds</w:t>
      </w:r>
    </w:p>
    <w:p w14:paraId="2BF0A57E" w14:textId="77777777" w:rsidR="00515456" w:rsidRDefault="00000000">
      <w:r>
        <w:t>Convert remaining static metrics such as PE, EV/EBITDA, EV/Sales, dividend yield, payout ratio, and revenue growth into percentile-based scoring systems.</w:t>
      </w:r>
    </w:p>
    <w:p w14:paraId="5E63BF58" w14:textId="2C54F413" w:rsidR="008D2073" w:rsidRPr="008D2073" w:rsidRDefault="008D2073">
      <w:pPr>
        <w:rPr>
          <w:b/>
          <w:bCs/>
          <w:color w:val="EE0000"/>
        </w:rPr>
      </w:pPr>
      <w:r w:rsidRPr="008D2073">
        <w:rPr>
          <w:b/>
          <w:bCs/>
          <w:color w:val="EE0000"/>
        </w:rPr>
        <w:t>Ev-ebitda DONE</w:t>
      </w:r>
    </w:p>
    <w:p w14:paraId="5512805C" w14:textId="011DE576" w:rsidR="008D2073" w:rsidRPr="003318F0" w:rsidRDefault="008D2073">
      <w:pPr>
        <w:rPr>
          <w:b/>
          <w:bCs/>
          <w:color w:val="EE0000"/>
        </w:rPr>
      </w:pPr>
      <w:r w:rsidRPr="003318F0">
        <w:rPr>
          <w:b/>
          <w:bCs/>
          <w:color w:val="EE0000"/>
        </w:rPr>
        <w:t>Ev-sales</w:t>
      </w:r>
      <w:r w:rsidR="003819FA">
        <w:rPr>
          <w:b/>
          <w:bCs/>
          <w:color w:val="EE0000"/>
        </w:rPr>
        <w:t xml:space="preserve"> DONE</w:t>
      </w:r>
    </w:p>
    <w:p w14:paraId="48C5E954" w14:textId="58164B2F" w:rsidR="008D2073" w:rsidRPr="00202B8A" w:rsidRDefault="008D2073">
      <w:pPr>
        <w:rPr>
          <w:b/>
          <w:bCs/>
          <w:color w:val="EE0000"/>
        </w:rPr>
      </w:pPr>
      <w:r w:rsidRPr="00202B8A">
        <w:rPr>
          <w:b/>
          <w:bCs/>
          <w:color w:val="EE0000"/>
        </w:rPr>
        <w:t>PE</w:t>
      </w:r>
      <w:r w:rsidR="00202B8A">
        <w:rPr>
          <w:b/>
          <w:bCs/>
          <w:color w:val="EE0000"/>
        </w:rPr>
        <w:t xml:space="preserve"> Done</w:t>
      </w:r>
    </w:p>
    <w:p w14:paraId="6B08A179" w14:textId="73D93F9F" w:rsidR="008D2073" w:rsidRPr="00610862" w:rsidRDefault="008D2073">
      <w:pPr>
        <w:rPr>
          <w:b/>
          <w:bCs/>
          <w:color w:val="EE0000"/>
        </w:rPr>
      </w:pPr>
      <w:r w:rsidRPr="00610862">
        <w:rPr>
          <w:b/>
          <w:bCs/>
          <w:color w:val="EE0000"/>
        </w:rPr>
        <w:t>Payout ratio</w:t>
      </w:r>
      <w:r w:rsidR="00610862" w:rsidRPr="00610862">
        <w:rPr>
          <w:b/>
          <w:bCs/>
          <w:color w:val="EE0000"/>
        </w:rPr>
        <w:t xml:space="preserve"> DONE</w:t>
      </w:r>
    </w:p>
    <w:p w14:paraId="749142B6" w14:textId="0D5786C7" w:rsidR="008D2073" w:rsidRPr="007222FB" w:rsidRDefault="008D2073">
      <w:pPr>
        <w:rPr>
          <w:b/>
          <w:bCs/>
          <w:color w:val="EE0000"/>
        </w:rPr>
      </w:pPr>
      <w:r w:rsidRPr="007222FB">
        <w:rPr>
          <w:b/>
          <w:bCs/>
          <w:color w:val="EE0000"/>
        </w:rPr>
        <w:t>Growth</w:t>
      </w:r>
      <w:r w:rsidR="007222FB" w:rsidRPr="007222FB">
        <w:rPr>
          <w:b/>
          <w:bCs/>
          <w:color w:val="EE0000"/>
        </w:rPr>
        <w:t xml:space="preserve"> Done</w:t>
      </w:r>
    </w:p>
    <w:p w14:paraId="4A09954F" w14:textId="77777777" w:rsidR="00515456" w:rsidRDefault="00000000">
      <w:pPr>
        <w:pStyle w:val="Heading2"/>
      </w:pPr>
      <w:r>
        <w:t>3. Add Factor Standardization</w:t>
      </w:r>
    </w:p>
    <w:p w14:paraId="6CB1DCED" w14:textId="77777777" w:rsidR="00515456" w:rsidRDefault="00000000">
      <w:r>
        <w:t>Move from discrete percentile buckets toward continuous scoring systems such as scaled percentile values or z-scores for smoother ranking.</w:t>
      </w:r>
    </w:p>
    <w:p w14:paraId="2859CAA7" w14:textId="17C039F8" w:rsidR="00FA1334" w:rsidRDefault="00FA1334">
      <w:r w:rsidRPr="008D2073">
        <w:rPr>
          <w:b/>
          <w:bCs/>
          <w:color w:val="EE0000"/>
        </w:rPr>
        <w:t>DONE</w:t>
      </w:r>
    </w:p>
    <w:p w14:paraId="7E755925" w14:textId="77777777" w:rsidR="00515456" w:rsidRDefault="00000000">
      <w:pPr>
        <w:pStyle w:val="Heading2"/>
      </w:pPr>
      <w:r>
        <w:t>4. Add Normalized Cycle-Aware Metrics</w:t>
      </w:r>
    </w:p>
    <w:p w14:paraId="76E9D3C1" w14:textId="77777777" w:rsidR="00515456" w:rsidRDefault="00000000">
      <w:r>
        <w:t>Use multi-year averages or medians for FCF yield, ROIC, and operating margin to reduce commodity-cycle distortions.</w:t>
      </w:r>
    </w:p>
    <w:p w14:paraId="178B8199" w14:textId="227FA8AA" w:rsidR="00197236" w:rsidRDefault="00197236">
      <w:r w:rsidRPr="008D2073">
        <w:rPr>
          <w:b/>
          <w:bCs/>
          <w:color w:val="EE0000"/>
        </w:rPr>
        <w:t>DONE</w:t>
      </w:r>
    </w:p>
    <w:p w14:paraId="036D81F0" w14:textId="77777777" w:rsidR="00515456" w:rsidRDefault="00000000">
      <w:pPr>
        <w:pStyle w:val="Heading2"/>
      </w:pPr>
      <w:r>
        <w:t>5. Add Volatility / Stability Factors</w:t>
      </w:r>
    </w:p>
    <w:p w14:paraId="7DD824D7" w14:textId="55537F3B" w:rsidR="008C44BB" w:rsidRDefault="00000000">
      <w:r>
        <w:t>Reward companies with stable FCF, stable operating margins, and stable ROIC over time using measures such as standard deviation.</w:t>
      </w:r>
    </w:p>
    <w:p w14:paraId="6FED0F8C" w14:textId="747A624C" w:rsidR="008C44BB" w:rsidRDefault="008C44BB">
      <w:r w:rsidRPr="008D2073">
        <w:rPr>
          <w:b/>
          <w:bCs/>
          <w:color w:val="EE0000"/>
        </w:rPr>
        <w:t>DONE</w:t>
      </w:r>
    </w:p>
    <w:p w14:paraId="7B41EDB4" w14:textId="77777777" w:rsidR="00515456" w:rsidRDefault="00000000">
      <w:pPr>
        <w:pStyle w:val="Heading2"/>
      </w:pPr>
      <w:r>
        <w:lastRenderedPageBreak/>
        <w:t>6. Build a True Shareholder Yield Factor</w:t>
      </w:r>
    </w:p>
    <w:p w14:paraId="2B491F08" w14:textId="77777777" w:rsidR="00515456" w:rsidRDefault="00000000">
      <w:r>
        <w:t>Combine dividend yield, buyback yield, and potentially debt reduction into a unified shareholder-yield factor.</w:t>
      </w:r>
    </w:p>
    <w:p w14:paraId="1D62455B" w14:textId="3E9061C8" w:rsidR="008C44BB" w:rsidRDefault="00E62FAE">
      <w:r w:rsidRPr="008D2073">
        <w:rPr>
          <w:b/>
          <w:bCs/>
          <w:color w:val="EE0000"/>
        </w:rPr>
        <w:t>DONE</w:t>
      </w:r>
    </w:p>
    <w:p w14:paraId="2F384D80" w14:textId="77777777" w:rsidR="00515456" w:rsidRDefault="00000000">
      <w:pPr>
        <w:pStyle w:val="Heading2"/>
      </w:pPr>
      <w:r>
        <w:t>7. Add Backtesting</w:t>
      </w:r>
    </w:p>
    <w:p w14:paraId="1E01E7F1" w14:textId="77777777" w:rsidR="00515456" w:rsidRDefault="00000000">
      <w:r>
        <w:t>Backtest the screener against benchmarks such as XLE using historical data. Measure CAGR, drawdown, Sharpe ratio, volatility, and win rate.</w:t>
      </w:r>
    </w:p>
    <w:p w14:paraId="4A2BC41E" w14:textId="77777777" w:rsidR="00515456" w:rsidRDefault="00000000">
      <w:pPr>
        <w:pStyle w:val="Heading2"/>
      </w:pPr>
      <w:r>
        <w:t>8. Add Avoidance Factors</w:t>
      </w:r>
    </w:p>
    <w:p w14:paraId="0C0F9C40" w14:textId="77777777" w:rsidR="00515456" w:rsidRDefault="00000000">
      <w:r>
        <w:t>Add penalties for persistent dilution, negative FCF streaks, extreme debt, dividend cuts, collapsing margins, and high earnings volatility.</w:t>
      </w:r>
    </w:p>
    <w:p w14:paraId="3891527A" w14:textId="4403FF29" w:rsidR="00497F8C" w:rsidRDefault="00497F8C">
      <w:r w:rsidRPr="008D2073">
        <w:rPr>
          <w:b/>
          <w:bCs/>
          <w:color w:val="EE0000"/>
        </w:rPr>
        <w:t>DONE</w:t>
      </w:r>
    </w:p>
    <w:p w14:paraId="4DEA0590" w14:textId="77777777" w:rsidR="00515456" w:rsidRDefault="00000000">
      <w:pPr>
        <w:pStyle w:val="Heading2"/>
      </w:pPr>
      <w:r>
        <w:t>9. Add Commodity Sensitivity Analysis</w:t>
      </w:r>
    </w:p>
    <w:p w14:paraId="25E435A3" w14:textId="77777777" w:rsidR="00515456" w:rsidRDefault="00000000">
      <w:r>
        <w:t>Estimate survivability and sensitivity to oil-price declines using margin stability, debt, and historical FCF during weak commodity periods.</w:t>
      </w:r>
    </w:p>
    <w:p w14:paraId="3EEA7D44" w14:textId="77777777" w:rsidR="00515456" w:rsidRDefault="00000000">
      <w:pPr>
        <w:pStyle w:val="Heading2"/>
      </w:pPr>
      <w:r>
        <w:t>10. Add Expected Return Modeling</w:t>
      </w:r>
    </w:p>
    <w:p w14:paraId="49D20343" w14:textId="526B9685" w:rsidR="00F73E41" w:rsidRDefault="00000000">
      <w:r>
        <w:t>Estimate expected forward returns instead of only generating BUY/SELL ratings using valuation, shareholder yield, ROIC, and growth factors.</w:t>
      </w:r>
    </w:p>
    <w:p w14:paraId="1980DFD1" w14:textId="12911BC1" w:rsidR="00497F8C" w:rsidRDefault="00497F8C">
      <w:r w:rsidRPr="008D2073">
        <w:rPr>
          <w:b/>
          <w:bCs/>
          <w:color w:val="EE0000"/>
        </w:rPr>
        <w:t>DONE</w:t>
      </w:r>
    </w:p>
    <w:p w14:paraId="2342259D" w14:textId="77777777" w:rsidR="00515456" w:rsidRDefault="00000000">
      <w:pPr>
        <w:pStyle w:val="Heading2"/>
      </w:pPr>
      <w:r>
        <w:t>11. Add Sector-Relative Valuation Spreads</w:t>
      </w:r>
    </w:p>
    <w:p w14:paraId="3BA9B6AD" w14:textId="77777777" w:rsidR="00515456" w:rsidRDefault="00000000">
      <w:r>
        <w:t>Compare company valuation metrics against subsector medians instead of using absolute valuation values.</w:t>
      </w:r>
    </w:p>
    <w:p w14:paraId="07C5E463" w14:textId="232EB537" w:rsidR="00752E82" w:rsidRPr="00752E82" w:rsidRDefault="00752E82">
      <w:pPr>
        <w:rPr>
          <w:b/>
          <w:bCs/>
          <w:color w:val="EE0000"/>
        </w:rPr>
      </w:pPr>
      <w:r w:rsidRPr="00752E82">
        <w:rPr>
          <w:b/>
          <w:bCs/>
          <w:color w:val="EE0000"/>
        </w:rPr>
        <w:t>DONE</w:t>
      </w:r>
    </w:p>
    <w:p w14:paraId="78D1DEFD" w14:textId="77777777" w:rsidR="00515456" w:rsidRDefault="00000000">
      <w:pPr>
        <w:pStyle w:val="Heading2"/>
      </w:pPr>
      <w:r>
        <w:t>12. Add Quality Compounder Detection</w:t>
      </w:r>
    </w:p>
    <w:p w14:paraId="26648F71" w14:textId="77777777" w:rsidR="00515456" w:rsidRDefault="00000000">
      <w:r>
        <w:t>Reward companies with improving ROIC, stable margins, shrinking share counts, low debt, and consistent FCF generation.</w:t>
      </w:r>
    </w:p>
    <w:p w14:paraId="199236E3" w14:textId="6860A900" w:rsidR="001206DA" w:rsidRDefault="001206DA">
      <w:r w:rsidRPr="008D2073">
        <w:rPr>
          <w:b/>
          <w:bCs/>
          <w:color w:val="EE0000"/>
        </w:rPr>
        <w:t>DONE</w:t>
      </w:r>
    </w:p>
    <w:p w14:paraId="7ADF9B84" w14:textId="77777777" w:rsidR="00515456" w:rsidRDefault="00000000">
      <w:pPr>
        <w:pStyle w:val="Heading2"/>
      </w:pPr>
      <w:r>
        <w:t>13. Remove Weaker Metrics</w:t>
      </w:r>
    </w:p>
    <w:p w14:paraId="6F5E235E" w14:textId="77777777" w:rsidR="00515456" w:rsidRDefault="00000000">
      <w:r>
        <w:t>Gradually reduce emphasis on lower-signal metrics such as raw revenue growth, EV/Sales, and short-term momentum.</w:t>
      </w:r>
    </w:p>
    <w:p w14:paraId="097FB647" w14:textId="77777777" w:rsidR="00515456" w:rsidRDefault="00000000">
      <w:pPr>
        <w:pStyle w:val="Heading2"/>
      </w:pPr>
      <w:r>
        <w:t>14. Build Factor Clusters</w:t>
      </w:r>
    </w:p>
    <w:p w14:paraId="03806F47" w14:textId="77777777" w:rsidR="00515456" w:rsidRDefault="00000000">
      <w:r>
        <w:t>Organize metrics into clusters such as Quality, Shareholder Yield, and Valuation to improve architecture and reduce overlap.</w:t>
      </w:r>
    </w:p>
    <w:p w14:paraId="7139B415" w14:textId="77777777" w:rsidR="00515456" w:rsidRDefault="00000000">
      <w:pPr>
        <w:pStyle w:val="Heading2"/>
      </w:pPr>
      <w:r>
        <w:lastRenderedPageBreak/>
        <w:t>15. Add Macro Regime Awareness</w:t>
      </w:r>
    </w:p>
    <w:p w14:paraId="4DBE79CC" w14:textId="77777777" w:rsidR="00515456" w:rsidRDefault="00000000">
      <w:r>
        <w:t>Dynamically adjust weights based on macro conditions such as inflation, oil shortages, recessions, or interest-rate environments.</w:t>
      </w:r>
    </w:p>
    <w:p w14:paraId="1F535DCE" w14:textId="6737C690" w:rsidR="00515456" w:rsidRDefault="00000000">
      <w:pPr>
        <w:pStyle w:val="Heading2"/>
      </w:pPr>
      <w:r>
        <w:t>Recommended Priority Order</w:t>
      </w:r>
    </w:p>
    <w:p w14:paraId="5C426161" w14:textId="77777777" w:rsidR="00515456" w:rsidRDefault="00000000">
      <w:pPr>
        <w:pStyle w:val="ListBullet"/>
      </w:pPr>
      <w:r>
        <w:t>1. Classification-relative percentile ranking</w:t>
      </w:r>
    </w:p>
    <w:p w14:paraId="799EB341" w14:textId="77777777" w:rsidR="00515456" w:rsidRDefault="00000000">
      <w:pPr>
        <w:pStyle w:val="ListBullet"/>
      </w:pPr>
      <w:r>
        <w:t>2. Backtesting</w:t>
      </w:r>
    </w:p>
    <w:p w14:paraId="584FCFD4" w14:textId="77777777" w:rsidR="00515456" w:rsidRDefault="00000000">
      <w:pPr>
        <w:pStyle w:val="ListBullet"/>
      </w:pPr>
      <w:r>
        <w:t>3. Normalized cycle-aware metrics</w:t>
      </w:r>
    </w:p>
    <w:p w14:paraId="08E4E4BE" w14:textId="77777777" w:rsidR="00515456" w:rsidRDefault="00000000">
      <w:pPr>
        <w:pStyle w:val="ListBullet"/>
      </w:pPr>
      <w:r>
        <w:t>4. Stability metrics</w:t>
      </w:r>
    </w:p>
    <w:p w14:paraId="5027EFA4" w14:textId="77777777" w:rsidR="00515456" w:rsidRDefault="00000000">
      <w:pPr>
        <w:pStyle w:val="ListBullet"/>
      </w:pPr>
      <w:r>
        <w:t>5. Continuous scoring systems</w:t>
      </w:r>
    </w:p>
    <w:p w14:paraId="27213D46" w14:textId="77777777" w:rsidR="00515456" w:rsidRDefault="00000000">
      <w:pPr>
        <w:pStyle w:val="ListBullet"/>
      </w:pPr>
      <w:r>
        <w:t>6. Shareholder yield factor</w:t>
      </w:r>
    </w:p>
    <w:sectPr w:rsidR="005154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D2D1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610359">
    <w:abstractNumId w:val="8"/>
  </w:num>
  <w:num w:numId="2" w16cid:durableId="970479615">
    <w:abstractNumId w:val="6"/>
  </w:num>
  <w:num w:numId="3" w16cid:durableId="1581673354">
    <w:abstractNumId w:val="5"/>
  </w:num>
  <w:num w:numId="4" w16cid:durableId="1477146562">
    <w:abstractNumId w:val="4"/>
  </w:num>
  <w:num w:numId="5" w16cid:durableId="1466846666">
    <w:abstractNumId w:val="7"/>
  </w:num>
  <w:num w:numId="6" w16cid:durableId="828247381">
    <w:abstractNumId w:val="3"/>
  </w:num>
  <w:num w:numId="7" w16cid:durableId="1351448266">
    <w:abstractNumId w:val="2"/>
  </w:num>
  <w:num w:numId="8" w16cid:durableId="2020086200">
    <w:abstractNumId w:val="1"/>
  </w:num>
  <w:num w:numId="9" w16cid:durableId="95744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07"/>
    <w:rsid w:val="000B060E"/>
    <w:rsid w:val="001206DA"/>
    <w:rsid w:val="0015074B"/>
    <w:rsid w:val="00197236"/>
    <w:rsid w:val="001D2E31"/>
    <w:rsid w:val="00202B8A"/>
    <w:rsid w:val="0029639D"/>
    <w:rsid w:val="00326F90"/>
    <w:rsid w:val="003318F0"/>
    <w:rsid w:val="003819FA"/>
    <w:rsid w:val="00497F8C"/>
    <w:rsid w:val="004D5034"/>
    <w:rsid w:val="00515456"/>
    <w:rsid w:val="00610862"/>
    <w:rsid w:val="00631492"/>
    <w:rsid w:val="007222FB"/>
    <w:rsid w:val="00752E82"/>
    <w:rsid w:val="00793750"/>
    <w:rsid w:val="00850699"/>
    <w:rsid w:val="00871B8A"/>
    <w:rsid w:val="00881426"/>
    <w:rsid w:val="008C44BB"/>
    <w:rsid w:val="008D2073"/>
    <w:rsid w:val="009939EA"/>
    <w:rsid w:val="00AA1D8D"/>
    <w:rsid w:val="00B12E08"/>
    <w:rsid w:val="00B32E1C"/>
    <w:rsid w:val="00B47730"/>
    <w:rsid w:val="00B65B57"/>
    <w:rsid w:val="00CB0664"/>
    <w:rsid w:val="00E111CF"/>
    <w:rsid w:val="00E20185"/>
    <w:rsid w:val="00E62FAE"/>
    <w:rsid w:val="00F73E41"/>
    <w:rsid w:val="00FA1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19D8F"/>
  <w14:defaultImageDpi w14:val="300"/>
  <w15:docId w15:val="{CA18574B-962E-4A72-91C6-76FE1321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6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Alfonso, Hector I.</cp:lastModifiedBy>
  <cp:revision>1</cp:revision>
  <dcterms:created xsi:type="dcterms:W3CDTF">2013-12-23T23:15:00Z</dcterms:created>
  <dcterms:modified xsi:type="dcterms:W3CDTF">2026-05-30T19:39:00Z</dcterms:modified>
  <cp:category/>
</cp:coreProperties>
</file>