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DA" w:rsidRDefault="00A8328E" w:rsidP="005563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HALF-PINT </w:t>
      </w:r>
      <w:bookmarkStart w:id="0" w:name="_GoBack"/>
      <w:bookmarkEnd w:id="0"/>
      <w:r w:rsidR="001C34A8">
        <w:rPr>
          <w:b/>
          <w:sz w:val="28"/>
          <w:szCs w:val="28"/>
        </w:rPr>
        <w:t xml:space="preserve">Study Management </w:t>
      </w:r>
      <w:r w:rsidR="005563DA" w:rsidRPr="004A1C0A">
        <w:rPr>
          <w:b/>
          <w:sz w:val="28"/>
          <w:szCs w:val="28"/>
        </w:rPr>
        <w:t>FAQ</w:t>
      </w:r>
    </w:p>
    <w:p w:rsidR="003D2242" w:rsidRDefault="003D2242" w:rsidP="005563DA">
      <w:pPr>
        <w:jc w:val="center"/>
        <w:rPr>
          <w:b/>
          <w:sz w:val="28"/>
          <w:szCs w:val="28"/>
        </w:rPr>
      </w:pPr>
    </w:p>
    <w:p w:rsidR="005563DA" w:rsidRPr="004A1C0A" w:rsidRDefault="007F50B0" w:rsidP="001D6BA2">
      <w:r w:rsidRPr="007F50B0">
        <w:rPr>
          <w:b/>
          <w:u w:val="single"/>
        </w:rPr>
        <w:t>Screening</w:t>
      </w:r>
    </w:p>
    <w:p w:rsidR="001D6BA2" w:rsidRPr="004A1C0A" w:rsidRDefault="00C07B37" w:rsidP="00FE3374">
      <w:pPr>
        <w:rPr>
          <w:b/>
        </w:rPr>
      </w:pPr>
      <w:r w:rsidRPr="004A1C0A">
        <w:rPr>
          <w:b/>
        </w:rPr>
        <w:t>Q:</w:t>
      </w:r>
      <w:r w:rsidRPr="004A1C0A">
        <w:rPr>
          <w:b/>
        </w:rPr>
        <w:tab/>
      </w:r>
      <w:r w:rsidR="00FE3374" w:rsidRPr="004A1C0A">
        <w:rPr>
          <w:b/>
        </w:rPr>
        <w:t xml:space="preserve">A patient was admitted in the </w:t>
      </w:r>
      <w:r w:rsidR="001D6BA2" w:rsidRPr="004A1C0A">
        <w:rPr>
          <w:b/>
        </w:rPr>
        <w:t>evening but I d</w:t>
      </w:r>
      <w:r w:rsidR="001B68C0">
        <w:rPr>
          <w:b/>
        </w:rPr>
        <w:t>id</w:t>
      </w:r>
      <w:r w:rsidR="001D6BA2" w:rsidRPr="004A1C0A">
        <w:rPr>
          <w:b/>
        </w:rPr>
        <w:t>n’t screen until the following morning.</w:t>
      </w:r>
      <w:r w:rsidR="00FE3374" w:rsidRPr="004A1C0A">
        <w:rPr>
          <w:b/>
        </w:rPr>
        <w:t xml:space="preserve"> </w:t>
      </w:r>
      <w:r w:rsidR="001B68C0">
        <w:rPr>
          <w:b/>
        </w:rPr>
        <w:t xml:space="preserve"> </w:t>
      </w:r>
      <w:r w:rsidR="00FE3374" w:rsidRPr="004A1C0A">
        <w:rPr>
          <w:b/>
        </w:rPr>
        <w:t>T</w:t>
      </w:r>
      <w:r w:rsidR="001D6BA2" w:rsidRPr="004A1C0A">
        <w:rPr>
          <w:b/>
        </w:rPr>
        <w:t xml:space="preserve">he </w:t>
      </w:r>
      <w:r w:rsidR="001B68C0">
        <w:rPr>
          <w:b/>
        </w:rPr>
        <w:tab/>
      </w:r>
      <w:r w:rsidR="001D6BA2" w:rsidRPr="004A1C0A">
        <w:rPr>
          <w:b/>
        </w:rPr>
        <w:t xml:space="preserve">first </w:t>
      </w:r>
      <w:r w:rsidR="00FE3374" w:rsidRPr="004A1C0A">
        <w:rPr>
          <w:b/>
        </w:rPr>
        <w:t xml:space="preserve">two </w:t>
      </w:r>
      <w:r w:rsidR="001D6BA2" w:rsidRPr="004A1C0A">
        <w:rPr>
          <w:b/>
        </w:rPr>
        <w:t>glucose</w:t>
      </w:r>
      <w:r w:rsidR="00FE3374" w:rsidRPr="004A1C0A">
        <w:rPr>
          <w:b/>
        </w:rPr>
        <w:t xml:space="preserve"> results</w:t>
      </w:r>
      <w:r w:rsidR="001D6BA2" w:rsidRPr="004A1C0A">
        <w:rPr>
          <w:b/>
        </w:rPr>
        <w:t xml:space="preserve"> meet randomization criteria but the patient has not </w:t>
      </w:r>
      <w:r w:rsidR="00FE3374" w:rsidRPr="004A1C0A">
        <w:rPr>
          <w:b/>
        </w:rPr>
        <w:t xml:space="preserve">yet </w:t>
      </w:r>
      <w:r w:rsidR="001D6BA2" w:rsidRPr="004A1C0A">
        <w:rPr>
          <w:b/>
        </w:rPr>
        <w:t>consented.</w:t>
      </w:r>
      <w:r w:rsidR="00FE3374" w:rsidRPr="004A1C0A">
        <w:rPr>
          <w:b/>
        </w:rPr>
        <w:t xml:space="preserve"> </w:t>
      </w:r>
      <w:r w:rsidR="001D6BA2" w:rsidRPr="004A1C0A">
        <w:rPr>
          <w:b/>
        </w:rPr>
        <w:t xml:space="preserve"> </w:t>
      </w:r>
      <w:r w:rsidR="001B68C0">
        <w:rPr>
          <w:b/>
        </w:rPr>
        <w:tab/>
      </w:r>
      <w:r w:rsidR="001D6BA2" w:rsidRPr="004A1C0A">
        <w:rPr>
          <w:b/>
        </w:rPr>
        <w:t>The next morning he is consented and enrolled</w:t>
      </w:r>
      <w:r w:rsidR="00FE3374" w:rsidRPr="004A1C0A">
        <w:rPr>
          <w:b/>
        </w:rPr>
        <w:t>,</w:t>
      </w:r>
      <w:r w:rsidR="001D6BA2" w:rsidRPr="004A1C0A">
        <w:rPr>
          <w:b/>
        </w:rPr>
        <w:t xml:space="preserve"> but glucoses are consistently less than 150</w:t>
      </w:r>
      <w:r w:rsidR="00FE3374" w:rsidRPr="004A1C0A">
        <w:rPr>
          <w:b/>
        </w:rPr>
        <w:t xml:space="preserve"> </w:t>
      </w:r>
      <w:r w:rsidR="001B68C0">
        <w:rPr>
          <w:b/>
        </w:rPr>
        <w:tab/>
      </w:r>
      <w:r w:rsidR="00FE3374" w:rsidRPr="004A1C0A">
        <w:rPr>
          <w:b/>
        </w:rPr>
        <w:t>mg/</w:t>
      </w:r>
      <w:proofErr w:type="spellStart"/>
      <w:r w:rsidR="00FE3374" w:rsidRPr="004A1C0A">
        <w:rPr>
          <w:b/>
        </w:rPr>
        <w:t>dL</w:t>
      </w:r>
      <w:proofErr w:type="spellEnd"/>
      <w:r w:rsidR="001D6BA2" w:rsidRPr="004A1C0A">
        <w:rPr>
          <w:b/>
        </w:rPr>
        <w:t>.</w:t>
      </w:r>
      <w:r w:rsidR="001B68C0">
        <w:rPr>
          <w:b/>
        </w:rPr>
        <w:t xml:space="preserve">  </w:t>
      </w:r>
      <w:r w:rsidR="00FE3374" w:rsidRPr="004A1C0A">
        <w:rPr>
          <w:b/>
        </w:rPr>
        <w:t xml:space="preserve">Do we consider the first two results, prior to consent, </w:t>
      </w:r>
      <w:r w:rsidR="001B68C0">
        <w:rPr>
          <w:b/>
        </w:rPr>
        <w:t xml:space="preserve">to qualify the </w:t>
      </w:r>
      <w:r w:rsidR="00FE3374" w:rsidRPr="004A1C0A">
        <w:rPr>
          <w:b/>
        </w:rPr>
        <w:t xml:space="preserve">subject </w:t>
      </w:r>
      <w:r w:rsidR="001B68C0">
        <w:rPr>
          <w:b/>
        </w:rPr>
        <w:t>for</w:t>
      </w:r>
      <w:r w:rsidR="00FE3374" w:rsidRPr="004A1C0A">
        <w:rPr>
          <w:b/>
        </w:rPr>
        <w:t xml:space="preserve"> </w:t>
      </w:r>
      <w:r w:rsidR="001B68C0">
        <w:rPr>
          <w:b/>
        </w:rPr>
        <w:tab/>
      </w:r>
      <w:r w:rsidR="00FE3374" w:rsidRPr="004A1C0A">
        <w:rPr>
          <w:b/>
        </w:rPr>
        <w:t>randomiz</w:t>
      </w:r>
      <w:r w:rsidR="001B68C0">
        <w:rPr>
          <w:b/>
        </w:rPr>
        <w:t>ation</w:t>
      </w:r>
      <w:r w:rsidR="00FE3374" w:rsidRPr="004A1C0A">
        <w:rPr>
          <w:b/>
        </w:rPr>
        <w:t xml:space="preserve">, </w:t>
      </w:r>
      <w:r w:rsidR="001D6BA2" w:rsidRPr="004A1C0A">
        <w:rPr>
          <w:b/>
        </w:rPr>
        <w:t>or</w:t>
      </w:r>
      <w:r w:rsidR="00FE3374" w:rsidRPr="004A1C0A">
        <w:rPr>
          <w:b/>
        </w:rPr>
        <w:t xml:space="preserve"> </w:t>
      </w:r>
      <w:r w:rsidR="00344BAA">
        <w:rPr>
          <w:b/>
        </w:rPr>
        <w:t>track on</w:t>
      </w:r>
      <w:r w:rsidR="00FE3374" w:rsidRPr="004A1C0A">
        <w:rPr>
          <w:b/>
        </w:rPr>
        <w:t>ly the glucose results since he was consented?</w:t>
      </w:r>
    </w:p>
    <w:p w:rsidR="00BB55CB" w:rsidRPr="004A1C0A" w:rsidRDefault="00BB55CB" w:rsidP="00FE3374"/>
    <w:p w:rsidR="00BB55CB" w:rsidRPr="004A1C0A" w:rsidRDefault="00C07B37" w:rsidP="00C07B37">
      <w:r w:rsidRPr="004A1C0A">
        <w:t>A:</w:t>
      </w:r>
      <w:r w:rsidRPr="004A1C0A">
        <w:tab/>
      </w:r>
      <w:r w:rsidR="00BB55CB" w:rsidRPr="004A1C0A">
        <w:t xml:space="preserve">Patients are first determined to be eligible for HALF-PINT based upon the Inclusion and Exclusion </w:t>
      </w:r>
      <w:r w:rsidRPr="004A1C0A">
        <w:tab/>
      </w:r>
      <w:r w:rsidR="00BB55CB" w:rsidRPr="004A1C0A">
        <w:t>criteria and are then consented</w:t>
      </w:r>
      <w:r w:rsidR="00312468">
        <w:t xml:space="preserve"> if appropriate</w:t>
      </w:r>
      <w:r w:rsidR="00BB55CB" w:rsidRPr="004A1C0A">
        <w:t xml:space="preserve">.  </w:t>
      </w:r>
      <w:r w:rsidR="00AF6CBE" w:rsidRPr="004A1C0A">
        <w:t xml:space="preserve">Tracking of glucose levels for hyperglycemia </w:t>
      </w:r>
      <w:r w:rsidR="00312468">
        <w:tab/>
      </w:r>
      <w:r w:rsidR="00AF6CBE" w:rsidRPr="004A1C0A">
        <w:t xml:space="preserve">(study defined as </w:t>
      </w:r>
      <w:r w:rsidR="00AF6CBE" w:rsidRPr="004A1C0A">
        <w:rPr>
          <w:u w:val="single"/>
        </w:rPr>
        <w:t>&gt;</w:t>
      </w:r>
      <w:r w:rsidR="00AF6CBE" w:rsidRPr="004A1C0A">
        <w:t xml:space="preserve"> 150 mg/</w:t>
      </w:r>
      <w:proofErr w:type="spellStart"/>
      <w:r w:rsidR="00AF6CBE" w:rsidRPr="004A1C0A">
        <w:t>dL</w:t>
      </w:r>
      <w:proofErr w:type="spellEnd"/>
      <w:r w:rsidR="00AF6CBE" w:rsidRPr="004A1C0A">
        <w:t xml:space="preserve">, with a consecutive, confirmatory value also </w:t>
      </w:r>
      <w:r w:rsidR="00AF6CBE" w:rsidRPr="004A1C0A">
        <w:rPr>
          <w:u w:val="single"/>
        </w:rPr>
        <w:t>&gt;</w:t>
      </w:r>
      <w:r w:rsidR="00AF6CBE" w:rsidRPr="004A1C0A">
        <w:t xml:space="preserve"> 150 mg/</w:t>
      </w:r>
      <w:proofErr w:type="spellStart"/>
      <w:r w:rsidR="00AF6CBE" w:rsidRPr="004A1C0A">
        <w:t>dL</w:t>
      </w:r>
      <w:proofErr w:type="spellEnd"/>
      <w:r w:rsidR="00AF6CBE" w:rsidRPr="004A1C0A">
        <w:t xml:space="preserve">, within </w:t>
      </w:r>
      <w:r w:rsidR="00312468">
        <w:tab/>
      </w:r>
      <w:r w:rsidR="00AF6CBE" w:rsidRPr="004A1C0A">
        <w:t>24 hours or less)</w:t>
      </w:r>
      <w:r w:rsidR="00312468">
        <w:t xml:space="preserve"> </w:t>
      </w:r>
      <w:r w:rsidR="00AF6CBE" w:rsidRPr="004A1C0A">
        <w:t xml:space="preserve">begins only </w:t>
      </w:r>
      <w:r w:rsidR="00AF6CBE" w:rsidRPr="00312468">
        <w:rPr>
          <w:i/>
        </w:rPr>
        <w:t>after</w:t>
      </w:r>
      <w:r w:rsidR="00AF6CBE" w:rsidRPr="004A1C0A">
        <w:t xml:space="preserve"> consent has been obtained.  Therefore, the subject </w:t>
      </w:r>
      <w:r w:rsidR="00AF6CBE" w:rsidRPr="00312468">
        <w:rPr>
          <w:i/>
        </w:rPr>
        <w:t>would not</w:t>
      </w:r>
      <w:r w:rsidR="00AF6CBE" w:rsidRPr="004A1C0A">
        <w:t xml:space="preserve"> </w:t>
      </w:r>
      <w:r w:rsidR="00312468">
        <w:tab/>
      </w:r>
      <w:r w:rsidR="00AF6CBE" w:rsidRPr="004A1C0A">
        <w:t xml:space="preserve">be randomized </w:t>
      </w:r>
      <w:r w:rsidRPr="004A1C0A">
        <w:tab/>
      </w:r>
      <w:r w:rsidR="00AF6CBE" w:rsidRPr="004A1C0A">
        <w:t>based upon the glucose values obtained prior to consent.</w:t>
      </w:r>
    </w:p>
    <w:p w:rsidR="00AF6CBE" w:rsidRDefault="00AF6CBE" w:rsidP="00AF6CBE"/>
    <w:p w:rsidR="006E1AC3" w:rsidRDefault="006E1AC3" w:rsidP="00AF6CBE"/>
    <w:p w:rsidR="006E1AC3" w:rsidRPr="003F2EE4" w:rsidRDefault="006E1AC3" w:rsidP="006E1AC3">
      <w:pPr>
        <w:rPr>
          <w:b/>
        </w:rPr>
      </w:pPr>
      <w:r w:rsidRPr="003F2EE4">
        <w:rPr>
          <w:b/>
        </w:rPr>
        <w:t xml:space="preserve">Q: </w:t>
      </w:r>
      <w:r w:rsidRPr="003F2EE4">
        <w:rPr>
          <w:b/>
        </w:rPr>
        <w:tab/>
        <w:t xml:space="preserve">What if a patient is admitted during the night and started on insulin prior to </w:t>
      </w:r>
      <w:r w:rsidR="002C49DD">
        <w:rPr>
          <w:b/>
        </w:rPr>
        <w:t>being screened?</w:t>
      </w:r>
      <w:r w:rsidRPr="003F2EE4">
        <w:rPr>
          <w:b/>
        </w:rPr>
        <w:t xml:space="preserve"> </w:t>
      </w:r>
      <w:r>
        <w:rPr>
          <w:b/>
        </w:rPr>
        <w:tab/>
      </w:r>
      <w:r w:rsidRPr="003F2EE4">
        <w:rPr>
          <w:b/>
        </w:rPr>
        <w:t>If</w:t>
      </w:r>
      <w:r>
        <w:rPr>
          <w:b/>
        </w:rPr>
        <w:t xml:space="preserve"> </w:t>
      </w:r>
      <w:r w:rsidRPr="003F2EE4">
        <w:rPr>
          <w:b/>
        </w:rPr>
        <w:t>she is eligible, should we still consent and then track this patient for hyperglycemia?</w:t>
      </w:r>
    </w:p>
    <w:p w:rsidR="006E1AC3" w:rsidRDefault="006E1AC3" w:rsidP="006E1AC3"/>
    <w:p w:rsidR="006E1AC3" w:rsidRDefault="006E1AC3" w:rsidP="006E1AC3">
      <w:r>
        <w:t>A:</w:t>
      </w:r>
      <w:r>
        <w:tab/>
        <w:t xml:space="preserve"> Yes, if eligible (meets all inclusion criteria and no exclusion criteria) you would initiate the </w:t>
      </w:r>
      <w:r>
        <w:tab/>
        <w:t>consent process and then track this subject as you would all others.</w:t>
      </w:r>
    </w:p>
    <w:p w:rsidR="006E1AC3" w:rsidRDefault="006E1AC3" w:rsidP="00AF6CBE"/>
    <w:p w:rsidR="006E1AC3" w:rsidRDefault="006E1AC3" w:rsidP="00AF6CBE"/>
    <w:p w:rsidR="006E1AC3" w:rsidRPr="00CC7437" w:rsidRDefault="006E1AC3" w:rsidP="006E1AC3">
      <w:pPr>
        <w:rPr>
          <w:b/>
        </w:rPr>
      </w:pPr>
      <w:r w:rsidRPr="00CC7437">
        <w:rPr>
          <w:b/>
        </w:rPr>
        <w:t>Q:</w:t>
      </w:r>
      <w:r w:rsidRPr="00CC7437">
        <w:rPr>
          <w:b/>
        </w:rPr>
        <w:tab/>
        <w:t xml:space="preserve"> Yesterday I screened a neonate who met clinical eligibility except that he was 23 days old.  He </w:t>
      </w:r>
      <w:r w:rsidRPr="00CC7437">
        <w:rPr>
          <w:b/>
        </w:rPr>
        <w:tab/>
        <w:t>had been born premature</w:t>
      </w:r>
      <w:r w:rsidR="009E1B16">
        <w:rPr>
          <w:b/>
        </w:rPr>
        <w:t>ly</w:t>
      </w:r>
      <w:r w:rsidRPr="00CC7437">
        <w:rPr>
          <w:b/>
        </w:rPr>
        <w:t xml:space="preserve"> and was one day short of 42 weeks (adjusted) gestation</w:t>
      </w:r>
      <w:r w:rsidR="009E1B16">
        <w:rPr>
          <w:b/>
        </w:rPr>
        <w:t>al age</w:t>
      </w:r>
      <w:r w:rsidRPr="00CC7437">
        <w:rPr>
          <w:b/>
        </w:rPr>
        <w:t xml:space="preserve">.  </w:t>
      </w:r>
      <w:r w:rsidR="009E1B16">
        <w:rPr>
          <w:b/>
        </w:rPr>
        <w:tab/>
      </w:r>
      <w:r w:rsidRPr="00CC7437">
        <w:rPr>
          <w:b/>
        </w:rPr>
        <w:t xml:space="preserve">The patient is now 24 days old (meeting the required </w:t>
      </w:r>
      <w:r w:rsidRPr="00CC7437">
        <w:rPr>
          <w:b/>
          <w:u w:val="single"/>
        </w:rPr>
        <w:t>&gt;</w:t>
      </w:r>
      <w:r w:rsidRPr="00CC7437">
        <w:rPr>
          <w:b/>
        </w:rPr>
        <w:t xml:space="preserve"> 2 weeks and </w:t>
      </w:r>
      <w:r w:rsidRPr="00CC7437">
        <w:rPr>
          <w:b/>
          <w:u w:val="single"/>
        </w:rPr>
        <w:t>&gt;</w:t>
      </w:r>
      <w:r w:rsidRPr="00CC7437">
        <w:rPr>
          <w:b/>
        </w:rPr>
        <w:t xml:space="preserve"> 42 weeks corrected </w:t>
      </w:r>
      <w:r>
        <w:rPr>
          <w:b/>
        </w:rPr>
        <w:tab/>
      </w:r>
      <w:r w:rsidRPr="00CC7437">
        <w:rPr>
          <w:b/>
        </w:rPr>
        <w:t>gestational age) and still meets</w:t>
      </w:r>
      <w:r w:rsidR="009E1B16">
        <w:rPr>
          <w:b/>
        </w:rPr>
        <w:t xml:space="preserve"> other eligibility</w:t>
      </w:r>
      <w:r w:rsidRPr="00CC7437">
        <w:rPr>
          <w:b/>
        </w:rPr>
        <w:t xml:space="preserve"> criteria.  Should we try and consent this </w:t>
      </w:r>
      <w:r w:rsidR="009E1B16">
        <w:rPr>
          <w:b/>
        </w:rPr>
        <w:tab/>
      </w:r>
      <w:r w:rsidRPr="00CC7437">
        <w:rPr>
          <w:b/>
        </w:rPr>
        <w:t>patient or is it too late?</w:t>
      </w:r>
    </w:p>
    <w:p w:rsidR="006E1AC3" w:rsidRDefault="006E1AC3" w:rsidP="006E1AC3"/>
    <w:p w:rsidR="006E1AC3" w:rsidRPr="004A1C0A" w:rsidRDefault="006E1AC3" w:rsidP="006E1AC3">
      <w:pPr>
        <w:ind w:left="720" w:hanging="720"/>
      </w:pPr>
      <w:r>
        <w:t>A:</w:t>
      </w:r>
      <w:r>
        <w:tab/>
        <w:t xml:space="preserve">Even if the patient was intubated or put on IV vasopressors/inotropes prior to meeting study defined age eligibility (because they are less than 2 weeks/42 weeks corrected gestational age), they can be </w:t>
      </w:r>
      <w:r w:rsidR="009E1B16">
        <w:t>screened</w:t>
      </w:r>
      <w:r>
        <w:t xml:space="preserve"> upon aging into the age (meeting the minimum)</w:t>
      </w:r>
      <w:r w:rsidR="009E1B16">
        <w:t xml:space="preserve"> eligibility criteria.  If the patient meets all inclusion and no exclusion criteria, consent process should be initiated.</w:t>
      </w:r>
    </w:p>
    <w:p w:rsidR="006E1AC3" w:rsidRPr="004A1C0A" w:rsidRDefault="006E1AC3" w:rsidP="00AF6CBE"/>
    <w:p w:rsidR="007F50B0" w:rsidRDefault="007F50B0" w:rsidP="00AF6CBE">
      <w:pPr>
        <w:rPr>
          <w:b/>
          <w:u w:val="single"/>
        </w:rPr>
      </w:pPr>
    </w:p>
    <w:p w:rsidR="00AF6CBE" w:rsidRPr="007F50B0" w:rsidRDefault="007F50B0" w:rsidP="00AF6CBE">
      <w:pPr>
        <w:rPr>
          <w:b/>
          <w:u w:val="single"/>
        </w:rPr>
      </w:pPr>
      <w:r w:rsidRPr="007F50B0">
        <w:rPr>
          <w:b/>
          <w:u w:val="single"/>
        </w:rPr>
        <w:t>Tracking</w:t>
      </w:r>
    </w:p>
    <w:p w:rsidR="00AF6CBE" w:rsidRPr="00DE700E" w:rsidRDefault="00C07B37" w:rsidP="00AF6CBE">
      <w:pPr>
        <w:rPr>
          <w:b/>
        </w:rPr>
      </w:pPr>
      <w:r w:rsidRPr="00DE700E">
        <w:rPr>
          <w:b/>
        </w:rPr>
        <w:t>Q:</w:t>
      </w:r>
      <w:r w:rsidRPr="00DE700E">
        <w:rPr>
          <w:b/>
        </w:rPr>
        <w:tab/>
      </w:r>
      <w:r w:rsidR="001D6BA2" w:rsidRPr="00DE700E">
        <w:rPr>
          <w:b/>
        </w:rPr>
        <w:t xml:space="preserve">If a </w:t>
      </w:r>
      <w:r w:rsidR="00AF6CBE" w:rsidRPr="00DE700E">
        <w:rPr>
          <w:b/>
        </w:rPr>
        <w:t>consented subject</w:t>
      </w:r>
      <w:r w:rsidR="001D6BA2" w:rsidRPr="00DE700E">
        <w:rPr>
          <w:b/>
        </w:rPr>
        <w:t xml:space="preserve"> is randomized</w:t>
      </w:r>
      <w:r w:rsidR="00AF6CBE" w:rsidRPr="00DE700E">
        <w:rPr>
          <w:b/>
        </w:rPr>
        <w:t>, do we stop tracking on the C</w:t>
      </w:r>
      <w:r w:rsidR="001D6BA2" w:rsidRPr="00DE700E">
        <w:rPr>
          <w:b/>
        </w:rPr>
        <w:t xml:space="preserve">onsented </w:t>
      </w:r>
      <w:r w:rsidR="00AF6CBE" w:rsidRPr="00DE700E">
        <w:rPr>
          <w:b/>
        </w:rPr>
        <w:t>S</w:t>
      </w:r>
      <w:r w:rsidR="001D6BA2" w:rsidRPr="00DE700E">
        <w:rPr>
          <w:b/>
        </w:rPr>
        <w:t xml:space="preserve">ubject </w:t>
      </w:r>
      <w:r w:rsidR="00AF6CBE" w:rsidRPr="00DE700E">
        <w:rPr>
          <w:b/>
        </w:rPr>
        <w:t>T</w:t>
      </w:r>
      <w:r w:rsidR="001D6BA2" w:rsidRPr="00DE700E">
        <w:rPr>
          <w:b/>
        </w:rPr>
        <w:t xml:space="preserve">racking </w:t>
      </w:r>
      <w:r w:rsidRPr="00DE700E">
        <w:rPr>
          <w:b/>
        </w:rPr>
        <w:tab/>
      </w:r>
      <w:r w:rsidR="00AF6CBE" w:rsidRPr="00DE700E">
        <w:rPr>
          <w:b/>
        </w:rPr>
        <w:t>S</w:t>
      </w:r>
      <w:r w:rsidR="001D6BA2" w:rsidRPr="00DE700E">
        <w:rPr>
          <w:b/>
        </w:rPr>
        <w:t xml:space="preserve">heet? </w:t>
      </w:r>
    </w:p>
    <w:p w:rsidR="00AF6CBE" w:rsidRPr="004A1C0A" w:rsidRDefault="00AF6CBE" w:rsidP="00AF6CBE"/>
    <w:p w:rsidR="00AF6CBE" w:rsidRPr="004A1C0A" w:rsidRDefault="00C07B37" w:rsidP="00C07B37">
      <w:r w:rsidRPr="004A1C0A">
        <w:t>A:</w:t>
      </w:r>
      <w:r w:rsidRPr="004A1C0A">
        <w:tab/>
      </w:r>
      <w:r w:rsidR="001D6BA2" w:rsidRPr="004A1C0A">
        <w:t>YES!</w:t>
      </w:r>
      <w:r w:rsidR="00AF6CBE" w:rsidRPr="004A1C0A">
        <w:t xml:space="preserve">  Consented subjects are only tracked on the Consented Subject Tracking Sheet until:</w:t>
      </w:r>
    </w:p>
    <w:p w:rsidR="00AF6CBE" w:rsidRPr="004A1C0A" w:rsidRDefault="00AF6CBE" w:rsidP="00AF6CBE">
      <w:pPr>
        <w:pStyle w:val="ListParagraph"/>
        <w:numPr>
          <w:ilvl w:val="0"/>
          <w:numId w:val="5"/>
        </w:numPr>
      </w:pPr>
      <w:r w:rsidRPr="004A1C0A">
        <w:t>They meet the study definition of hyperglycemia and</w:t>
      </w:r>
      <w:r w:rsidR="00CB3EFC">
        <w:t xml:space="preserve"> </w:t>
      </w:r>
      <w:r w:rsidRPr="004A1C0A">
        <w:t>are randomized</w:t>
      </w:r>
      <w:r w:rsidR="004A1C0A">
        <w:t xml:space="preserve"> (future glucose values </w:t>
      </w:r>
      <w:r w:rsidR="00CB3EFC">
        <w:t xml:space="preserve">are then </w:t>
      </w:r>
      <w:r w:rsidR="004A1C0A">
        <w:t>entered into CHECKS algorithm</w:t>
      </w:r>
      <w:r w:rsidR="00CB3EFC">
        <w:t xml:space="preserve">, discontinue documenting on Tracking sheet </w:t>
      </w:r>
      <w:r w:rsidR="004A1C0A">
        <w:t xml:space="preserve">) </w:t>
      </w:r>
      <w:r w:rsidR="00CB3EFC">
        <w:t>or</w:t>
      </w:r>
    </w:p>
    <w:p w:rsidR="00AF6CBE" w:rsidRPr="004A1C0A" w:rsidRDefault="00AF6CBE" w:rsidP="00AF6CBE">
      <w:pPr>
        <w:pStyle w:val="ListParagraph"/>
        <w:numPr>
          <w:ilvl w:val="0"/>
          <w:numId w:val="5"/>
        </w:numPr>
      </w:pPr>
      <w:r w:rsidRPr="004A1C0A">
        <w:t>They reach study day C-28 (28 days of tracking</w:t>
      </w:r>
      <w:r w:rsidR="00CB3EFC">
        <w:t xml:space="preserve"> with no hyperglycemia</w:t>
      </w:r>
      <w:r w:rsidR="004A1C0A">
        <w:t>; then study discharged</w:t>
      </w:r>
      <w:r w:rsidRPr="004A1C0A">
        <w:t>)</w:t>
      </w:r>
      <w:r w:rsidR="00CB3EFC">
        <w:t xml:space="preserve"> or</w:t>
      </w:r>
    </w:p>
    <w:p w:rsidR="00C07B37" w:rsidRPr="004A1C0A" w:rsidRDefault="00C07B37" w:rsidP="00AF6CBE">
      <w:pPr>
        <w:pStyle w:val="ListParagraph"/>
        <w:numPr>
          <w:ilvl w:val="0"/>
          <w:numId w:val="5"/>
        </w:numPr>
      </w:pPr>
      <w:r w:rsidRPr="004A1C0A">
        <w:t xml:space="preserve">They become ineligible for a reason other than off vasopressors/inotropes or </w:t>
      </w:r>
      <w:proofErr w:type="spellStart"/>
      <w:r w:rsidRPr="004A1C0A">
        <w:t>extubated</w:t>
      </w:r>
      <w:proofErr w:type="spellEnd"/>
      <w:r w:rsidRPr="004A1C0A">
        <w:t xml:space="preserve"> (e.g., discharged from ICU, family/team have decided to limit/redirect care from aggressive ICU technological support, subject had new cardiac surgery</w:t>
      </w:r>
      <w:r w:rsidR="004A1C0A">
        <w:t>; then study discharged</w:t>
      </w:r>
      <w:r w:rsidRPr="004A1C0A">
        <w:t>)</w:t>
      </w:r>
      <w:r w:rsidR="00CB3EFC">
        <w:t>.</w:t>
      </w:r>
    </w:p>
    <w:p w:rsidR="00AF6CBE" w:rsidRDefault="00AF6CBE" w:rsidP="00AF6CBE"/>
    <w:p w:rsidR="006E1AC3" w:rsidRPr="004D0676" w:rsidRDefault="006E1AC3" w:rsidP="006E1AC3">
      <w:pPr>
        <w:rPr>
          <w:b/>
        </w:rPr>
      </w:pPr>
      <w:r w:rsidRPr="004D0676">
        <w:rPr>
          <w:b/>
        </w:rPr>
        <w:t>Q:</w:t>
      </w:r>
      <w:r w:rsidRPr="004D0676">
        <w:rPr>
          <w:b/>
        </w:rPr>
        <w:tab/>
        <w:t xml:space="preserve">A subject had two glucose results documented within 10 minutes of each other that were over </w:t>
      </w:r>
      <w:r w:rsidRPr="004D0676">
        <w:rPr>
          <w:b/>
        </w:rPr>
        <w:tab/>
        <w:t>150 mg/</w:t>
      </w:r>
      <w:proofErr w:type="spellStart"/>
      <w:r w:rsidRPr="004D0676">
        <w:rPr>
          <w:b/>
        </w:rPr>
        <w:t>dL</w:t>
      </w:r>
      <w:proofErr w:type="spellEnd"/>
      <w:r w:rsidRPr="004D0676">
        <w:rPr>
          <w:b/>
        </w:rPr>
        <w:t xml:space="preserve">  which appeared to be run at different times and therefore from different blood </w:t>
      </w:r>
      <w:r w:rsidRPr="004D0676">
        <w:rPr>
          <w:b/>
        </w:rPr>
        <w:tab/>
        <w:t>draws.  Would we consider these to be the i</w:t>
      </w:r>
      <w:r>
        <w:rPr>
          <w:b/>
        </w:rPr>
        <w:t xml:space="preserve">nitial and confirmatory values </w:t>
      </w:r>
      <w:r w:rsidRPr="004D0676">
        <w:rPr>
          <w:b/>
        </w:rPr>
        <w:t xml:space="preserve">and therefore </w:t>
      </w:r>
      <w:r w:rsidRPr="004D0676">
        <w:rPr>
          <w:b/>
        </w:rPr>
        <w:tab/>
        <w:t xml:space="preserve">randomize? </w:t>
      </w:r>
    </w:p>
    <w:p w:rsidR="006E1AC3" w:rsidRDefault="006E1AC3" w:rsidP="006E1AC3"/>
    <w:p w:rsidR="006E1AC3" w:rsidRDefault="006E1AC3" w:rsidP="006E1AC3">
      <w:r>
        <w:t>A:</w:t>
      </w:r>
      <w:r>
        <w:tab/>
        <w:t>As long as it could be defi</w:t>
      </w:r>
      <w:r w:rsidR="00F64DC6">
        <w:t xml:space="preserve">nitively determined that the two </w:t>
      </w:r>
      <w:r>
        <w:t xml:space="preserve">results were from </w:t>
      </w:r>
      <w:r w:rsidRPr="00F64DC6">
        <w:rPr>
          <w:i/>
        </w:rPr>
        <w:t xml:space="preserve">different blood </w:t>
      </w:r>
      <w:r w:rsidRPr="00F64DC6">
        <w:rPr>
          <w:i/>
        </w:rPr>
        <w:tab/>
        <w:t>draws</w:t>
      </w:r>
      <w:r>
        <w:t xml:space="preserve"> the subject would then be randomized.  Two results from a single blood draw, even if run </w:t>
      </w:r>
      <w:r>
        <w:tab/>
        <w:t xml:space="preserve">on a bedside glucometer and the central lab, do not constitute initial and confirmatory </w:t>
      </w:r>
      <w:r>
        <w:tab/>
        <w:t>measurements.</w:t>
      </w:r>
    </w:p>
    <w:p w:rsidR="006E1AC3" w:rsidRPr="004A1C0A" w:rsidRDefault="006E1AC3" w:rsidP="00AF6CBE"/>
    <w:p w:rsidR="001D6BA2" w:rsidRDefault="001D6BA2" w:rsidP="001D6BA2"/>
    <w:p w:rsidR="006E1AC3" w:rsidRDefault="007F50B0" w:rsidP="006B327C">
      <w:r>
        <w:rPr>
          <w:b/>
          <w:u w:val="single"/>
        </w:rPr>
        <w:t>Post-Randomization</w:t>
      </w:r>
    </w:p>
    <w:p w:rsidR="006E1AC3" w:rsidRPr="00B4759B" w:rsidRDefault="006E1AC3" w:rsidP="006E1AC3">
      <w:pPr>
        <w:rPr>
          <w:b/>
        </w:rPr>
      </w:pPr>
      <w:r w:rsidRPr="00B4759B">
        <w:rPr>
          <w:b/>
        </w:rPr>
        <w:t>Q:</w:t>
      </w:r>
      <w:r w:rsidRPr="00B4759B">
        <w:rPr>
          <w:b/>
        </w:rPr>
        <w:tab/>
        <w:t>Is the 28 days of tracking consented subjects the same 28 days that they will be studied?</w:t>
      </w:r>
      <w:r>
        <w:rPr>
          <w:b/>
        </w:rPr>
        <w:t xml:space="preserve">  If so, </w:t>
      </w:r>
      <w:r>
        <w:rPr>
          <w:b/>
        </w:rPr>
        <w:tab/>
        <w:t xml:space="preserve">and </w:t>
      </w:r>
      <w:r w:rsidR="00FC18D7">
        <w:rPr>
          <w:b/>
        </w:rPr>
        <w:t>t</w:t>
      </w:r>
      <w:r>
        <w:rPr>
          <w:b/>
        </w:rPr>
        <w:t xml:space="preserve">he subject is randomized on Day 27, wouldn’t their blood glucose (BG) be managed for </w:t>
      </w:r>
      <w:r>
        <w:rPr>
          <w:b/>
        </w:rPr>
        <w:tab/>
        <w:t>only one day?</w:t>
      </w:r>
    </w:p>
    <w:p w:rsidR="006E1AC3" w:rsidRDefault="006E1AC3" w:rsidP="006E1AC3"/>
    <w:p w:rsidR="006E1AC3" w:rsidRDefault="006E1AC3" w:rsidP="006E1AC3">
      <w:r>
        <w:t>A:</w:t>
      </w:r>
      <w:r>
        <w:tab/>
        <w:t xml:space="preserve">No, these are separate parameters.  </w:t>
      </w:r>
    </w:p>
    <w:p w:rsidR="006E1AC3" w:rsidRDefault="006E1AC3" w:rsidP="006E1AC3">
      <w:pPr>
        <w:pStyle w:val="ListParagraph"/>
        <w:numPr>
          <w:ilvl w:val="0"/>
          <w:numId w:val="8"/>
        </w:numPr>
      </w:pPr>
      <w:r>
        <w:t xml:space="preserve">Subject is consented on Study Day C-1 and followed on the Consented Subject Tracking From for hyperglycemia for up to 28 days.  If they do not developed study-defined hyperglycemia within this timeframe, they are study discharged </w:t>
      </w:r>
      <w:r w:rsidRPr="004A1C0A">
        <w:t xml:space="preserve">at Day </w:t>
      </w:r>
      <w:r w:rsidR="00FC18D7">
        <w:t>C-</w:t>
      </w:r>
      <w:r w:rsidRPr="004A1C0A">
        <w:t>28</w:t>
      </w:r>
      <w:r>
        <w:t>.</w:t>
      </w:r>
    </w:p>
    <w:p w:rsidR="006E1AC3" w:rsidRDefault="006E1AC3" w:rsidP="006E1AC3">
      <w:pPr>
        <w:pStyle w:val="ListParagraph"/>
        <w:numPr>
          <w:ilvl w:val="0"/>
          <w:numId w:val="8"/>
        </w:numPr>
      </w:pPr>
      <w:r>
        <w:t xml:space="preserve">If a consented subject develops hyperglycemia within the </w:t>
      </w:r>
      <w:r w:rsidRPr="004A1C0A">
        <w:t>28 days</w:t>
      </w:r>
      <w:r>
        <w:t xml:space="preserve"> following consent and is randomized, the BG is then managed (via the CHECKS algorithm) for up to 28 days (or ICU discharge, whichever occurs first); day 1 of BG management starts on the day of randomization (marking a new 28 day timeframe)</w:t>
      </w:r>
      <w:r w:rsidRPr="004A1C0A">
        <w:t>.</w:t>
      </w:r>
    </w:p>
    <w:p w:rsidR="006E1AC3" w:rsidRDefault="006E1AC3" w:rsidP="006B327C"/>
    <w:p w:rsidR="006E1AC3" w:rsidRDefault="006E1AC3" w:rsidP="006B327C"/>
    <w:p w:rsidR="006E1AC3" w:rsidRPr="00897AA2" w:rsidRDefault="006E1AC3" w:rsidP="006E1AC3">
      <w:pPr>
        <w:rPr>
          <w:b/>
        </w:rPr>
      </w:pPr>
      <w:r w:rsidRPr="00897AA2">
        <w:rPr>
          <w:b/>
        </w:rPr>
        <w:t>Q:</w:t>
      </w:r>
      <w:r w:rsidRPr="00897AA2">
        <w:rPr>
          <w:b/>
        </w:rPr>
        <w:tab/>
        <w:t xml:space="preserve">I have a HALF-PINT subject that was not on ventilator support prior to this ICU admission.  She </w:t>
      </w:r>
      <w:r w:rsidRPr="00897AA2">
        <w:rPr>
          <w:b/>
        </w:rPr>
        <w:tab/>
        <w:t>was hospitalized following a trauma, though, and will now be vent</w:t>
      </w:r>
      <w:r w:rsidR="008F0096">
        <w:rPr>
          <w:b/>
        </w:rPr>
        <w:t>ilator</w:t>
      </w:r>
      <w:r w:rsidRPr="00897AA2">
        <w:rPr>
          <w:b/>
        </w:rPr>
        <w:t xml:space="preserve"> dependent.  Since </w:t>
      </w:r>
      <w:r>
        <w:rPr>
          <w:b/>
        </w:rPr>
        <w:tab/>
      </w:r>
      <w:r w:rsidRPr="00897AA2">
        <w:rPr>
          <w:b/>
        </w:rPr>
        <w:t xml:space="preserve">she is now going to be chronically ventilated, does she become ineligible and is therefore </w:t>
      </w:r>
      <w:r>
        <w:rPr>
          <w:b/>
        </w:rPr>
        <w:tab/>
      </w:r>
      <w:r w:rsidRPr="00897AA2">
        <w:rPr>
          <w:b/>
        </w:rPr>
        <w:t>study discharged?</w:t>
      </w:r>
    </w:p>
    <w:p w:rsidR="006E1AC3" w:rsidRDefault="006E1AC3" w:rsidP="006E1AC3"/>
    <w:p w:rsidR="006E1AC3" w:rsidRDefault="006E1AC3" w:rsidP="006E1AC3">
      <w:r>
        <w:t>A:</w:t>
      </w:r>
      <w:r>
        <w:tab/>
        <w:t xml:space="preserve">No.   Although her respiratory status has changed, she was eligible at the time of enrollment </w:t>
      </w:r>
      <w:r>
        <w:tab/>
        <w:t xml:space="preserve">as she had no prior history of chronic ventilator dependence.  Upon her study discharge it will </w:t>
      </w:r>
      <w:r>
        <w:tab/>
        <w:t>be documented that she was still intubated at study discharge.</w:t>
      </w:r>
    </w:p>
    <w:p w:rsidR="006E1AC3" w:rsidRDefault="006E1AC3" w:rsidP="006B327C"/>
    <w:p w:rsidR="006E1AC3" w:rsidRDefault="006E1AC3" w:rsidP="006B327C"/>
    <w:p w:rsidR="006E1AC3" w:rsidRPr="008A6FD3" w:rsidRDefault="006E1AC3" w:rsidP="006E1AC3">
      <w:pPr>
        <w:rPr>
          <w:b/>
        </w:rPr>
      </w:pPr>
      <w:r w:rsidRPr="008A6FD3">
        <w:rPr>
          <w:b/>
        </w:rPr>
        <w:t>Q:</w:t>
      </w:r>
      <w:r w:rsidRPr="008A6FD3">
        <w:rPr>
          <w:b/>
        </w:rPr>
        <w:tab/>
        <w:t>Can you enter more than one Adverse Event (AE) per study day?</w:t>
      </w:r>
    </w:p>
    <w:p w:rsidR="006E1AC3" w:rsidRDefault="006E1AC3" w:rsidP="006E1AC3"/>
    <w:p w:rsidR="006E1AC3" w:rsidRPr="004A1C0A" w:rsidRDefault="006E1AC3" w:rsidP="006E1AC3">
      <w:r>
        <w:t>A:</w:t>
      </w:r>
      <w:r>
        <w:tab/>
        <w:t xml:space="preserve">Yes - there is no limit to the number of </w:t>
      </w:r>
      <w:r w:rsidRPr="004A1C0A">
        <w:t>A</w:t>
      </w:r>
      <w:r>
        <w:t>E</w:t>
      </w:r>
      <w:r w:rsidRPr="004A1C0A">
        <w:t xml:space="preserve">s </w:t>
      </w:r>
      <w:r w:rsidR="00F04698">
        <w:t>t</w:t>
      </w:r>
      <w:r>
        <w:t>hat can be entered per subject per study day.</w:t>
      </w:r>
    </w:p>
    <w:p w:rsidR="006B327C" w:rsidRDefault="006B327C" w:rsidP="006B327C">
      <w:pPr>
        <w:pStyle w:val="ListParagraph"/>
      </w:pPr>
    </w:p>
    <w:p w:rsidR="00232698" w:rsidRPr="004A1C0A" w:rsidRDefault="00232698" w:rsidP="006B327C">
      <w:pPr>
        <w:pStyle w:val="ListParagraph"/>
      </w:pPr>
    </w:p>
    <w:p w:rsidR="001D6BA2" w:rsidRPr="004A1C0A" w:rsidRDefault="001D6BA2" w:rsidP="001D6BA2"/>
    <w:p w:rsidR="008A6FD3" w:rsidRDefault="008A6FD3" w:rsidP="001D6BA2"/>
    <w:p w:rsidR="00232698" w:rsidRDefault="00232698" w:rsidP="001D6BA2"/>
    <w:p w:rsidR="008A6FD3" w:rsidRDefault="008A6FD3" w:rsidP="001D6BA2"/>
    <w:p w:rsidR="001D6BA2" w:rsidRPr="004A1C0A" w:rsidRDefault="001D6BA2"/>
    <w:sectPr w:rsidR="001D6BA2" w:rsidRPr="004A1C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4CF" w:rsidRDefault="00D944CF" w:rsidP="005563DA">
      <w:r>
        <w:separator/>
      </w:r>
    </w:p>
  </w:endnote>
  <w:endnote w:type="continuationSeparator" w:id="0">
    <w:p w:rsidR="00D944CF" w:rsidRDefault="00D944CF" w:rsidP="0055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CF" w:rsidRDefault="00D944CF" w:rsidP="005563DA">
    <w:pPr>
      <w:pStyle w:val="Subtit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8BD6F9" wp14:editId="5AC2F495">
          <wp:simplePos x="0" y="0"/>
          <wp:positionH relativeFrom="margin">
            <wp:posOffset>4476750</wp:posOffset>
          </wp:positionH>
          <wp:positionV relativeFrom="page">
            <wp:posOffset>9239250</wp:posOffset>
          </wp:positionV>
          <wp:extent cx="2058809" cy="7682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809" cy="7682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26 March 2012</w:t>
    </w:r>
  </w:p>
  <w:p w:rsidR="00D944CF" w:rsidRDefault="00D944CF" w:rsidP="005563DA">
    <w:pPr>
      <w:pStyle w:val="Subtitle"/>
    </w:pPr>
    <w:r>
      <w:t>HALF-PINT Screening FAQ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4CF" w:rsidRDefault="00D944CF" w:rsidP="005563DA">
      <w:r>
        <w:separator/>
      </w:r>
    </w:p>
  </w:footnote>
  <w:footnote w:type="continuationSeparator" w:id="0">
    <w:p w:rsidR="00D944CF" w:rsidRDefault="00D944CF" w:rsidP="00556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03AD6"/>
    <w:multiLevelType w:val="hybridMultilevel"/>
    <w:tmpl w:val="7DD6E1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68B2D8E"/>
    <w:multiLevelType w:val="hybridMultilevel"/>
    <w:tmpl w:val="53BEF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D2236"/>
    <w:multiLevelType w:val="hybridMultilevel"/>
    <w:tmpl w:val="AB5C71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35675E"/>
    <w:multiLevelType w:val="hybridMultilevel"/>
    <w:tmpl w:val="A7DC0D20"/>
    <w:lvl w:ilvl="0" w:tplc="029EE9E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FD56CD"/>
    <w:multiLevelType w:val="hybridMultilevel"/>
    <w:tmpl w:val="E42E7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B5432"/>
    <w:multiLevelType w:val="hybridMultilevel"/>
    <w:tmpl w:val="BDB44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550C7D"/>
    <w:multiLevelType w:val="hybridMultilevel"/>
    <w:tmpl w:val="E42E7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A2"/>
    <w:rsid w:val="001B68C0"/>
    <w:rsid w:val="001C34A8"/>
    <w:rsid w:val="001D6BA2"/>
    <w:rsid w:val="00214BB9"/>
    <w:rsid w:val="00232698"/>
    <w:rsid w:val="00263572"/>
    <w:rsid w:val="002C49DD"/>
    <w:rsid w:val="00312468"/>
    <w:rsid w:val="00344BAA"/>
    <w:rsid w:val="003D2242"/>
    <w:rsid w:val="003F2EE4"/>
    <w:rsid w:val="004A1C0A"/>
    <w:rsid w:val="004D0676"/>
    <w:rsid w:val="0050210A"/>
    <w:rsid w:val="00515D04"/>
    <w:rsid w:val="005563DA"/>
    <w:rsid w:val="00670EDB"/>
    <w:rsid w:val="006B327C"/>
    <w:rsid w:val="006E1AC3"/>
    <w:rsid w:val="007F50B0"/>
    <w:rsid w:val="00846D35"/>
    <w:rsid w:val="008568C6"/>
    <w:rsid w:val="00897AA2"/>
    <w:rsid w:val="008A6FD3"/>
    <w:rsid w:val="008F0096"/>
    <w:rsid w:val="00901080"/>
    <w:rsid w:val="009819CA"/>
    <w:rsid w:val="009E1B16"/>
    <w:rsid w:val="00A003C5"/>
    <w:rsid w:val="00A8328E"/>
    <w:rsid w:val="00AC7B60"/>
    <w:rsid w:val="00AF6CBE"/>
    <w:rsid w:val="00B4759B"/>
    <w:rsid w:val="00BB55CB"/>
    <w:rsid w:val="00C06E0B"/>
    <w:rsid w:val="00C07B37"/>
    <w:rsid w:val="00CB3EFC"/>
    <w:rsid w:val="00CC7437"/>
    <w:rsid w:val="00D563D5"/>
    <w:rsid w:val="00D944CF"/>
    <w:rsid w:val="00DE700E"/>
    <w:rsid w:val="00EB25F5"/>
    <w:rsid w:val="00F04698"/>
    <w:rsid w:val="00F64DC6"/>
    <w:rsid w:val="00F95627"/>
    <w:rsid w:val="00FC18D7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A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A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5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3D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3DA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D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5563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563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A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A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5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3D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3DA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D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5563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563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Coughlin-Wells, Kerry</dc:creator>
  <cp:keywords/>
  <dc:description/>
  <cp:lastModifiedBy>Coughlin-Wells, Kerry</cp:lastModifiedBy>
  <cp:revision>38</cp:revision>
  <cp:lastPrinted>2012-03-26T15:26:00Z</cp:lastPrinted>
  <dcterms:created xsi:type="dcterms:W3CDTF">2012-03-26T14:11:00Z</dcterms:created>
  <dcterms:modified xsi:type="dcterms:W3CDTF">2012-03-26T15:55:00Z</dcterms:modified>
</cp:coreProperties>
</file>