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40" w:line="300" w:lineRule="auto"/>
        <w:jc w:val="center"/>
      </w:pPr>
      <w:r>
        <w:rPr>
          <w:rFonts w:ascii="Microsoft YaHei" w:hAnsi="Microsoft YaHei" w:eastAsia="Microsoft YaHei"/>
          <w:b/>
          <w:color w:val="A56616"/>
          <w:sz w:val="26"/>
        </w:rPr>
        <w:t>专项测试</w:t>
      </w:r>
    </w:p>
    <w:p>
      <w:pPr>
        <w:keepNext w:val="0"/>
        <w:spacing w:before="0" w:after="200" w:line="300" w:lineRule="auto"/>
        <w:jc w:val="center"/>
      </w:pPr>
      <w:r>
        <w:rPr>
          <w:rFonts w:ascii="Microsoft YaHei" w:hAnsi="Microsoft YaHei" w:eastAsia="Microsoft YaHei"/>
          <w:b/>
          <w:color w:val="20364B"/>
          <w:sz w:val="56"/>
        </w:rPr>
        <w:t>实现与指标数据汇总</w:t>
      </w:r>
    </w:p>
    <w:p>
      <w:pPr>
        <w:keepNext w:val="0"/>
        <w:spacing w:before="0" w:after="560" w:line="300" w:lineRule="auto"/>
        <w:jc w:val="center"/>
      </w:pPr>
      <w:r>
        <w:rPr>
          <w:rFonts w:ascii="Microsoft YaHei" w:hAnsi="Microsoft YaHei" w:eastAsia="Microsoft YaHei"/>
          <w:b w:val="0"/>
          <w:color w:val="5B6570"/>
          <w:sz w:val="25"/>
        </w:rPr>
        <w:t>QA Platform Learning · 当前仓库实现、验证结果与专项方案边界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8"/>
              </w:rPr>
              <w:t>版本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8"/>
              </w:rPr>
              <w:t>统计日期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8"/>
              </w:rPr>
              <w:t>证据范围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v1.0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2026-09-02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当前工作区源码、自动化测试、现有专项手册与技术文档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F7D5C"/>
                <w:sz w:val="20"/>
              </w:rPr>
              <w:t>结论：</w:t>
            </w:r>
            <w:r>
              <w:rPr>
                <w:rFonts w:ascii="Microsoft YaHei" w:hAnsi="Microsoft YaHei" w:eastAsia="Microsoft YaHei"/>
                <w:color w:val="111111"/>
                <w:sz w:val="20"/>
              </w:rPr>
              <w:t>当前仓库已形成一套可运行的 QA 平台专项验证体系；本次后端全量回归 557 项全部通过。弱网注入、图形自动判定、游戏性能长稳和 Lua 生成属于本项目后续设计范围，当前仓库没有可声明为实测成绩的原始数据。</w:t>
            </w:r>
          </w:p>
        </w:tc>
      </w:tr>
    </w:tbl>
    <w:p>
      <w:pPr>
        <w:spacing w:after="40"/>
      </w:pPr>
    </w:p>
    <w:p>
      <w:pPr>
        <w:keepNext w:val="0"/>
        <w:spacing w:before="160" w:after="100" w:line="300" w:lineRule="auto"/>
      </w:pPr>
      <w:r>
        <w:rPr>
          <w:rFonts w:ascii="Microsoft YaHei" w:hAnsi="Microsoft YaHei" w:eastAsia="Microsoft YaHei"/>
          <w:b/>
          <w:color w:val="20364B"/>
          <w:sz w:val="22"/>
        </w:rPr>
        <w:t>阅读口径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“已实现”表示当前仓库中存在对应代码与自动化测试。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“已设计”表示由本项目自行整理了测试方法、采集字段和参考门槛，但尚未形成可执行工具。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所有百分比、时延、FPS、温度等非本次运行值均明确标注为口径、SLO 示例或实验室参考门槛。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汇总概览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1.1 本次可复核数据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rPr>
          <w:tblHeader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8"/>
              </w:rPr>
              <w:t>项目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8"/>
              </w:rPr>
              <w:t>结果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8"/>
              </w:rPr>
              <w:t>口径/说明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后端自动化回归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557 passed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2026-09-02 使用 backend/.venv 执行 python -m pytest -q</w:t>
            </w:r>
          </w:p>
        </w:tc>
      </w:tr>
      <w:tr>
        <w:tc>
          <w:tcPr>
            <w:tcW w:type="dxa" w:w="21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执行耗时</w:t>
            </w:r>
          </w:p>
        </w:tc>
        <w:tc>
          <w:tcPr>
            <w:tcW w:type="dxa" w:w="18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100.78 秒</w:t>
            </w:r>
          </w:p>
        </w:tc>
        <w:tc>
          <w:tcPr>
            <w:tcW w:type="dxa" w:w="54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pytest 报告总耗时；不等同于接口性能压测数据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失败/错误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0 / 0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进程退出码 0</w:t>
            </w:r>
          </w:p>
        </w:tc>
      </w:tr>
      <w:tr>
        <w:tc>
          <w:tcPr>
            <w:tcW w:type="dxa" w:w="21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告警</w:t>
            </w:r>
          </w:p>
        </w:tc>
        <w:tc>
          <w:tcPr>
            <w:tcW w:type="dxa" w:w="18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58</w:t>
            </w:r>
          </w:p>
        </w:tc>
        <w:tc>
          <w:tcPr>
            <w:tcW w:type="dxa" w:w="54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PytestCollectionWarning：业务类名以 Test 开头，不影响用例通过；建议后续清理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静态测试函数命中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403 处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rg 扫描 def test_/async def test_；参数化后实际执行为 557 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1.2 专项成熟度矩阵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150"/>
        <w:gridCol w:w="3650"/>
        <w:gridCol w:w="3110"/>
      </w:tblGrid>
      <w:tr>
        <w:trPr>
          <w:tblHeader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5"/>
              </w:rPr>
              <w:t>专项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5"/>
              </w:rPr>
              <w:t>状态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5"/>
              </w:rPr>
              <w:t>当前实现</w:t>
            </w:r>
          </w:p>
        </w:tc>
        <w:tc>
          <w:tcPr>
            <w:tcW w:type="dxa" w:w="3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5"/>
              </w:rPr>
              <w:t>指标/证据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API 与异步 HTTP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已实现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httpx Provider、分阶段超时、轮询、错误映射、取消与幂等边界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自动化回归覆盖；Provider 时延/结果指标</w:t>
            </w:r>
          </w:p>
        </w:tc>
      </w:tr>
      <w:tr>
        <w:tc>
          <w:tcPr>
            <w:tcW w:type="dxa" w:w="14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Webhook 与可靠投递</w:t>
            </w:r>
          </w:p>
        </w:tc>
        <w:tc>
          <w:tcPr>
            <w:tcW w:type="dxa" w:w="11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已实现</w:t>
            </w:r>
          </w:p>
        </w:tc>
        <w:tc>
          <w:tcPr>
            <w:tcW w:type="dxa" w:w="36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HMAC、时窗、sequence、水位线、Outbox、租约/CAS、退避、死信</w:t>
            </w:r>
          </w:p>
        </w:tc>
        <w:tc>
          <w:tcPr>
            <w:tcW w:type="dxa" w:w="311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重复/冲突/stale/gap/恢复测试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调度、Worker、设备租约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已实现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任务 claim、心跳、续租、取消、重试、死信、Cron、设备独占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状态快照与并发不变量测试</w:t>
            </w:r>
          </w:p>
        </w:tc>
      </w:tr>
      <w:tr>
        <w:tc>
          <w:tcPr>
            <w:tcW w:type="dxa" w:w="14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质量度量</w:t>
            </w:r>
          </w:p>
        </w:tc>
        <w:tc>
          <w:tcPr>
            <w:tcW w:type="dxa" w:w="11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已实现</w:t>
            </w:r>
          </w:p>
        </w:tc>
        <w:tc>
          <w:tcPr>
            <w:tcW w:type="dxa" w:w="36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汇总、趋势、套件覆盖 API 与前端报表</w:t>
            </w:r>
          </w:p>
        </w:tc>
        <w:tc>
          <w:tcPr>
            <w:tcW w:type="dxa" w:w="311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通过率、自动化覆盖、执行触达、失败提单覆盖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可观测性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已实现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健康探针、Request ID、JSON 日志、Prometheus 指标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HTTP/任务/设备/Provider 指标</w:t>
            </w:r>
          </w:p>
        </w:tc>
      </w:tr>
      <w:tr>
        <w:tc>
          <w:tcPr>
            <w:tcW w:type="dxa" w:w="14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数据导入/配置表</w:t>
            </w:r>
          </w:p>
        </w:tc>
        <w:tc>
          <w:tcPr>
            <w:tcW w:type="dxa" w:w="11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部分实现</w:t>
            </w:r>
          </w:p>
        </w:tc>
        <w:tc>
          <w:tcPr>
            <w:tcW w:type="dxa" w:w="36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CSV/XLSX 模板、预检、SHA-256、逐行错误、公式拒绝、提交/导出</w:t>
            </w:r>
          </w:p>
        </w:tc>
        <w:tc>
          <w:tcPr>
            <w:tcW w:type="dxa" w:w="311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安全导入已测；Lua 确定性生成未实现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身份与安全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已实现/隔离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Session、RBAC、CSRF、OIDC/Secret Store 边界、Webhook 安全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越权/重放/敏感信息边界测试</w:t>
            </w:r>
          </w:p>
        </w:tc>
      </w:tr>
      <w:tr>
        <w:tc>
          <w:tcPr>
            <w:tcW w:type="dxa" w:w="14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对象存储与制品</w:t>
            </w:r>
          </w:p>
        </w:tc>
        <w:tc>
          <w:tcPr>
            <w:tcW w:type="dxa" w:w="11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已实现/隔离</w:t>
            </w:r>
          </w:p>
        </w:tc>
        <w:tc>
          <w:tcPr>
            <w:tcW w:type="dxa" w:w="36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本地/S3 边界、Artifact 摘要、quarantine/restore</w:t>
            </w:r>
          </w:p>
        </w:tc>
        <w:tc>
          <w:tcPr>
            <w:tcW w:type="dxa" w:w="311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摘要、路径、补偿、下载安全头测试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弱网/断网/多人同步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已设计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Profile、注入流程、协议对账方法已整理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无当前仓库实测样本</w:t>
            </w:r>
          </w:p>
        </w:tc>
      </w:tr>
      <w:tr>
        <w:tc>
          <w:tcPr>
            <w:tcW w:type="dxa" w:w="14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兼容/图形回归</w:t>
            </w:r>
          </w:p>
        </w:tc>
        <w:tc>
          <w:tcPr>
            <w:tcW w:type="dxa" w:w="11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已设计</w:t>
            </w:r>
          </w:p>
        </w:tc>
        <w:tc>
          <w:tcPr>
            <w:tcW w:type="dxa" w:w="36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已整理设备矩阵、截图基线、mask、diff 与人工复核方案</w:t>
            </w:r>
          </w:p>
        </w:tc>
        <w:tc>
          <w:tcPr>
            <w:tcW w:type="dxa" w:w="311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无自动 diff/pass-fail；无当前实测样本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性能/热力/温度/长稳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已设计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已整理采样字段、聚合方法与参考门槛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5"/>
              </w:rPr>
              <w:t>无当前原始采样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已实现专项：实现方式与验证指标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2.1 API 与异步 HTTP 可靠性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111"/>
          <w:sz w:val="21"/>
        </w:rPr>
        <w:t>实现集中在 pipeline Provider、Learning CI、runtime service 与 webhook 路由。Provider 通过统一 trigger/get/cancel 契约接入；外部 HTTP 不置于长事务中，而是采用“写意图/claim → 事务外请求 → CAS 结算”的三段式。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分离连接、读取、写入、连接池超时；将错误映射为稳定的领域结果。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触发使用持久 trigger intent 与 Idempotency-Key；重试复用相同幂等键。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202/异步运行通过轮询与签名 Webhook 收敛；终态禁止倒退。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取消、超时、未知结果与 reconcile_required 分开表达，避免把不确定当失败或成功。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7"/>
              </w:rPr>
              <w:t>验证点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7"/>
              </w:rPr>
              <w:t>判定/数据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重复请求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同 correlation/idempotency 输入重放不重复产生副作用；不同输入冲突</w:t>
            </w:r>
          </w:p>
        </w:tc>
      </w:tr>
      <w:tr>
        <w:tc>
          <w:tcPr>
            <w:tcW w:type="dxa" w:w="24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状态收敛</w:t>
            </w:r>
          </w:p>
        </w:tc>
        <w:tc>
          <w:tcPr>
            <w:tcW w:type="dxa" w:w="69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poll/Webhook 只能合法推进；旧 sequence 记 stale，不覆盖权威快照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Provider 指标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qa_provider_requests_total{provider,operation,outcome}；qa_provider_request_duration_seconds{provider,operation}</w:t>
            </w:r>
          </w:p>
        </w:tc>
      </w:tr>
      <w:tr>
        <w:tc>
          <w:tcPr>
            <w:tcW w:type="dxa" w:w="24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接口容量口径</w:t>
            </w:r>
          </w:p>
        </w:tc>
        <w:tc>
          <w:tcPr>
            <w:tcW w:type="dxa" w:w="69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目标 QPS ≈ 峰值活跃用户 × 单用户每秒请求数 × 1.5～2；当前未做容量实测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2.2 Webhook、Outbox 与故障恢复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111"/>
          <w:sz w:val="21"/>
        </w:rPr>
        <w:t>Webhook 对原始 body 先执行 16 KiB 上限，再按独立 Secret、固定五分钟时窗与 HMAC 校验。事件 ID、body SHA-256、sequence、occurred-at、Connection UUID 和 correlation ID 共同用于识别重放、冲突、缺口与时间回退。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400"/>
        <w:gridCol w:w="4410"/>
      </w:tblGrid>
      <w:tr>
        <w:trPr>
          <w:tblHeader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机制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实现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关键验证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接收幂等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event_id + body digest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同 ID 同内容为 duplicate；同 ID 不同内容为 conflict</w:t>
            </w:r>
          </w:p>
        </w:tc>
      </w:tr>
      <w:tr>
        <w:tc>
          <w:tcPr>
            <w:tcW w:type="dxa" w:w="15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顺序保护</w:t>
            </w:r>
          </w:p>
        </w:tc>
        <w:tc>
          <w:tcPr>
            <w:tcW w:type="dxa" w:w="34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单 Run 递增 sequence + watermark</w:t>
            </w:r>
          </w:p>
        </w:tc>
        <w:tc>
          <w:tcPr>
            <w:tcW w:type="dxa" w:w="441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stale 不倒退；gap 标记对账；权威快照可清除标记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主动投递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持久 Outbox + 独立 Worker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claim、租约、CAS、指数退避、死信、手工 retry</w:t>
            </w:r>
          </w:p>
        </w:tc>
      </w:tr>
      <w:tr>
        <w:tc>
          <w:tcPr>
            <w:tcW w:type="dxa" w:w="15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任务唤醒</w:t>
            </w:r>
          </w:p>
        </w:tc>
        <w:tc>
          <w:tcPr>
            <w:tcW w:type="dxa" w:w="34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事务 outbox + RabbitMQ 固定提示</w:t>
            </w:r>
          </w:p>
        </w:tc>
        <w:tc>
          <w:tcPr>
            <w:tcW w:type="dxa" w:w="441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消息不携带任务 ID/参数/凭据；数据库 claim 仍是执行授权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A56616"/>
                <w:sz w:val="20"/>
              </w:rPr>
              <w:t>可靠性边界：</w:t>
            </w:r>
            <w:r>
              <w:rPr>
                <w:rFonts w:ascii="Microsoft YaHei" w:hAnsi="Microsoft YaHei" w:eastAsia="Microsoft YaHei"/>
                <w:color w:val="111111"/>
                <w:sz w:val="20"/>
              </w:rPr>
              <w:t>该模型提供至少一次风格的可恢复处理，不承诺端到端“恰好一次”；幂等 Handler、权威数据库状态与对账机制共同消化重复提示。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2.3 Worker、Scheduler 与设备并发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111"/>
          <w:sz w:val="21"/>
        </w:rPr>
        <w:t>任务系统实现独立 Worker/Scheduler、数据库租约、心跳续租、取消、可重试失败、死信和设备独占。PostgreSQL 设计使用 SKIP LOCKED 与数据库时钟；SQLite 保留单机教学入口。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claim/finalize 均校验 owner、token hash、version 与租约有效性，失租处理者不得覆盖新 owner。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设备 lease 具备排他性；任务、设备状态分别以固定低基数枚举暴露。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真实多实例 PostgreSQL/RabbitMQ、Worker 强杀、Broker/数据库中断尚未在当前无 Docker 机器实测。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2.4 数据导入、配置与制品完整性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111"/>
          <w:sz w:val="21"/>
        </w:rPr>
        <w:t>当前平台实现版本化 CSV/XLSX 模板、只读预检、文件 SHA-256、逐行错误、公式拒绝、用户确认提交与导出核对；Run Artifact 实现 pending→ready/failed→deleted 状态与摘要复核。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7"/>
              </w:rPr>
              <w:t>检查项</w:t>
            </w:r>
          </w:p>
        </w:tc>
        <w:tc>
          <w:tcPr>
            <w:tcW w:type="dxa" w:w="7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7"/>
              </w:rPr>
              <w:t>当前实现/标准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输入安全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文件类型/大小、表头、行级字段、公式拒绝、hash 绑定预检与提交</w:t>
            </w:r>
          </w:p>
        </w:tc>
      </w:tr>
      <w:tr>
        <w:tc>
          <w:tcPr>
            <w:tcW w:type="dxa" w:w="20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数据一致性</w:t>
            </w:r>
          </w:p>
        </w:tc>
        <w:tc>
          <w:tcPr>
            <w:tcW w:type="dxa" w:w="731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逐行结果、唯一性/引用类校验按模块实现；审计记录提交事实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Artifact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保存后复核大小与 SHA-256；删除先 quarantine，元数据失败则 restore</w:t>
            </w:r>
          </w:p>
        </w:tc>
      </w:tr>
      <w:tr>
        <w:tc>
          <w:tcPr>
            <w:tcW w:type="dxa" w:w="20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未完成</w:t>
            </w:r>
          </w:p>
        </w:tc>
        <w:tc>
          <w:tcPr>
            <w:tcW w:type="dxa" w:w="731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完整数值 Schema、跨表规则、确定性 Excel/CSV→Lua、Lua 语法/加载与反向对账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2.5 身份、安全与敏感信息边界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111"/>
          <w:sz w:val="21"/>
        </w:rPr>
        <w:t>实现覆盖本地 Session、RBAC、CSRF、OIDC 隔离模式、Secret Store 接口、Provider URL 限制、Webhook 签名、上传/下载安全与日志脱敏。Jenkins、GitLab、BK-CI 仅使用 Mock 契约或自建隔离服务，默认关闭真实连接。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未授权写操作、触发人自批质量门禁、Webhook 重放绕过、任意文件访问、Secret 进入日志/指标均按零容忍设计。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Request 日志不记录 body、Cookie、Authorization、查询字符串或具体资源路径。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安全测试范围仅限授权的本地/隔离环境；当前项目不声明合规级审计能力。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2.6 可观测性专项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550"/>
        <w:gridCol w:w="3410"/>
      </w:tblGrid>
      <w:tr>
        <w:trPr>
          <w:tblHeader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信号</w:t>
            </w:r>
          </w:p>
        </w:tc>
        <w:tc>
          <w:tcPr>
            <w:tcW w:type="dxa" w:w="4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实现</w:t>
            </w:r>
          </w:p>
        </w:tc>
        <w:tc>
          <w:tcPr>
            <w:tcW w:type="dxa" w:w="3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注意事项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存活/就绪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/health/live 不访问数据库；/health/ready 对受限 backend 执行 SELECT 1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失败返回 503；不泄露路径、SQL 或凭据</w:t>
            </w:r>
          </w:p>
        </w:tc>
      </w:tr>
      <w:tr>
        <w:tc>
          <w:tcPr>
            <w:tcW w:type="dxa" w:w="14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HTTP</w:t>
            </w:r>
          </w:p>
        </w:tc>
        <w:tc>
          <w:tcPr>
            <w:tcW w:type="dxa" w:w="45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请求总数、延迟直方图、in-flight</w:t>
            </w:r>
          </w:p>
        </w:tc>
        <w:tc>
          <w:tcPr>
            <w:tcW w:type="dxa" w:w="341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route 使用模板；/metrics 自身不计数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业务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任务状态、设备状态、Provider 请求结果和耗时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标签限定固定枚举，拒绝 ID/URL/异常正文</w:t>
            </w:r>
          </w:p>
        </w:tc>
      </w:tr>
      <w:tr>
        <w:tc>
          <w:tcPr>
            <w:tcW w:type="dxa" w:w="14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日志</w:t>
            </w:r>
          </w:p>
        </w:tc>
        <w:tc>
          <w:tcPr>
            <w:tcW w:type="dxa" w:w="45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安全 Request ID + JSON 结构化日志</w:t>
            </w:r>
          </w:p>
        </w:tc>
        <w:tc>
          <w:tcPr>
            <w:tcW w:type="dxa" w:w="341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关闭日志不影响 Request ID 与指标采集</w:t>
            </w:r>
          </w:p>
        </w:tc>
      </w:tr>
    </w:tbl>
    <w:p>
      <w:pPr>
        <w:spacing w:after="40"/>
      </w:pPr>
    </w:p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/>
          <w:color w:val="20364B"/>
          <w:sz w:val="20"/>
        </w:rPr>
        <w:t>当前 Prometheus 指标清单：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qa_http_requests_total{method,route,status_code}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qa_http_request_duration_seconds{method,route}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qa_http_requests_in_flight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qa_automation_tasks{state}；qa_devices{state}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qa_provider_requests_total{provider,operation,outcome}；qa_provider_request_duration_seconds{provider,operation}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2.7 质量度量专项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111"/>
          <w:sz w:val="21"/>
        </w:rPr>
        <w:t>质量报表由后端统一计算，前端展示分子、分母和百分比；空分母显示“—”，不伪造 0%。趋势只使用已完成执行的最终结果。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7"/>
              </w:rPr>
              <w:t>指标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7"/>
              </w:rPr>
              <w:t>当前口径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自动化覆盖率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当前 active 且 automated 用例数 / 当前 active 用例数</w:t>
            </w:r>
          </w:p>
        </w:tc>
      </w:tr>
      <w:tr>
        <w:tc>
          <w:tcPr>
            <w:tcW w:type="dxa" w:w="22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执行触达率</w:t>
            </w:r>
          </w:p>
        </w:tc>
        <w:tc>
          <w:tcPr>
            <w:tcW w:type="dxa" w:w="71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当前范围内已执行用例数 / 当前 active 用例数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执行通过率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passed / (passed + failed)；blocked、skipped、not_run 不进入分母</w:t>
            </w:r>
          </w:p>
        </w:tc>
      </w:tr>
      <w:tr>
        <w:tc>
          <w:tcPr>
            <w:tcW w:type="dxa" w:w="22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失败提单覆盖</w:t>
            </w:r>
          </w:p>
        </w:tc>
        <w:tc>
          <w:tcPr>
            <w:tcW w:type="dxa" w:w="71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有关联缺陷的 failed/blocked 结果对 / 全部 failed/blocked 结果对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趋势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仅完成执行；按日/周聚合通过、失败、阻塞等最终结果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游戏专项测试方案与指标口径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A56616"/>
                <w:sz w:val="20"/>
              </w:rPr>
              <w:t>状态说明：</w:t>
            </w:r>
            <w:r>
              <w:rPr>
                <w:rFonts w:ascii="Microsoft YaHei" w:hAnsi="Microsoft YaHei" w:eastAsia="Microsoft YaHei"/>
                <w:color w:val="111111"/>
                <w:sz w:val="20"/>
              </w:rPr>
              <w:t>本章是本项目自行整理的专项执行方法与参考门槛。当前仓库没有设备采样原始文件，不能将这些数字写成项目实测结果。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3.1 弱网、断网与多人同步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800"/>
        <w:gridCol w:w="1400"/>
        <w:gridCol w:w="1450"/>
        <w:gridCol w:w="3260"/>
      </w:tblGrid>
      <w:tr>
        <w:trPr>
          <w:tblHeader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Profile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RTT/延迟参考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抖动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丢包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下行/上行参考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基线 Wi-Fi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20～50 ms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≤10 ms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≤0.5%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≥10 / ≥5 Mbps</w:t>
            </w:r>
          </w:p>
        </w:tc>
      </w:tr>
      <w:tr>
        <w:tc>
          <w:tcPr>
            <w:tcW w:type="dxa" w:w="14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良好移动网</w:t>
            </w:r>
          </w:p>
        </w:tc>
        <w:tc>
          <w:tcPr>
            <w:tcW w:type="dxa" w:w="18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50～100 ms</w:t>
            </w:r>
          </w:p>
        </w:tc>
        <w:tc>
          <w:tcPr>
            <w:tcW w:type="dxa" w:w="14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10～30 ms</w:t>
            </w:r>
          </w:p>
        </w:tc>
        <w:tc>
          <w:tcPr>
            <w:tcW w:type="dxa" w:w="14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≤1%</w:t>
            </w:r>
          </w:p>
        </w:tc>
        <w:tc>
          <w:tcPr>
            <w:tcW w:type="dxa" w:w="32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5～20 / 1～5 Mbps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弱网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100～200 ms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30～80 ms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1%～3%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1～5 Mbps / 256 Kbps～1 Mbps</w:t>
            </w:r>
          </w:p>
        </w:tc>
      </w:tr>
      <w:tr>
        <w:tc>
          <w:tcPr>
            <w:tcW w:type="dxa" w:w="14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严重弱网</w:t>
            </w:r>
          </w:p>
        </w:tc>
        <w:tc>
          <w:tcPr>
            <w:tcW w:type="dxa" w:w="18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200～500 ms</w:t>
            </w:r>
          </w:p>
        </w:tc>
        <w:tc>
          <w:tcPr>
            <w:tcW w:type="dxa" w:w="14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80～150 ms</w:t>
            </w:r>
          </w:p>
        </w:tc>
        <w:tc>
          <w:tcPr>
            <w:tcW w:type="dxa" w:w="145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3%～10%</w:t>
            </w:r>
          </w:p>
        </w:tc>
        <w:tc>
          <w:tcPr>
            <w:tcW w:type="dxa" w:w="32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256 Kbps～1 Mbps / 128～512 Kbps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断网/黑洞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无响应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100% 或单向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0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111"/>
          <w:sz w:val="21"/>
        </w:rPr>
        <w:t>实现建议：Linux 网关 tc netem、HTTP/TCP 使用 Toxiproxy 或自建代理、Windows 使用受控 WinDivert 类工具、移动设备统一经受控路由；普通 HTTP 代理不能完整模拟 UDP。每次注入必须用探测/抓包复核真实参数。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采集 request_id/session/room_id/sequence、发送/确认时间、RTT、重传、丢包、重连次数、检测时间、恢复时间与前后状态快照。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参考判定：关键会话重连 ≤5～10 秒、状态在 1～3 个快照周期内收敛；正式值由玩法和协议确定。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硬标准：无无限 loading；重试有界；不重复扣款/发奖/建角/订单；最终状态与权威服务端一致。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3.2 兼容、安装升级与图形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111"/>
          <w:sz w:val="21"/>
        </w:rPr>
        <w:t>兼容矩阵按真实用户占比与风险权重选择 OS、芯片/GPU、内存/存储、分辨率/DPI/刷新率、图形 API、画质/HDR/超分及输入外设。每台设备须保存完整环境指纹。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P0 新装和主升级路径参考要求 100% 通过；文件 hash 不一致、存档/货币丢失、不可恢复半新半旧状态为 0。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空间边界至少覆盖 R-1 MB、R、R+20%；下载 10%、50%、99%、校验、解压、切换和迁移阶段分别中断。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图形硬标准：Crash、黑屏、严重伪影、关键对象缺失为 0；轻微视觉差异才使用 mask + SSIM/像素差并人工复核。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A43D3D"/>
                <w:sz w:val="20"/>
              </w:rPr>
              <w:t>当前实现边界：</w:t>
            </w:r>
            <w:r>
              <w:rPr>
                <w:rFonts w:ascii="Microsoft YaHei" w:hAnsi="Microsoft YaHei" w:eastAsia="Microsoft YaHei"/>
                <w:color w:val="111111"/>
                <w:sz w:val="20"/>
              </w:rPr>
              <w:t>当前仓库尚未实现设备截图采集和自动视觉回归。后续由本项目自行实现时，应补齐 baseline、设备指纹、mask、图片 hash、自动差异、阈值及人工复核；完成前不能声明已具备自动图像判定。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3.3 性能、场景热力、温度与稳定性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600"/>
        <w:gridCol w:w="3460"/>
      </w:tblGrid>
      <w:tr>
        <w:trPr>
          <w:tblHeader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领域</w:t>
            </w:r>
          </w:p>
        </w:tc>
        <w:tc>
          <w:tcPr>
            <w:tcW w:type="dxa" w:w="4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原始指标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重点统计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流畅度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FPS、帧时间、Jank/BigJank、Game/Render/RHI 线程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平均、P95/P99、低帧占比、最长连续低帧</w:t>
            </w:r>
          </w:p>
        </w:tc>
      </w:tr>
      <w:tr>
        <w:tc>
          <w:tcPr>
            <w:tcW w:type="dxa" w:w="13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CPU/GPU</w:t>
            </w:r>
          </w:p>
        </w:tc>
        <w:tc>
          <w:tcPr>
            <w:tcW w:type="dxa" w:w="46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利用率、频率、显存、温度</w:t>
            </w:r>
          </w:p>
        </w:tc>
        <w:tc>
          <w:tcPr>
            <w:tcW w:type="dxa" w:w="34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峰值、持续饱和、降频时刻、显存增长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内存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PSS、堆、原生堆、Swap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峰值、增长斜率、退出场景后的回收率</w:t>
            </w:r>
          </w:p>
        </w:tc>
      </w:tr>
      <w:tr>
        <w:tc>
          <w:tcPr>
            <w:tcW w:type="dxa" w:w="13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功耗</w:t>
            </w:r>
          </w:p>
        </w:tc>
        <w:tc>
          <w:tcPr>
            <w:tcW w:type="dxa" w:w="46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电流、电压、电池温度、容量</w:t>
            </w:r>
          </w:p>
        </w:tc>
        <w:tc>
          <w:tcPr>
            <w:tcW w:type="dxa" w:w="34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平均功率、单位时间耗电、温升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加载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启动/场景/资源阶段耗时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P50/P95、最长阶段、相对基线回退</w:t>
            </w:r>
          </w:p>
        </w:tc>
      </w:tr>
      <w:tr>
        <w:tc>
          <w:tcPr>
            <w:tcW w:type="dxa" w:w="13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网络/磁盘</w:t>
            </w:r>
          </w:p>
        </w:tc>
        <w:tc>
          <w:tcPr>
            <w:tcW w:type="dxa" w:w="46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收发字节与包、读写量</w:t>
            </w:r>
          </w:p>
        </w:tc>
        <w:tc>
          <w:tcPr>
            <w:tcW w:type="dxa" w:w="34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平均/峰值速率、累计流量、突刺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渲染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triangles、draw calls、mesh calls、粒子数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热区最大值及与低帧时间相关性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8"/>
              </w:rPr>
              <w:t>目标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8"/>
              </w:rPr>
              <w:t>平均 FPS 示例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8"/>
              </w:rPr>
              <w:t>P95 帧时间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8"/>
              </w:rPr>
              <w:t>P99 帧时间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60 FPS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≥55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≤20 ms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≤33.3 ms</w:t>
            </w:r>
          </w:p>
        </w:tc>
      </w:tr>
      <w:tr>
        <w:tc>
          <w:tcPr>
            <w:tcW w:type="dxa" w:w="234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30 FPS</w:t>
            </w:r>
          </w:p>
        </w:tc>
        <w:tc>
          <w:tcPr>
            <w:tcW w:type="dxa" w:w="234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≥28</w:t>
            </w:r>
          </w:p>
        </w:tc>
        <w:tc>
          <w:tcPr>
            <w:tcW w:type="dxa" w:w="234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≤40 ms</w:t>
            </w:r>
          </w:p>
        </w:tc>
        <w:tc>
          <w:tcPr>
            <w:tcW w:type="dxa" w:w="234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8"/>
              </w:rPr>
              <w:t>≤66.7 ms</w:t>
            </w:r>
          </w:p>
        </w:tc>
      </w:tr>
    </w:tbl>
    <w:p>
      <w:pPr>
        <w:spacing w:after="40"/>
      </w:pP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参考门槛：PSS 相对基线增长不超过 5%～10% 且无线性上升；持续 FPS 相对冷态下降不超过 10%；新版本 FPS 回退不超过 5%，加载/内存回退不超过 10%。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CPU 持续 &gt;80%、GPU 持续 &gt;90% 是定位信号，不单独判失败；电池 42～45°C 仅为关注区间，优先使用 OS thermal state、降频和厂商规范。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发布阻断场景 Crash/ANR/OOM 必须为 0；Crash-free session ≥99.9% 只能在足够真实样本下作为线上 SLO。</w:t>
      </w:r>
    </w:p>
    <w:p>
      <w:pPr>
        <w:keepNext w:val="0"/>
        <w:spacing w:before="0" w:after="60" w:line="300" w:lineRule="auto"/>
      </w:pPr>
      <w:r>
        <w:rPr>
          <w:rFonts w:ascii="Microsoft YaHei" w:hAnsi="Microsoft YaHei" w:eastAsia="Microsoft YaHei"/>
          <w:b/>
          <w:color w:val="20364B"/>
          <w:sz w:val="20"/>
        </w:rPr>
        <w:t>本项目热力图采样设计：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字段：Location、Rotation、FPS、RHITriangles、RHIDrawPrimitiveCalls、MeshDrawCalls、NiagaraNumParticles、NiagaraNumMeshVerts。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同位置多朝向聚合最低 FPS、最大 triangles 与最大 RHI draw calls；全局观察 mesh draw calls、粒子数和粒子 mesh 顶点最大值。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A43D3D"/>
                <w:sz w:val="20"/>
              </w:rPr>
              <w:t>实现要求：</w:t>
            </w:r>
            <w:r>
              <w:rPr>
                <w:rFonts w:ascii="Microsoft YaHei" w:hAnsi="Microsoft YaHei" w:eastAsia="Microsoft YaHei"/>
                <w:color w:val="111111"/>
                <w:sz w:val="20"/>
              </w:rPr>
              <w:t>保留原始样本与 hash，增加 P1 FPS/P95 帧时间、每点样本数、缺失点检查、单位校验、设备信息和基线差异；可视化颜色只用于定位，不能替代按本项目设备档位和场景制定的门禁。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3.4 配置表与 Lua 专项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111"/>
          <w:sz w:val="21"/>
        </w:rPr>
        <w:t>数值表建议把业务数据与字段规则分离，以 schema_version 管理模板；检查类型、空值、最小/最大、唯一、概率和、外键、跨表不变量、精度与存储极值。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硬约束示例：主键重复/空 ID 为 0；min_value ≤ max_value；start_time &lt; end_time；禁止的循环依赖为 0。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概率统一为 [0,1] 或 [0,100]，池内合计为 1 或 100；误差必须由领域明确。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完整流水线应为：输入/hash/模板检查 → Schema 与跨表校验 → 稳定排序 → 确定性 Lua → 隔离运行时加载 → 反向对账 → manifest/hash/diff → CI 审批。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A56616"/>
                <w:sz w:val="20"/>
              </w:rPr>
              <w:t>当前边界：</w:t>
            </w:r>
            <w:r>
              <w:rPr>
                <w:rFonts w:ascii="Microsoft YaHei" w:hAnsi="Microsoft YaHei" w:eastAsia="Microsoft YaHei"/>
                <w:color w:val="111111"/>
                <w:sz w:val="20"/>
              </w:rPr>
              <w:t>当前仓库已实现安全导入，但没有完整 Excel/CSV/JSON→Lua 生成器，也没有 Lua 加载测试与制品门禁；只能表述为“已实现导入、已设计生成链路”。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指标字典与统一计算口径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tblHeader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指标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公式/口径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6"/>
              </w:rPr>
              <w:t>使用约束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通过率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通过用例数 / 已执行用例数 × 100%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平台正式口径进一步限定 passed/(passed+failed)</w:t>
            </w:r>
          </w:p>
        </w:tc>
      </w:tr>
      <w:tr>
        <w:tc>
          <w:tcPr>
            <w:tcW w:type="dxa" w:w="17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缺陷逃逸率</w:t>
            </w:r>
          </w:p>
        </w:tc>
        <w:tc>
          <w:tcPr>
            <w:tcW w:type="dxa" w:w="39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发布后缺陷 / 发布前后缺陷总数 × 100%</w:t>
            </w:r>
          </w:p>
        </w:tc>
        <w:tc>
          <w:tcPr>
            <w:tcW w:type="dxa" w:w="37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需统一统计周期与严重级别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回归变化率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(新版本值 - 基线值) / 基线值 × 100%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设备、场景、画质、构建必须可比</w:t>
            </w:r>
          </w:p>
        </w:tc>
      </w:tr>
      <w:tr>
        <w:tc>
          <w:tcPr>
            <w:tcW w:type="dxa" w:w="17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平均 FPS</w:t>
            </w:r>
          </w:p>
        </w:tc>
        <w:tc>
          <w:tcPr>
            <w:tcW w:type="dxa" w:w="39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有效 FPS 样本之和 / 样本数</w:t>
            </w:r>
          </w:p>
        </w:tc>
        <w:tc>
          <w:tcPr>
            <w:tcW w:type="dxa" w:w="37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必须同时报告 P95/P99 帧时间与低帧占比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帧预算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1000 / 目标 FPS（ms）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60 FPS≈16.67 ms；30 FPS≈33.33 ms</w:t>
            </w:r>
          </w:p>
        </w:tc>
      </w:tr>
      <w:tr>
        <w:tc>
          <w:tcPr>
            <w:tcW w:type="dxa" w:w="17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内存增长斜率</w:t>
            </w:r>
          </w:p>
        </w:tc>
        <w:tc>
          <w:tcPr>
            <w:tcW w:type="dxa" w:w="39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(结束 PSS - 开始 PSS) / 运行时间</w:t>
            </w:r>
          </w:p>
        </w:tc>
        <w:tc>
          <w:tcPr>
            <w:tcW w:type="dxa" w:w="37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结合多轮回收与单调趋势判断泄漏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吞吐率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时间窗内成功请求数 / 时间窗长度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同时报告错误率、并发、资源与下游耗时</w:t>
            </w:r>
          </w:p>
        </w:tc>
      </w:tr>
      <w:tr>
        <w:tc>
          <w:tcPr>
            <w:tcW w:type="dxa" w:w="17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网络速率</w:t>
            </w:r>
          </w:p>
        </w:tc>
        <w:tc>
          <w:tcPr>
            <w:tcW w:type="dxa" w:w="39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字节增量 × 8 / 时间增量</w:t>
            </w:r>
          </w:p>
        </w:tc>
        <w:tc>
          <w:tcPr>
            <w:tcW w:type="dxa" w:w="37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6"/>
              </w:rPr>
              <w:t>不能用累计字节直接当瞬时速率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111"/>
          <w:sz w:val="21"/>
        </w:rPr>
        <w:t>分位数必须基于原始样本排序计算，不能用平均值替代。对有预热、随机和设备抖动的指标，同条件至少运行 3 次，报告中位数、P95/P99、最大值和失败样本；容量测试应另行设计样本量与置信区间。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发布门禁与建议后续动作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5.1 可先采用的实验室门禁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关键用例 100% 通过；总回归通过率参考 ≥95%～98%；新增 blocker/critical 为 0。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自动化 flaky rate 参考 &lt;1%～2%；不能用高总通过率掩盖关键用例失败。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性能回退不超过项目预算；配置校验全过；输入/输出/Artifact hash 一致。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所有门禁必须携带环境、样本量、统计周期、阈值来源与基线版本。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5.2 优先补齐顺序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清理 58 条 pytest 收集告警，并在 CI 中固定保存 JUnit/XML 与运行环境元数据。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在可用 Docker 的个人隔离环境实测 PostgreSQL/RabbitMQ、多实例 claim、强杀、租约过期、Broker/数据库中断恢复。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落地受控弱网 Profile 与协议时间线采集，先覆盖登录、下载、结算与断网恢复。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定义统一性能原始数据格式，补场景轨迹、分位数、样本数、缺失点和基线 diff。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为图形报告增加设备指纹、baseline/mask/hash、SSIM/像素差、人工审批与自动结论字段。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color w:val="111111"/>
          <w:sz w:val="20"/>
        </w:rPr>
        <w:t>补完整数值 Schema 与确定性 Lua 生成、隔离加载、反向对账和 CI Artifact 门禁。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附录 A：主要证据位置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7"/>
              </w:rPr>
              <w:t>证据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0364B"/>
                <w:sz w:val="17"/>
              </w:rPr>
              <w:t>仓库路径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专项测试总方法与门槛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docs/GAME_QA_TESTING_INTERVIEW_GUIDE.md</w:t>
            </w:r>
          </w:p>
        </w:tc>
      </w:tr>
      <w:tr>
        <w:tc>
          <w:tcPr>
            <w:tcW w:type="dxa" w:w="25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项目实现总览</w:t>
            </w:r>
          </w:p>
        </w:tc>
        <w:tc>
          <w:tcPr>
            <w:tcW w:type="dxa" w:w="68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README.md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可观测性与指标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docs/OBSERVABILITY.md；backend/app/observability/</w:t>
            </w:r>
          </w:p>
        </w:tc>
      </w:tr>
      <w:tr>
        <w:tc>
          <w:tcPr>
            <w:tcW w:type="dxa" w:w="25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CI 编排与一致性</w:t>
            </w:r>
          </w:p>
        </w:tc>
        <w:tc>
          <w:tcPr>
            <w:tcW w:type="dxa" w:w="68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docs/PHASE6B_6C_ORCHESTRATION.md；backend/app/pipeline/；backend/app/runtime/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质量指标实现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backend/app/services/quality.py；backend/app/api/routes/quality.py；frontend/src/views/QualityReportsView.vue</w:t>
            </w:r>
          </w:p>
        </w:tc>
      </w:tr>
      <w:tr>
        <w:tc>
          <w:tcPr>
            <w:tcW w:type="dxa" w:w="25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数据导入</w:t>
            </w:r>
          </w:p>
        </w:tc>
        <w:tc>
          <w:tcPr>
            <w:tcW w:type="dxa" w:w="68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backend/app/data_transfer/；backend/app/api/routes/data_transfer.py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自动化验证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backend/tests/（本次执行 557 passed）</w:t>
            </w:r>
          </w:p>
        </w:tc>
      </w:tr>
      <w:tr>
        <w:tc>
          <w:tcPr>
            <w:tcW w:type="dxa" w:w="250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部署与未完成边界</w:t>
            </w:r>
          </w:p>
        </w:tc>
        <w:tc>
          <w:tcPr>
            <w:tcW w:type="dxa" w:w="6860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11111"/>
                <w:sz w:val="17"/>
              </w:rPr>
              <w:t>infra/；docs/NEXT_DEVELOPMENT.md；docs/SECURITY.md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附录 B：真实性声明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111"/>
          <w:sz w:val="21"/>
        </w:rPr>
        <w:t>本文按“已实现、已设计”区分完成度。本次唯一新增实测运行数据是后端 pytest 结果（557 passed，100.78 秒，58 warnings）。性能 FPS、P95/P99、弱网参数、温度和发布阈值均为本项目整理的实验室示例或项目建议，不代表当前代码在真实设备、真实容量或生产拓扑中的验收成绩。</w:t>
      </w:r>
    </w:p>
    <w:sectPr>
      <w:headerReference w:type="default" r:id="rId9"/>
      <w:footerReference w:type="default" r:id="rId10"/>
      <w:pgSz w:w="12240" w:h="15840"/>
      <w:pgMar w:top="1123" w:right="1440" w:bottom="1037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B6570"/>
        <w:sz w:val="16"/>
      </w:rPr>
      <w:t>内部技术资料  ·  2026-09-02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B6570"/>
        <w:sz w:val="17"/>
      </w:rPr>
      <w:t>QA Platform Learning  |  专项测试汇总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64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