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5B88" w:rsidRDefault="003773DC">
      <w:pPr>
        <w:pStyle w:val="KonuBal"/>
        <w:jc w:val="center"/>
      </w:pPr>
      <w:r>
        <w:t>Open Science Replication Package</w:t>
      </w:r>
    </w:p>
    <w:p w:rsidR="00D70AA8" w:rsidRDefault="003773DC" w:rsidP="00D70AA8">
      <w:pPr>
        <w:jc w:val="center"/>
      </w:pPr>
      <w:r>
        <w:rPr>
          <w:b/>
        </w:rPr>
        <w:t>Replication Guide</w:t>
      </w:r>
      <w:r>
        <w:rPr>
          <w:b/>
        </w:rPr>
        <w:br/>
      </w:r>
      <w:r w:rsidRPr="003773DC">
        <w:t>Technical Efficiency, Productivity Growth, and the Effects of Territorial Reintegration: Evidence from Azerbaijan's Dairy Sector, 2000–2024</w:t>
      </w:r>
      <w:r w:rsidR="005F769B">
        <w:br/>
      </w:r>
      <w:r w:rsidR="005F769B">
        <w:br/>
      </w:r>
      <w:r>
        <w:br/>
      </w:r>
      <w:r>
        <w:br/>
        <w:t>Author: Halil Tosun, Ph.D</w:t>
      </w:r>
      <w:proofErr w:type="gramStart"/>
      <w:r>
        <w:t>.</w:t>
      </w:r>
      <w:proofErr w:type="gramEnd"/>
      <w:r>
        <w:br/>
        <w:t>ORCID: 0000-0001-5117-0390</w:t>
      </w:r>
      <w:r>
        <w:br/>
        <w:t>Email: halilibrahimtosun@gmail.com</w:t>
      </w:r>
      <w:r>
        <w:br/>
        <w:t>Repository Version: 1.0</w:t>
      </w:r>
      <w:r>
        <w:br/>
        <w:t xml:space="preserve">Zenodo DOI: </w:t>
      </w:r>
      <w:hyperlink r:id="rId6" w:history="1">
        <w:r w:rsidR="00D70AA8" w:rsidRPr="00682B79">
          <w:rPr>
            <w:rStyle w:val="Kpr"/>
          </w:rPr>
          <w:t>https://doi.org/10.5281/zenodo.21460850</w:t>
        </w:r>
      </w:hyperlink>
    </w:p>
    <w:p w:rsidR="00FE5B88" w:rsidRDefault="003773DC">
      <w:pPr>
        <w:pStyle w:val="Balk1"/>
      </w:pPr>
      <w:r>
        <w:t>1. Purpose</w:t>
      </w:r>
    </w:p>
    <w:p w:rsidR="00FE5B88" w:rsidRDefault="003773DC">
      <w:r>
        <w:t>This guide documents the complete replication package accompanying the manuscript. It explains the repository structure, computational environment, execution workflow, and expected outputs so that reviewers and researchers can reproduce the reported analyses.</w:t>
      </w:r>
    </w:p>
    <w:p w:rsidR="00FE5B88" w:rsidRDefault="003773DC">
      <w:pPr>
        <w:pStyle w:val="Balk1"/>
      </w:pPr>
      <w:r>
        <w:t>2. Repository Structure</w:t>
      </w:r>
    </w:p>
    <w:p w:rsidR="00FE5B88" w:rsidRDefault="003773DC">
      <w:pPr>
        <w:pStyle w:val="KeskinTrnak"/>
      </w:pPr>
      <w:r>
        <w:t>Repro/</w:t>
      </w:r>
      <w:r>
        <w:br/>
        <w:t>├── code/</w:t>
      </w:r>
      <w:r>
        <w:br/>
        <w:t>├── data/</w:t>
      </w:r>
      <w:r>
        <w:br/>
        <w:t>├── output/</w:t>
      </w:r>
      <w:r>
        <w:br/>
        <w:t>├── README.md</w:t>
      </w:r>
      <w:r>
        <w:br/>
        <w:t>├── CODEBOOK.md</w:t>
      </w:r>
      <w:r>
        <w:br/>
        <w:t>├── DATA_DESCRIPTION.md</w:t>
      </w:r>
      <w:r>
        <w:br/>
        <w:t>├── REPRODUCIBILITY_CHECKLIST.md</w:t>
      </w:r>
      <w:r>
        <w:br/>
        <w:t>├── CITATION.cff</w:t>
      </w:r>
      <w:r>
        <w:br/>
        <w:t>├── LICENSE</w:t>
      </w:r>
      <w:r>
        <w:br/>
        <w:t>├── requirements.txt</w:t>
      </w:r>
      <w:r>
        <w:br/>
        <w:t>├── environment.yml</w:t>
      </w:r>
      <w:r>
        <w:br/>
        <w:t>└── .gitignore</w:t>
      </w:r>
    </w:p>
    <w:p w:rsidR="00FE5B88" w:rsidRDefault="003773DC">
      <w:pPr>
        <w:pStyle w:val="Balk1"/>
      </w:pPr>
      <w:r>
        <w:t>3. Computational Workflow</w:t>
      </w:r>
    </w:p>
    <w:p w:rsidR="00FE5B88" w:rsidRDefault="003773DC">
      <w:pPr>
        <w:pStyle w:val="ListeMaddemi"/>
      </w:pPr>
      <w:r>
        <w:t>Prepare analytical datasets (00_data_prep.py).</w:t>
      </w:r>
    </w:p>
    <w:p w:rsidR="00FE5B88" w:rsidRDefault="003773DC">
      <w:pPr>
        <w:pStyle w:val="ListeMaddemi"/>
      </w:pPr>
      <w:r>
        <w:t>Estimate bootstrap DEA efficiency scores.</w:t>
      </w:r>
    </w:p>
    <w:p w:rsidR="00FE5B88" w:rsidRDefault="003773DC">
      <w:pPr>
        <w:pStyle w:val="ListeMaddemi"/>
      </w:pPr>
      <w:r>
        <w:t>Estimate Stochastic Frontier Analysis (SFA) models.</w:t>
      </w:r>
    </w:p>
    <w:p w:rsidR="00FE5B88" w:rsidRDefault="003773DC">
      <w:pPr>
        <w:pStyle w:val="ListeMaddemi"/>
      </w:pPr>
      <w:r>
        <w:lastRenderedPageBreak/>
        <w:t>Estimate second-stage Simar–Wilson regressions.</w:t>
      </w:r>
    </w:p>
    <w:p w:rsidR="00FE5B88" w:rsidRDefault="003773DC">
      <w:pPr>
        <w:pStyle w:val="ListeMaddemi"/>
      </w:pPr>
      <w:r>
        <w:t>Compute bootstrap Malmquist productivity indices.</w:t>
      </w:r>
    </w:p>
    <w:p w:rsidR="00FE5B88" w:rsidRDefault="003773DC">
      <w:pPr>
        <w:pStyle w:val="ListeMaddemi"/>
      </w:pPr>
      <w:r>
        <w:t>Estimate event-study models.</w:t>
      </w:r>
    </w:p>
    <w:p w:rsidR="00FE5B88" w:rsidRDefault="003773DC">
      <w:pPr>
        <w:pStyle w:val="ListeMaddemi"/>
      </w:pPr>
      <w:r>
        <w:t>Run robustness analyses.</w:t>
      </w:r>
    </w:p>
    <w:p w:rsidR="00FE5B88" w:rsidRDefault="003773DC">
      <w:pPr>
        <w:pStyle w:val="ListeMaddemi"/>
      </w:pPr>
      <w:r>
        <w:t>Generate manuscript figures and outputs.</w:t>
      </w:r>
    </w:p>
    <w:p w:rsidR="00FE5B88" w:rsidRDefault="003773DC">
      <w:pPr>
        <w:pStyle w:val="Balk1"/>
      </w:pPr>
      <w:r>
        <w:t>4. Installation</w:t>
      </w:r>
    </w:p>
    <w:p w:rsidR="00FE5B88" w:rsidRDefault="003773DC">
      <w:r>
        <w:t>Using Conda:</w:t>
      </w:r>
    </w:p>
    <w:p w:rsidR="00FE5B88" w:rsidRDefault="003773DC">
      <w:pPr>
        <w:pStyle w:val="KeskinTrnak"/>
      </w:pPr>
      <w:proofErr w:type="gramStart"/>
      <w:r>
        <w:t>conda</w:t>
      </w:r>
      <w:proofErr w:type="gramEnd"/>
      <w:r>
        <w:t xml:space="preserve"> env create -f environment.yml</w:t>
      </w:r>
      <w:r>
        <w:br/>
        <w:t>conda activate agri-systems-repro</w:t>
      </w:r>
      <w:r>
        <w:br/>
        <w:t>python run_all.py</w:t>
      </w:r>
    </w:p>
    <w:p w:rsidR="00FE5B88" w:rsidRDefault="003773DC">
      <w:pPr>
        <w:pStyle w:val="Balk1"/>
      </w:pPr>
      <w:r>
        <w:t>5. Expected Outputs</w:t>
      </w:r>
    </w:p>
    <w:p w:rsidR="00FE5B88" w:rsidRDefault="003773DC">
      <w:r>
        <w:t>The workflow reproduces processed datasets, efficiency estimates, productivity indices, regression results, manuscript tables, and figures in the output directories.</w:t>
      </w:r>
    </w:p>
    <w:p w:rsidR="00FE5B88" w:rsidRDefault="003773DC">
      <w:pPr>
        <w:pStyle w:val="Balk1"/>
      </w:pPr>
      <w:r>
        <w:t>6. Reproducibility Statement</w:t>
      </w:r>
    </w:p>
    <w:p w:rsidR="00D70AA8" w:rsidRDefault="003773DC">
      <w:pPr>
        <w:rPr>
          <w:rFonts w:ascii="Times New Roman" w:eastAsia="Times New Roman" w:hAnsi="Times New Roman" w:cs="Times New Roman"/>
          <w:sz w:val="24"/>
          <w:szCs w:val="24"/>
        </w:rPr>
      </w:pPr>
      <w:r>
        <w:t xml:space="preserve">This repository has been prepared according to open science principles. Source code, documentation, software environment, and data are organized to facilitate transparent and reproducible research. </w:t>
      </w:r>
      <w:r>
        <w:rPr>
          <w:rFonts w:ascii="Times New Roman" w:eastAsia="Times New Roman" w:hAnsi="Times New Roman" w:cs="Times New Roman"/>
          <w:sz w:val="24"/>
          <w:szCs w:val="24"/>
        </w:rPr>
        <w:t>The complete replication package (data, code, and computational workflow) is permanently archived on Zenodo and publicly available at</w:t>
      </w:r>
      <w:r w:rsidR="00D70AA8">
        <w:rPr>
          <w:rFonts w:ascii="Times New Roman" w:eastAsia="Times New Roman" w:hAnsi="Times New Roman" w:cs="Times New Roman"/>
          <w:sz w:val="24"/>
          <w:szCs w:val="24"/>
        </w:rPr>
        <w:t>:</w:t>
      </w:r>
    </w:p>
    <w:p w:rsidR="00D70AA8" w:rsidRDefault="00D70AA8">
      <w:pPr>
        <w:rPr>
          <w:rFonts w:ascii="Times New Roman" w:eastAsia="Times New Roman" w:hAnsi="Times New Roman" w:cs="Times New Roman"/>
          <w:sz w:val="24"/>
          <w:szCs w:val="24"/>
        </w:rPr>
      </w:pPr>
      <w:hyperlink r:id="rId7" w:history="1">
        <w:r w:rsidRPr="00682B79">
          <w:rPr>
            <w:rStyle w:val="Kpr"/>
            <w:rFonts w:ascii="Times New Roman" w:eastAsia="Times New Roman" w:hAnsi="Times New Roman" w:cs="Times New Roman"/>
            <w:sz w:val="24"/>
            <w:szCs w:val="24"/>
          </w:rPr>
          <w:t>https://doi.org/10.5281/zenodo.21460850</w:t>
        </w:r>
      </w:hyperlink>
    </w:p>
    <w:p w:rsidR="00FE5B88" w:rsidRDefault="003773DC">
      <w:pPr>
        <w:pStyle w:val="Balk1"/>
      </w:pPr>
      <w:r>
        <w:t>7. Citation</w:t>
      </w:r>
    </w:p>
    <w:p w:rsidR="00FE5B88" w:rsidRDefault="003773DC">
      <w:r>
        <w:t>Please cite the published article together with the archived GitHub/Zenodo repository.</w:t>
      </w:r>
    </w:p>
    <w:sectPr w:rsidR="00FE5B88"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ambria">
    <w:panose1 w:val="02040503050406030204"/>
    <w:charset w:val="A2"/>
    <w:family w:val="roman"/>
    <w:pitch w:val="variable"/>
    <w:sig w:usb0="E00002FF" w:usb1="400004FF" w:usb2="00000000" w:usb3="00000000" w:csb0="0000019F" w:csb1="00000000"/>
  </w:font>
  <w:font w:name="Calibri">
    <w:panose1 w:val="020F0502020204030204"/>
    <w:charset w:val="A2"/>
    <w:family w:val="swiss"/>
    <w:pitch w:val="variable"/>
    <w:sig w:usb0="E00002FF" w:usb1="4000A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grammar="clean"/>
  <w:defaultTabStop w:val="720"/>
  <w:hyphenationZone w:val="425"/>
  <w:characterSpacingControl w:val="doNotCompress"/>
  <w:compat>
    <w:useFELayout/>
  </w:compat>
  <w:rsids>
    <w:rsidRoot w:val="00B47730"/>
    <w:rsid w:val="00034616"/>
    <w:rsid w:val="0006063C"/>
    <w:rsid w:val="0015074B"/>
    <w:rsid w:val="0029639D"/>
    <w:rsid w:val="00326F90"/>
    <w:rsid w:val="003773DC"/>
    <w:rsid w:val="005F769B"/>
    <w:rsid w:val="00AA1D8D"/>
    <w:rsid w:val="00B47730"/>
    <w:rsid w:val="00B86397"/>
    <w:rsid w:val="00BF6305"/>
    <w:rsid w:val="00C100AB"/>
    <w:rsid w:val="00C12184"/>
    <w:rsid w:val="00CB0664"/>
    <w:rsid w:val="00D230A1"/>
    <w:rsid w:val="00D70AA8"/>
    <w:rsid w:val="00FC693F"/>
    <w:rsid w:val="00FE5B8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KonuBal">
    <w:name w:val="Subtitle"/>
    <w:basedOn w:val="Normal"/>
    <w:next w:val="Normal"/>
    <w:link w:val="AltKonuBa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KonuBalChar">
    <w:name w:val="Alt Konu Başlığı Char"/>
    <w:basedOn w:val="VarsaylanParagrafYazTipi"/>
    <w:link w:val="AltKonuBal"/>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Trnak">
    <w:name w:val="Quote"/>
    <w:basedOn w:val="Normal"/>
    <w:next w:val="Normal"/>
    <w:link w:val="TrnakChar"/>
    <w:uiPriority w:val="29"/>
    <w:qFormat/>
    <w:rsid w:val="00FC693F"/>
    <w:rPr>
      <w:i/>
      <w:iCs/>
      <w:color w:val="000000" w:themeColor="text1"/>
    </w:rPr>
  </w:style>
  <w:style w:type="character" w:customStyle="1" w:styleId="TrnakChar">
    <w:name w:val="Tırnak Char"/>
    <w:basedOn w:val="VarsaylanParagrafYazTipi"/>
    <w:link w:val="Trnak"/>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KeskinTrnak">
    <w:name w:val="Intense Quote"/>
    <w:basedOn w:val="Normal"/>
    <w:next w:val="Normal"/>
    <w:link w:val="KeskinTrnak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eskinTrnakChar">
    <w:name w:val="Keskin Tırnak Char"/>
    <w:basedOn w:val="VarsaylanParagrafYazTipi"/>
    <w:link w:val="KeskinTrnak"/>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AkGlgeleme1">
    <w:name w:val="Açık Gölgeleme1"/>
    <w:basedOn w:val="NormalTablo"/>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AkGlgeleme-Vurgu11">
    <w:name w:val="Açık Gölgeleme - Vurgu 11"/>
    <w:basedOn w:val="NormalTablo"/>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AkListe1">
    <w:name w:val="Açık Liste1"/>
    <w:basedOn w:val="NormalTablo"/>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AkListe-Vurgu11">
    <w:name w:val="Açık Liste - Vurgu 11"/>
    <w:basedOn w:val="NormalTablo"/>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AkKlavuz1">
    <w:name w:val="Açık Kılavuz1"/>
    <w:basedOn w:val="NormalTablo"/>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AkKlavuz-Vurgu11">
    <w:name w:val="Açık Kılavuz - Vurgu 11"/>
    <w:basedOn w:val="NormalTablo"/>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OrtaGlgeleme11">
    <w:name w:val="Orta Gölgeleme 11"/>
    <w:basedOn w:val="NormalTablo"/>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OrtaGlgeleme1-Vurgu11">
    <w:name w:val="Orta Gölgeleme 1 - Vurgu 11"/>
    <w:basedOn w:val="NormalTablo"/>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OrtaGlgeleme21">
    <w:name w:val="Orta Gölgeleme 21"/>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OrtaGlgeleme2-Vurgu11">
    <w:name w:val="Orta Gölgeleme 2 - Vurgu 11"/>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OrtaListe11">
    <w:name w:val="Orta Liste 11"/>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OrtaListe1-Vurgu11">
    <w:name w:val="Orta Liste 1 - Vurgu 11"/>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OrtaListe21">
    <w:name w:val="Orta Liste 2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OrtaKlavuz11">
    <w:name w:val="Orta Kılavuz 11"/>
    <w:basedOn w:val="NormalTablo"/>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OrtaKlavuz21">
    <w:name w:val="Orta Kılavuz 2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OrtaKlavuz31">
    <w:name w:val="Orta Kılavuz 31"/>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KoyuListe1">
    <w:name w:val="Koyu Liste1"/>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RenkliGlgeleme1">
    <w:name w:val="Renkli Gölgeleme1"/>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RenkliListe1">
    <w:name w:val="Renkli Liste1"/>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RenkliKlavuz1">
    <w:name w:val="Renkli Kılavuz1"/>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uiPriority w:val="99"/>
    <w:unhideWhenUsed/>
    <w:rsid w:val="003773DC"/>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5281/zenodo.2146085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5281/zenodo.21460850" TargetMode="Externa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C8AA11-05A2-4C84-B67B-02D217350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319</Words>
  <Characters>1822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Halil Tosun</cp:lastModifiedBy>
  <cp:revision>6</cp:revision>
  <dcterms:created xsi:type="dcterms:W3CDTF">2026-07-20T16:08:00Z</dcterms:created>
  <dcterms:modified xsi:type="dcterms:W3CDTF">2026-07-25T00:25:00Z</dcterms:modified>
</cp:coreProperties>
</file>