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D2317" w14:textId="3D4AABD8" w:rsidR="00176D92" w:rsidRDefault="00176D92" w:rsidP="00D13EA2">
      <w:pPr>
        <w:jc w:val="both"/>
        <w:rPr>
          <w:rFonts w:asciiTheme="minorHAnsi" w:hAnsiTheme="minorHAnsi"/>
          <w:b/>
          <w:sz w:val="24"/>
          <w:szCs w:val="24"/>
        </w:rPr>
      </w:pPr>
    </w:p>
    <w:p w14:paraId="37491FB5" w14:textId="20E92051" w:rsidR="000C2551" w:rsidRPr="00AA4042" w:rsidRDefault="00176D92" w:rsidP="00D13EA2">
      <w:pPr>
        <w:jc w:val="both"/>
        <w:rPr>
          <w:rFonts w:asciiTheme="minorHAnsi" w:hAnsiTheme="minorHAnsi"/>
          <w:b/>
          <w:sz w:val="24"/>
          <w:szCs w:val="24"/>
        </w:rPr>
      </w:pPr>
      <w:r w:rsidRPr="00AA4042">
        <w:rPr>
          <w:rFonts w:asciiTheme="minorHAnsi" w:hAnsiTheme="minorHAnsi"/>
          <w:b/>
          <w:sz w:val="24"/>
          <w:szCs w:val="24"/>
        </w:rPr>
        <w:t xml:space="preserve">                                        </w:t>
      </w:r>
      <w:r w:rsidR="00E22B5E" w:rsidRPr="00AA4042">
        <w:rPr>
          <w:rFonts w:asciiTheme="minorHAnsi" w:hAnsiTheme="minorHAnsi"/>
          <w:b/>
          <w:sz w:val="24"/>
          <w:szCs w:val="24"/>
        </w:rPr>
        <w:t xml:space="preserve">    </w:t>
      </w:r>
      <w:r w:rsidR="00C305C2" w:rsidRPr="00AA4042">
        <w:rPr>
          <w:rFonts w:asciiTheme="minorHAnsi" w:hAnsiTheme="minorHAnsi"/>
          <w:b/>
          <w:sz w:val="24"/>
          <w:szCs w:val="24"/>
        </w:rPr>
        <w:t>BKM 2016 Yılı Şubat Ayı Verilerini Açıkladı!</w:t>
      </w:r>
    </w:p>
    <w:p w14:paraId="0B523D0C" w14:textId="53E1DED9" w:rsidR="000C2551" w:rsidRPr="00AA4042" w:rsidRDefault="00E22B5E" w:rsidP="00D13EA2">
      <w:pPr>
        <w:spacing w:after="0" w:line="240" w:lineRule="auto"/>
        <w:ind w:left="708" w:firstLine="708"/>
        <w:jc w:val="both"/>
        <w:rPr>
          <w:rFonts w:asciiTheme="minorHAnsi" w:hAnsiTheme="minorHAnsi"/>
          <w:b/>
          <w:sz w:val="24"/>
          <w:szCs w:val="24"/>
        </w:rPr>
      </w:pPr>
      <w:r w:rsidRPr="00AA4042">
        <w:rPr>
          <w:rFonts w:asciiTheme="minorHAnsi" w:hAnsiTheme="minorHAnsi"/>
          <w:b/>
          <w:sz w:val="24"/>
          <w:szCs w:val="24"/>
        </w:rPr>
        <w:t xml:space="preserve">         </w:t>
      </w:r>
      <w:r w:rsidR="00AA4042">
        <w:rPr>
          <w:rFonts w:asciiTheme="minorHAnsi" w:hAnsiTheme="minorHAnsi"/>
          <w:b/>
          <w:sz w:val="24"/>
          <w:szCs w:val="24"/>
        </w:rPr>
        <w:t xml:space="preserve"> </w:t>
      </w:r>
      <w:r w:rsidRPr="00AA4042">
        <w:rPr>
          <w:rFonts w:asciiTheme="minorHAnsi" w:hAnsiTheme="minorHAnsi"/>
          <w:b/>
          <w:sz w:val="24"/>
          <w:szCs w:val="24"/>
        </w:rPr>
        <w:t xml:space="preserve">   </w:t>
      </w:r>
      <w:r w:rsidR="00713E37" w:rsidRPr="00AA4042">
        <w:rPr>
          <w:rFonts w:asciiTheme="minorHAnsi" w:hAnsiTheme="minorHAnsi"/>
          <w:b/>
          <w:sz w:val="24"/>
          <w:szCs w:val="24"/>
        </w:rPr>
        <w:t xml:space="preserve">İnternetten </w:t>
      </w:r>
      <w:r w:rsidR="000C2551" w:rsidRPr="00AA4042">
        <w:rPr>
          <w:rFonts w:asciiTheme="minorHAnsi" w:hAnsiTheme="minorHAnsi"/>
          <w:b/>
          <w:sz w:val="24"/>
          <w:szCs w:val="24"/>
        </w:rPr>
        <w:t>4,9 Milyar TL’lik Ödeme Gerçekleşti</w:t>
      </w:r>
    </w:p>
    <w:p w14:paraId="3C874618" w14:textId="77777777" w:rsidR="00E22B5E" w:rsidRPr="00AA4042" w:rsidRDefault="00E22B5E" w:rsidP="00D13EA2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AA4042">
        <w:rPr>
          <w:rFonts w:asciiTheme="minorHAnsi" w:hAnsiTheme="minorHAnsi"/>
          <w:b/>
          <w:sz w:val="24"/>
          <w:szCs w:val="24"/>
        </w:rPr>
        <w:t xml:space="preserve">                                           </w:t>
      </w:r>
    </w:p>
    <w:p w14:paraId="3330D390" w14:textId="4967B975" w:rsidR="000C2551" w:rsidRPr="0037594D" w:rsidRDefault="00E22B5E" w:rsidP="00D13EA2">
      <w:pPr>
        <w:jc w:val="both"/>
        <w:rPr>
          <w:rFonts w:asciiTheme="minorHAnsi" w:hAnsiTheme="minorHAnsi"/>
          <w:b/>
          <w:sz w:val="32"/>
          <w:szCs w:val="32"/>
        </w:rPr>
      </w:pPr>
      <w:r w:rsidRPr="0037594D">
        <w:rPr>
          <w:rFonts w:asciiTheme="minorHAnsi" w:hAnsiTheme="minorHAnsi"/>
          <w:b/>
          <w:sz w:val="26"/>
          <w:szCs w:val="26"/>
        </w:rPr>
        <w:t xml:space="preserve">                                            </w:t>
      </w:r>
      <w:r w:rsidR="0037594D">
        <w:rPr>
          <w:rFonts w:asciiTheme="minorHAnsi" w:hAnsiTheme="minorHAnsi"/>
          <w:b/>
          <w:sz w:val="26"/>
          <w:szCs w:val="26"/>
        </w:rPr>
        <w:t xml:space="preserve">  </w:t>
      </w:r>
      <w:r w:rsidRPr="0037594D">
        <w:rPr>
          <w:rFonts w:asciiTheme="minorHAnsi" w:hAnsiTheme="minorHAnsi"/>
          <w:b/>
          <w:sz w:val="32"/>
          <w:szCs w:val="32"/>
        </w:rPr>
        <w:t xml:space="preserve"> Dijital Ödemeler % 32 Arttı</w:t>
      </w:r>
    </w:p>
    <w:p w14:paraId="24F9A934" w14:textId="1B2F093F" w:rsidR="000C2551" w:rsidRPr="00AA4042" w:rsidRDefault="000C2551" w:rsidP="00D13EA2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  <w:r w:rsidRPr="00AA4042">
        <w:rPr>
          <w:rFonts w:asciiTheme="minorHAnsi" w:hAnsiTheme="minorHAnsi"/>
          <w:b/>
          <w:sz w:val="24"/>
          <w:szCs w:val="24"/>
        </w:rPr>
        <w:t>BKM 2016 yılı şubat ayı verilerini açıkladı. Verilerde en dikkat çekici geliş</w:t>
      </w:r>
      <w:r w:rsidR="00713E37" w:rsidRPr="00AA4042">
        <w:rPr>
          <w:rFonts w:asciiTheme="minorHAnsi" w:hAnsiTheme="minorHAnsi"/>
          <w:b/>
          <w:sz w:val="24"/>
          <w:szCs w:val="24"/>
        </w:rPr>
        <w:t>me</w:t>
      </w:r>
      <w:r w:rsidRPr="00AA4042">
        <w:rPr>
          <w:rFonts w:asciiTheme="minorHAnsi" w:hAnsiTheme="minorHAnsi"/>
          <w:b/>
          <w:sz w:val="24"/>
          <w:szCs w:val="24"/>
        </w:rPr>
        <w:t xml:space="preserve"> dijital ödemelerdeki gelişmeler. 2015 yılında hızla yükselmeye başlayan dijital ödemeler, 2016 yılının ilk aylarında </w:t>
      </w:r>
      <w:r w:rsidR="00713E37" w:rsidRPr="00AA4042">
        <w:rPr>
          <w:rFonts w:asciiTheme="minorHAnsi" w:hAnsiTheme="minorHAnsi"/>
          <w:b/>
          <w:sz w:val="24"/>
          <w:szCs w:val="24"/>
        </w:rPr>
        <w:t xml:space="preserve">da </w:t>
      </w:r>
      <w:r w:rsidRPr="00AA4042">
        <w:rPr>
          <w:rFonts w:asciiTheme="minorHAnsi" w:hAnsiTheme="minorHAnsi"/>
          <w:b/>
          <w:sz w:val="24"/>
          <w:szCs w:val="24"/>
        </w:rPr>
        <w:t xml:space="preserve">aynı </w:t>
      </w:r>
      <w:r w:rsidR="00C37807" w:rsidRPr="00AA4042">
        <w:rPr>
          <w:rFonts w:asciiTheme="minorHAnsi" w:hAnsiTheme="minorHAnsi"/>
          <w:b/>
          <w:sz w:val="24"/>
          <w:szCs w:val="24"/>
        </w:rPr>
        <w:t>ivmesini devam ettiriyor. Şubat ayı</w:t>
      </w:r>
      <w:r w:rsidRPr="00AA4042">
        <w:rPr>
          <w:rFonts w:asciiTheme="minorHAnsi" w:hAnsiTheme="minorHAnsi"/>
          <w:b/>
          <w:sz w:val="24"/>
          <w:szCs w:val="24"/>
        </w:rPr>
        <w:t xml:space="preserve"> 29 gün olmasına rağmen artan internet ödemeleri dikkat çekiyor. BKM verilerine göre </w:t>
      </w:r>
      <w:r w:rsidR="00C37807" w:rsidRPr="00AA4042">
        <w:rPr>
          <w:rFonts w:asciiTheme="minorHAnsi" w:hAnsiTheme="minorHAnsi"/>
          <w:b/>
          <w:sz w:val="24"/>
          <w:szCs w:val="24"/>
        </w:rPr>
        <w:t xml:space="preserve">Şubat ayında </w:t>
      </w:r>
      <w:r w:rsidR="00713E37" w:rsidRPr="00AA4042">
        <w:rPr>
          <w:rFonts w:asciiTheme="minorHAnsi" w:hAnsiTheme="minorHAnsi"/>
          <w:b/>
          <w:sz w:val="24"/>
          <w:szCs w:val="24"/>
        </w:rPr>
        <w:t xml:space="preserve">internette </w:t>
      </w:r>
      <w:r w:rsidRPr="00AA4042">
        <w:rPr>
          <w:rFonts w:asciiTheme="minorHAnsi" w:hAnsiTheme="minorHAnsi"/>
          <w:b/>
          <w:sz w:val="24"/>
          <w:szCs w:val="24"/>
        </w:rPr>
        <w:t>toplam 4,9 milyar TL tutarında kartlı ödeme gerçekleşti. Bu rakam geçtiğimiz yılın aynı dönemine göre internetten kartlı ödemelerde %32 oranında bir artışı ifade ediyor.</w:t>
      </w:r>
    </w:p>
    <w:p w14:paraId="76826444" w14:textId="77777777" w:rsidR="00AA4042" w:rsidRPr="00AA4042" w:rsidRDefault="00AA4042" w:rsidP="00D13EA2">
      <w:pPr>
        <w:spacing w:after="0"/>
        <w:jc w:val="both"/>
        <w:rPr>
          <w:rFonts w:asciiTheme="minorHAnsi" w:hAnsiTheme="minorHAnsi"/>
          <w:b/>
          <w:sz w:val="26"/>
          <w:szCs w:val="26"/>
        </w:rPr>
      </w:pPr>
    </w:p>
    <w:p w14:paraId="21297325" w14:textId="35AD9C6C" w:rsidR="00176D92" w:rsidRPr="00AA4042" w:rsidRDefault="00C37807" w:rsidP="00D13EA2">
      <w:pPr>
        <w:jc w:val="both"/>
        <w:rPr>
          <w:rFonts w:asciiTheme="minorHAnsi" w:hAnsiTheme="minorHAnsi"/>
          <w:sz w:val="21"/>
          <w:szCs w:val="21"/>
        </w:rPr>
      </w:pPr>
      <w:r w:rsidRPr="00AA4042">
        <w:rPr>
          <w:rFonts w:asciiTheme="minorHAnsi" w:hAnsiTheme="minorHAnsi"/>
          <w:sz w:val="21"/>
          <w:szCs w:val="21"/>
        </w:rPr>
        <w:t>BKM verilerine göre Şubat ayı 29 gün olmasına rağmen,</w:t>
      </w:r>
      <w:r w:rsidR="000C2551" w:rsidRPr="00AA4042">
        <w:rPr>
          <w:rFonts w:asciiTheme="minorHAnsi" w:hAnsiTheme="minorHAnsi"/>
          <w:sz w:val="21"/>
          <w:szCs w:val="21"/>
        </w:rPr>
        <w:t xml:space="preserve"> artan internetten ödeme alışkanlıkları</w:t>
      </w:r>
      <w:r w:rsidRPr="00AA4042">
        <w:rPr>
          <w:rFonts w:asciiTheme="minorHAnsi" w:hAnsiTheme="minorHAnsi"/>
          <w:sz w:val="21"/>
          <w:szCs w:val="21"/>
        </w:rPr>
        <w:t>nın</w:t>
      </w:r>
      <w:r w:rsidR="000C2551" w:rsidRPr="00AA4042">
        <w:rPr>
          <w:rFonts w:asciiTheme="minorHAnsi" w:hAnsiTheme="minorHAnsi"/>
          <w:sz w:val="21"/>
          <w:szCs w:val="21"/>
        </w:rPr>
        <w:t xml:space="preserve"> </w:t>
      </w:r>
      <w:r w:rsidRPr="00AA4042">
        <w:rPr>
          <w:rFonts w:asciiTheme="minorHAnsi" w:hAnsiTheme="minorHAnsi"/>
          <w:sz w:val="21"/>
          <w:szCs w:val="21"/>
        </w:rPr>
        <w:t>etkisiyle</w:t>
      </w:r>
      <w:r w:rsidR="000C2551" w:rsidRPr="00AA4042">
        <w:rPr>
          <w:rFonts w:asciiTheme="minorHAnsi" w:hAnsiTheme="minorHAnsi"/>
          <w:sz w:val="21"/>
          <w:szCs w:val="21"/>
        </w:rPr>
        <w:t xml:space="preserve"> 4,9 milyar TL tutarında kartlı öde</w:t>
      </w:r>
      <w:r w:rsidR="00E22B5E" w:rsidRPr="00AA4042">
        <w:rPr>
          <w:rFonts w:asciiTheme="minorHAnsi" w:hAnsiTheme="minorHAnsi"/>
          <w:sz w:val="21"/>
          <w:szCs w:val="21"/>
        </w:rPr>
        <w:t>me gerçekleştiği görülüyor. Bu</w:t>
      </w:r>
      <w:r w:rsidR="000C2551" w:rsidRPr="00AA4042">
        <w:rPr>
          <w:rFonts w:asciiTheme="minorHAnsi" w:hAnsiTheme="minorHAnsi"/>
          <w:sz w:val="21"/>
          <w:szCs w:val="21"/>
        </w:rPr>
        <w:t xml:space="preserve"> </w:t>
      </w:r>
      <w:r w:rsidRPr="00AA4042">
        <w:rPr>
          <w:rFonts w:asciiTheme="minorHAnsi" w:hAnsiTheme="minorHAnsi"/>
          <w:sz w:val="21"/>
          <w:szCs w:val="21"/>
        </w:rPr>
        <w:t>veri</w:t>
      </w:r>
      <w:r w:rsidR="000C2551" w:rsidRPr="00AA4042">
        <w:rPr>
          <w:rFonts w:asciiTheme="minorHAnsi" w:hAnsiTheme="minorHAnsi"/>
          <w:sz w:val="21"/>
          <w:szCs w:val="21"/>
        </w:rPr>
        <w:t xml:space="preserve"> önceki yılın aynı dönemine göre internetten kartlı ödemelerde %32 oranında artı</w:t>
      </w:r>
      <w:r w:rsidR="00AA4042" w:rsidRPr="00AA4042">
        <w:rPr>
          <w:rFonts w:asciiTheme="minorHAnsi" w:hAnsiTheme="minorHAnsi"/>
          <w:sz w:val="21"/>
          <w:szCs w:val="21"/>
        </w:rPr>
        <w:t>ş gerçekleştiğine işaret ediyo</w:t>
      </w:r>
      <w:r w:rsidR="00FA1BF1">
        <w:rPr>
          <w:rFonts w:asciiTheme="minorHAnsi" w:hAnsiTheme="minorHAnsi"/>
          <w:sz w:val="21"/>
          <w:szCs w:val="21"/>
        </w:rPr>
        <w:t>r.</w:t>
      </w:r>
    </w:p>
    <w:p w14:paraId="71EDC690" w14:textId="1A426E55" w:rsidR="000C2551" w:rsidRPr="00AA4042" w:rsidRDefault="00176D92" w:rsidP="00D13EA2">
      <w:pPr>
        <w:jc w:val="both"/>
        <w:rPr>
          <w:rFonts w:asciiTheme="minorHAnsi" w:hAnsiTheme="minorHAnsi"/>
          <w:b/>
          <w:sz w:val="21"/>
          <w:szCs w:val="21"/>
        </w:rPr>
      </w:pPr>
      <w:r w:rsidRPr="00AA4042">
        <w:rPr>
          <w:rFonts w:asciiTheme="minorHAnsi" w:hAnsiTheme="minorHAnsi"/>
          <w:b/>
          <w:sz w:val="21"/>
          <w:szCs w:val="21"/>
        </w:rPr>
        <w:t xml:space="preserve">        </w:t>
      </w:r>
      <w:r w:rsidR="00F558C0" w:rsidRPr="00AA4042">
        <w:rPr>
          <w:rFonts w:asciiTheme="minorHAnsi" w:hAnsiTheme="minorHAnsi"/>
          <w:b/>
          <w:sz w:val="21"/>
          <w:szCs w:val="21"/>
        </w:rPr>
        <w:t xml:space="preserve">      </w:t>
      </w:r>
      <w:r w:rsidR="000C2551" w:rsidRPr="00AA4042">
        <w:rPr>
          <w:rFonts w:asciiTheme="minorHAnsi" w:hAnsiTheme="minorHAnsi"/>
          <w:b/>
          <w:sz w:val="21"/>
          <w:szCs w:val="21"/>
        </w:rPr>
        <w:t>Tablo</w:t>
      </w:r>
      <w:r w:rsidR="00E22B5E" w:rsidRPr="00AA4042">
        <w:rPr>
          <w:rFonts w:asciiTheme="minorHAnsi" w:hAnsiTheme="minorHAnsi"/>
          <w:b/>
          <w:sz w:val="21"/>
          <w:szCs w:val="21"/>
        </w:rPr>
        <w:t xml:space="preserve"> 1</w:t>
      </w:r>
      <w:r w:rsidR="000C2551" w:rsidRPr="00AA4042">
        <w:rPr>
          <w:rFonts w:asciiTheme="minorHAnsi" w:hAnsiTheme="minorHAnsi"/>
          <w:b/>
          <w:sz w:val="21"/>
          <w:szCs w:val="21"/>
        </w:rPr>
        <w:t>:</w:t>
      </w:r>
      <w:r w:rsidR="000C2551" w:rsidRPr="00AA4042">
        <w:rPr>
          <w:rFonts w:asciiTheme="minorHAnsi" w:hAnsiTheme="minorHAnsi"/>
          <w:sz w:val="21"/>
          <w:szCs w:val="21"/>
        </w:rPr>
        <w:t xml:space="preserve"> </w:t>
      </w:r>
      <w:r w:rsidR="000C2551" w:rsidRPr="00AA4042">
        <w:rPr>
          <w:rFonts w:asciiTheme="minorHAnsi" w:hAnsiTheme="minorHAnsi"/>
          <w:b/>
          <w:sz w:val="21"/>
          <w:szCs w:val="21"/>
        </w:rPr>
        <w:t>İnternetten Kartlı Ödeme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0C2551" w:rsidRPr="00AA4042" w14:paraId="3E3A1FB0" w14:textId="77777777" w:rsidTr="00051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49E7661E" w14:textId="435E755E" w:rsidR="000C2551" w:rsidRPr="00AA4042" w:rsidRDefault="000C2551" w:rsidP="00D13EA2">
            <w:pPr>
              <w:jc w:val="both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 xml:space="preserve"> 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4D4564A4" w14:textId="77777777" w:rsidR="000C2551" w:rsidRPr="00AA4042" w:rsidRDefault="000C2551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2015 Şubat</w:t>
            </w:r>
          </w:p>
        </w:tc>
        <w:tc>
          <w:tcPr>
            <w:tcW w:w="1769" w:type="dxa"/>
            <w:noWrap/>
            <w:vAlign w:val="center"/>
            <w:hideMark/>
          </w:tcPr>
          <w:p w14:paraId="7A32B5F3" w14:textId="77777777" w:rsidR="000C2551" w:rsidRPr="00AA4042" w:rsidRDefault="000C2551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2016 Şubat</w:t>
            </w:r>
          </w:p>
        </w:tc>
        <w:tc>
          <w:tcPr>
            <w:tcW w:w="1072" w:type="dxa"/>
            <w:noWrap/>
            <w:vAlign w:val="center"/>
            <w:hideMark/>
          </w:tcPr>
          <w:p w14:paraId="067B2B55" w14:textId="77777777" w:rsidR="000C2551" w:rsidRPr="00AA4042" w:rsidRDefault="000C2551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Değişim</w:t>
            </w:r>
          </w:p>
        </w:tc>
      </w:tr>
      <w:tr w:rsidR="000C2551" w:rsidRPr="00AA4042" w14:paraId="4E51F9DB" w14:textId="77777777" w:rsidTr="00051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6DE8B89" w14:textId="19C971AA" w:rsidR="000C2551" w:rsidRPr="00AA4042" w:rsidRDefault="00713E37" w:rsidP="00D13EA2">
            <w:pPr>
              <w:jc w:val="both"/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 xml:space="preserve">İnternetten Kartlı Ödeme Tutarı </w:t>
            </w:r>
          </w:p>
        </w:tc>
        <w:tc>
          <w:tcPr>
            <w:tcW w:w="1769" w:type="dxa"/>
            <w:noWrap/>
            <w:vAlign w:val="center"/>
            <w:hideMark/>
          </w:tcPr>
          <w:p w14:paraId="329BF67D" w14:textId="77777777" w:rsidR="000C2551" w:rsidRPr="00AA4042" w:rsidRDefault="000C2551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3,7</w:t>
            </w:r>
          </w:p>
        </w:tc>
        <w:tc>
          <w:tcPr>
            <w:tcW w:w="1769" w:type="dxa"/>
            <w:noWrap/>
            <w:vAlign w:val="center"/>
            <w:hideMark/>
          </w:tcPr>
          <w:p w14:paraId="244BEC95" w14:textId="77777777" w:rsidR="000C2551" w:rsidRPr="00AA4042" w:rsidRDefault="000C2551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4,9</w:t>
            </w:r>
          </w:p>
        </w:tc>
        <w:tc>
          <w:tcPr>
            <w:tcW w:w="1072" w:type="dxa"/>
            <w:noWrap/>
            <w:vAlign w:val="center"/>
            <w:hideMark/>
          </w:tcPr>
          <w:p w14:paraId="0FBFDB6F" w14:textId="77777777" w:rsidR="000C2551" w:rsidRPr="00AA4042" w:rsidRDefault="000C2551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32%</w:t>
            </w:r>
          </w:p>
        </w:tc>
      </w:tr>
    </w:tbl>
    <w:p w14:paraId="528EADE8" w14:textId="77777777" w:rsidR="00A17326" w:rsidRPr="00AA4042" w:rsidRDefault="002C5D4E" w:rsidP="00D13EA2">
      <w:pPr>
        <w:spacing w:before="240" w:after="120" w:line="288" w:lineRule="auto"/>
        <w:jc w:val="both"/>
        <w:rPr>
          <w:rFonts w:asciiTheme="minorHAnsi" w:hAnsiTheme="minorHAnsi"/>
          <w:b/>
          <w:sz w:val="21"/>
          <w:szCs w:val="21"/>
        </w:rPr>
      </w:pPr>
      <w:r w:rsidRPr="00AA4042">
        <w:rPr>
          <w:rFonts w:asciiTheme="minorHAnsi" w:hAnsiTheme="minorHAnsi"/>
          <w:b/>
          <w:sz w:val="21"/>
          <w:szCs w:val="21"/>
        </w:rPr>
        <w:t>Şubat</w:t>
      </w:r>
      <w:r w:rsidR="00A17326" w:rsidRPr="00AA4042">
        <w:rPr>
          <w:rFonts w:asciiTheme="minorHAnsi" w:hAnsiTheme="minorHAnsi"/>
          <w:b/>
          <w:sz w:val="21"/>
          <w:szCs w:val="21"/>
        </w:rPr>
        <w:t xml:space="preserve"> Ayında Kartlar 4</w:t>
      </w:r>
      <w:r w:rsidRPr="00AA4042">
        <w:rPr>
          <w:rFonts w:asciiTheme="minorHAnsi" w:hAnsiTheme="minorHAnsi"/>
          <w:b/>
          <w:sz w:val="21"/>
          <w:szCs w:val="21"/>
        </w:rPr>
        <w:t>3</w:t>
      </w:r>
      <w:r w:rsidR="00F9180D" w:rsidRPr="00AA4042">
        <w:rPr>
          <w:rFonts w:asciiTheme="minorHAnsi" w:hAnsiTheme="minorHAnsi"/>
          <w:b/>
          <w:sz w:val="21"/>
          <w:szCs w:val="21"/>
        </w:rPr>
        <w:t>,4</w:t>
      </w:r>
      <w:r w:rsidR="00A17326" w:rsidRPr="00AA4042">
        <w:rPr>
          <w:rFonts w:asciiTheme="minorHAnsi" w:hAnsiTheme="minorHAnsi"/>
          <w:b/>
          <w:sz w:val="21"/>
          <w:szCs w:val="21"/>
        </w:rPr>
        <w:t xml:space="preserve"> Milyar TL’lik Ödemede Kullanıldı</w:t>
      </w:r>
    </w:p>
    <w:p w14:paraId="492E9F4F" w14:textId="034D6F41" w:rsidR="008A4F88" w:rsidRPr="00AA4042" w:rsidRDefault="008A4F88" w:rsidP="00D13EA2">
      <w:pPr>
        <w:spacing w:after="120" w:line="312" w:lineRule="auto"/>
        <w:jc w:val="both"/>
        <w:rPr>
          <w:rFonts w:asciiTheme="minorHAnsi" w:hAnsiTheme="minorHAnsi"/>
          <w:sz w:val="21"/>
          <w:szCs w:val="21"/>
        </w:rPr>
      </w:pPr>
      <w:r w:rsidRPr="00AA4042">
        <w:rPr>
          <w:rFonts w:asciiTheme="minorHAnsi" w:hAnsiTheme="minorHAnsi"/>
          <w:sz w:val="21"/>
          <w:szCs w:val="21"/>
        </w:rPr>
        <w:t xml:space="preserve">Bankalararası Kart Merkezi’nin (BKM) açıkladığı verilere göre </w:t>
      </w:r>
      <w:r w:rsidR="0011642F" w:rsidRPr="00AA4042">
        <w:rPr>
          <w:rFonts w:asciiTheme="minorHAnsi" w:hAnsiTheme="minorHAnsi"/>
          <w:sz w:val="21"/>
          <w:szCs w:val="21"/>
        </w:rPr>
        <w:t xml:space="preserve">banka kartları ve kredi kartları ile </w:t>
      </w:r>
      <w:r w:rsidR="002C5D4E" w:rsidRPr="00AA4042">
        <w:rPr>
          <w:rFonts w:asciiTheme="minorHAnsi" w:hAnsiTheme="minorHAnsi"/>
          <w:sz w:val="21"/>
          <w:szCs w:val="21"/>
        </w:rPr>
        <w:t>Şubat</w:t>
      </w:r>
      <w:r w:rsidR="0011642F" w:rsidRPr="00AA4042">
        <w:rPr>
          <w:rFonts w:asciiTheme="minorHAnsi" w:hAnsiTheme="minorHAnsi"/>
          <w:sz w:val="21"/>
          <w:szCs w:val="21"/>
        </w:rPr>
        <w:t xml:space="preserve"> ayında toplam 4</w:t>
      </w:r>
      <w:r w:rsidR="002C5D4E" w:rsidRPr="00AA4042">
        <w:rPr>
          <w:rFonts w:asciiTheme="minorHAnsi" w:hAnsiTheme="minorHAnsi"/>
          <w:sz w:val="21"/>
          <w:szCs w:val="21"/>
        </w:rPr>
        <w:t>3,4</w:t>
      </w:r>
      <w:r w:rsidR="0011642F" w:rsidRPr="00AA4042">
        <w:rPr>
          <w:rFonts w:asciiTheme="minorHAnsi" w:hAnsiTheme="minorHAnsi"/>
          <w:sz w:val="21"/>
          <w:szCs w:val="21"/>
        </w:rPr>
        <w:t xml:space="preserve"> milyar TL’lik ödeme yapıldı. </w:t>
      </w:r>
      <w:r w:rsidR="00216F47" w:rsidRPr="00AA4042">
        <w:rPr>
          <w:rFonts w:asciiTheme="minorHAnsi" w:hAnsiTheme="minorHAnsi"/>
          <w:sz w:val="21"/>
          <w:szCs w:val="21"/>
        </w:rPr>
        <w:t xml:space="preserve">Bu tutarın </w:t>
      </w:r>
      <w:r w:rsidR="002C5D4E" w:rsidRPr="00AA4042">
        <w:rPr>
          <w:rFonts w:asciiTheme="minorHAnsi" w:hAnsiTheme="minorHAnsi"/>
          <w:sz w:val="21"/>
          <w:szCs w:val="21"/>
        </w:rPr>
        <w:t>39</w:t>
      </w:r>
      <w:r w:rsidR="00216F47" w:rsidRPr="00AA4042">
        <w:rPr>
          <w:rFonts w:asciiTheme="minorHAnsi" w:hAnsiTheme="minorHAnsi"/>
          <w:sz w:val="21"/>
          <w:szCs w:val="21"/>
        </w:rPr>
        <w:t>,</w:t>
      </w:r>
      <w:r w:rsidR="002C5D4E" w:rsidRPr="00AA4042">
        <w:rPr>
          <w:rFonts w:asciiTheme="minorHAnsi" w:hAnsiTheme="minorHAnsi"/>
          <w:sz w:val="21"/>
          <w:szCs w:val="21"/>
        </w:rPr>
        <w:t>9</w:t>
      </w:r>
      <w:r w:rsidR="00216F47" w:rsidRPr="00AA4042">
        <w:rPr>
          <w:rFonts w:asciiTheme="minorHAnsi" w:hAnsiTheme="minorHAnsi"/>
          <w:sz w:val="21"/>
          <w:szCs w:val="21"/>
        </w:rPr>
        <w:t xml:space="preserve"> milyar TL’si kredi kartları ile yapılırken 3,</w:t>
      </w:r>
      <w:r w:rsidR="002C5D4E" w:rsidRPr="00AA4042">
        <w:rPr>
          <w:rFonts w:asciiTheme="minorHAnsi" w:hAnsiTheme="minorHAnsi"/>
          <w:sz w:val="21"/>
          <w:szCs w:val="21"/>
        </w:rPr>
        <w:t>5</w:t>
      </w:r>
      <w:r w:rsidR="00216F47" w:rsidRPr="00AA4042">
        <w:rPr>
          <w:rFonts w:asciiTheme="minorHAnsi" w:hAnsiTheme="minorHAnsi"/>
          <w:sz w:val="21"/>
          <w:szCs w:val="21"/>
        </w:rPr>
        <w:t xml:space="preserve"> milyar TL’sinde banka kartları kullanıldı. </w:t>
      </w:r>
      <w:r w:rsidR="00E34208" w:rsidRPr="00AA4042">
        <w:rPr>
          <w:rFonts w:asciiTheme="minorHAnsi" w:hAnsiTheme="minorHAnsi"/>
          <w:sz w:val="21"/>
          <w:szCs w:val="21"/>
        </w:rPr>
        <w:t xml:space="preserve">Bu yıla özgü olarak </w:t>
      </w:r>
      <w:r w:rsidR="00DD7622" w:rsidRPr="00AA4042">
        <w:rPr>
          <w:rFonts w:asciiTheme="minorHAnsi" w:hAnsiTheme="minorHAnsi"/>
          <w:sz w:val="21"/>
          <w:szCs w:val="21"/>
        </w:rPr>
        <w:t xml:space="preserve">Şubat ayının </w:t>
      </w:r>
      <w:r w:rsidR="00E34208" w:rsidRPr="00AA4042">
        <w:rPr>
          <w:rFonts w:asciiTheme="minorHAnsi" w:hAnsiTheme="minorHAnsi"/>
          <w:sz w:val="21"/>
          <w:szCs w:val="21"/>
        </w:rPr>
        <w:t xml:space="preserve">29 gün sürmesinin de avantajıyla kartlı alışveriş büyüme oranları yıl ortalamasının üzerinde gerçekleşti. </w:t>
      </w:r>
      <w:r w:rsidR="00216F47" w:rsidRPr="00AA4042">
        <w:rPr>
          <w:rFonts w:asciiTheme="minorHAnsi" w:hAnsiTheme="minorHAnsi"/>
          <w:sz w:val="21"/>
          <w:szCs w:val="21"/>
        </w:rPr>
        <w:t>Kredi kartları ile yapılan ödeme tutarında 201</w:t>
      </w:r>
      <w:r w:rsidR="002C5D4E" w:rsidRPr="00AA4042">
        <w:rPr>
          <w:rFonts w:asciiTheme="minorHAnsi" w:hAnsiTheme="minorHAnsi"/>
          <w:sz w:val="21"/>
          <w:szCs w:val="21"/>
        </w:rPr>
        <w:t>5</w:t>
      </w:r>
      <w:r w:rsidR="00216F47" w:rsidRPr="00AA4042">
        <w:rPr>
          <w:rFonts w:asciiTheme="minorHAnsi" w:hAnsiTheme="minorHAnsi"/>
          <w:sz w:val="21"/>
          <w:szCs w:val="21"/>
        </w:rPr>
        <w:t xml:space="preserve"> yılının </w:t>
      </w:r>
      <w:r w:rsidR="002C5D4E" w:rsidRPr="00AA4042">
        <w:rPr>
          <w:rFonts w:asciiTheme="minorHAnsi" w:hAnsiTheme="minorHAnsi"/>
          <w:sz w:val="21"/>
          <w:szCs w:val="21"/>
        </w:rPr>
        <w:t>Şubat</w:t>
      </w:r>
      <w:r w:rsidR="00216F47" w:rsidRPr="00AA4042">
        <w:rPr>
          <w:rFonts w:asciiTheme="minorHAnsi" w:hAnsiTheme="minorHAnsi"/>
          <w:sz w:val="21"/>
          <w:szCs w:val="21"/>
        </w:rPr>
        <w:t xml:space="preserve"> ayına kıyasla büyüme oranı %1</w:t>
      </w:r>
      <w:r w:rsidR="002C5D4E" w:rsidRPr="00AA4042">
        <w:rPr>
          <w:rFonts w:asciiTheme="minorHAnsi" w:hAnsiTheme="minorHAnsi"/>
          <w:sz w:val="21"/>
          <w:szCs w:val="21"/>
        </w:rPr>
        <w:t>7</w:t>
      </w:r>
      <w:r w:rsidR="00216F47" w:rsidRPr="00AA4042">
        <w:rPr>
          <w:rFonts w:asciiTheme="minorHAnsi" w:hAnsiTheme="minorHAnsi"/>
          <w:sz w:val="21"/>
          <w:szCs w:val="21"/>
        </w:rPr>
        <w:t xml:space="preserve"> olurken</w:t>
      </w:r>
      <w:r w:rsidR="00DD7622" w:rsidRPr="00AA4042">
        <w:rPr>
          <w:rFonts w:asciiTheme="minorHAnsi" w:hAnsiTheme="minorHAnsi"/>
          <w:sz w:val="21"/>
          <w:szCs w:val="21"/>
        </w:rPr>
        <w:t>,</w:t>
      </w:r>
      <w:r w:rsidR="00216F47" w:rsidRPr="00AA4042">
        <w:rPr>
          <w:rFonts w:asciiTheme="minorHAnsi" w:hAnsiTheme="minorHAnsi"/>
          <w:sz w:val="21"/>
          <w:szCs w:val="21"/>
        </w:rPr>
        <w:t xml:space="preserve"> banka kartları</w:t>
      </w:r>
      <w:r w:rsidR="006F32CE" w:rsidRPr="00AA4042">
        <w:rPr>
          <w:rFonts w:asciiTheme="minorHAnsi" w:hAnsiTheme="minorHAnsi"/>
          <w:sz w:val="21"/>
          <w:szCs w:val="21"/>
        </w:rPr>
        <w:t xml:space="preserve"> ile ödeme tutarında</w:t>
      </w:r>
      <w:r w:rsidR="00216F47" w:rsidRPr="00AA4042">
        <w:rPr>
          <w:rFonts w:asciiTheme="minorHAnsi" w:hAnsiTheme="minorHAnsi"/>
          <w:sz w:val="21"/>
          <w:szCs w:val="21"/>
        </w:rPr>
        <w:t xml:space="preserve"> </w:t>
      </w:r>
      <w:r w:rsidR="00316F12" w:rsidRPr="00AA4042">
        <w:rPr>
          <w:rFonts w:asciiTheme="minorHAnsi" w:hAnsiTheme="minorHAnsi"/>
          <w:sz w:val="21"/>
          <w:szCs w:val="21"/>
        </w:rPr>
        <w:t>artış</w:t>
      </w:r>
      <w:r w:rsidR="00216F47" w:rsidRPr="00AA4042">
        <w:rPr>
          <w:rFonts w:asciiTheme="minorHAnsi" w:hAnsiTheme="minorHAnsi"/>
          <w:sz w:val="21"/>
          <w:szCs w:val="21"/>
        </w:rPr>
        <w:t xml:space="preserve"> oran</w:t>
      </w:r>
      <w:r w:rsidR="00316F12" w:rsidRPr="00AA4042">
        <w:rPr>
          <w:rFonts w:asciiTheme="minorHAnsi" w:hAnsiTheme="minorHAnsi"/>
          <w:sz w:val="21"/>
          <w:szCs w:val="21"/>
        </w:rPr>
        <w:t>ı</w:t>
      </w:r>
      <w:r w:rsidR="00216F47" w:rsidRPr="00AA4042">
        <w:rPr>
          <w:rFonts w:asciiTheme="minorHAnsi" w:hAnsiTheme="minorHAnsi"/>
          <w:sz w:val="21"/>
          <w:szCs w:val="21"/>
        </w:rPr>
        <w:t xml:space="preserve"> %</w:t>
      </w:r>
      <w:r w:rsidR="002C5D4E" w:rsidRPr="00AA4042">
        <w:rPr>
          <w:rFonts w:asciiTheme="minorHAnsi" w:hAnsiTheme="minorHAnsi"/>
          <w:sz w:val="21"/>
          <w:szCs w:val="21"/>
        </w:rPr>
        <w:t>43</w:t>
      </w:r>
      <w:r w:rsidR="00216F47" w:rsidRPr="00AA4042">
        <w:rPr>
          <w:rFonts w:asciiTheme="minorHAnsi" w:hAnsiTheme="minorHAnsi"/>
          <w:sz w:val="21"/>
          <w:szCs w:val="21"/>
        </w:rPr>
        <w:t xml:space="preserve"> oldu.</w:t>
      </w:r>
    </w:p>
    <w:p w14:paraId="1CA28779" w14:textId="628F1F2A" w:rsidR="00DA3248" w:rsidRPr="00AA4042" w:rsidRDefault="00E22B5E" w:rsidP="00D13EA2">
      <w:pPr>
        <w:jc w:val="both"/>
        <w:rPr>
          <w:rFonts w:asciiTheme="minorHAnsi" w:hAnsiTheme="minorHAnsi"/>
          <w:b/>
          <w:sz w:val="21"/>
          <w:szCs w:val="21"/>
        </w:rPr>
      </w:pPr>
      <w:r w:rsidRPr="00AA4042">
        <w:rPr>
          <w:rFonts w:asciiTheme="minorHAnsi" w:hAnsiTheme="minorHAnsi"/>
          <w:b/>
          <w:sz w:val="21"/>
          <w:szCs w:val="21"/>
        </w:rPr>
        <w:t xml:space="preserve">              </w:t>
      </w:r>
      <w:r w:rsidR="0038151F" w:rsidRPr="00AA4042">
        <w:rPr>
          <w:rFonts w:asciiTheme="minorHAnsi" w:hAnsiTheme="minorHAnsi"/>
          <w:b/>
          <w:sz w:val="21"/>
          <w:szCs w:val="21"/>
        </w:rPr>
        <w:t xml:space="preserve"> </w:t>
      </w:r>
      <w:r w:rsidR="00DA3248" w:rsidRPr="00AA4042">
        <w:rPr>
          <w:rFonts w:asciiTheme="minorHAnsi" w:hAnsiTheme="minorHAnsi"/>
          <w:b/>
          <w:sz w:val="21"/>
          <w:szCs w:val="21"/>
        </w:rPr>
        <w:t>Tablo</w:t>
      </w:r>
      <w:r w:rsidR="00AA4042">
        <w:rPr>
          <w:rFonts w:asciiTheme="minorHAnsi" w:hAnsiTheme="minorHAnsi"/>
          <w:b/>
          <w:sz w:val="21"/>
          <w:szCs w:val="21"/>
        </w:rPr>
        <w:t xml:space="preserve"> 2</w:t>
      </w:r>
      <w:r w:rsidR="00DA3248" w:rsidRPr="00AA4042">
        <w:rPr>
          <w:rFonts w:asciiTheme="minorHAnsi" w:hAnsiTheme="minorHAnsi"/>
          <w:b/>
          <w:sz w:val="21"/>
          <w:szCs w:val="21"/>
        </w:rPr>
        <w:t>:</w:t>
      </w:r>
      <w:r w:rsidR="00DA3248" w:rsidRPr="00AA4042">
        <w:rPr>
          <w:rFonts w:asciiTheme="minorHAnsi" w:hAnsiTheme="minorHAnsi"/>
          <w:sz w:val="21"/>
          <w:szCs w:val="21"/>
        </w:rPr>
        <w:t xml:space="preserve"> </w:t>
      </w:r>
      <w:r w:rsidR="00DA3248" w:rsidRPr="00AA4042">
        <w:rPr>
          <w:rFonts w:asciiTheme="minorHAnsi" w:hAnsiTheme="minorHAnsi"/>
          <w:b/>
          <w:sz w:val="21"/>
          <w:szCs w:val="21"/>
        </w:rPr>
        <w:t>Kartlı Ödeme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DA3248" w:rsidRPr="00AA4042" w14:paraId="78A7C8F3" w14:textId="77777777" w:rsidTr="00DA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2233E468" w14:textId="77777777" w:rsidR="00DA3248" w:rsidRPr="00AA4042" w:rsidRDefault="00DA3248" w:rsidP="00D13EA2">
            <w:pPr>
              <w:jc w:val="both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Kartlı Ödeme Tutarı 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3BCE2D24" w14:textId="77777777" w:rsidR="00DA3248" w:rsidRPr="00AA4042" w:rsidRDefault="002C5D4E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2015</w:t>
            </w:r>
            <w:r w:rsidR="00DA3248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 xml:space="preserve"> 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Şubat</w:t>
            </w:r>
          </w:p>
        </w:tc>
        <w:tc>
          <w:tcPr>
            <w:tcW w:w="1769" w:type="dxa"/>
            <w:noWrap/>
            <w:vAlign w:val="center"/>
            <w:hideMark/>
          </w:tcPr>
          <w:p w14:paraId="6FA6A33B" w14:textId="77777777" w:rsidR="00DA3248" w:rsidRPr="00AA4042" w:rsidRDefault="00DA3248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6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 xml:space="preserve"> 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Şubat</w:t>
            </w:r>
          </w:p>
        </w:tc>
        <w:tc>
          <w:tcPr>
            <w:tcW w:w="1072" w:type="dxa"/>
            <w:noWrap/>
            <w:vAlign w:val="center"/>
            <w:hideMark/>
          </w:tcPr>
          <w:p w14:paraId="66D0F083" w14:textId="77777777" w:rsidR="00DA3248" w:rsidRPr="00AA4042" w:rsidRDefault="00DA3248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Değişim</w:t>
            </w:r>
          </w:p>
        </w:tc>
      </w:tr>
      <w:tr w:rsidR="00DA3248" w:rsidRPr="00AA4042" w14:paraId="12A16AFB" w14:textId="77777777" w:rsidTr="00DA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7D4F9AD" w14:textId="77777777" w:rsidR="00DA3248" w:rsidRPr="00AA4042" w:rsidRDefault="00DA3248" w:rsidP="00D13EA2">
            <w:pPr>
              <w:jc w:val="both"/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207B552A" w14:textId="426C5C6F" w:rsidR="00DA3248" w:rsidRPr="00AA4042" w:rsidRDefault="00DA3248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2,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4</w:t>
            </w:r>
            <w:r w:rsidR="000268EC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</w:t>
            </w:r>
          </w:p>
        </w:tc>
        <w:tc>
          <w:tcPr>
            <w:tcW w:w="1769" w:type="dxa"/>
            <w:noWrap/>
            <w:vAlign w:val="center"/>
            <w:hideMark/>
          </w:tcPr>
          <w:p w14:paraId="367EF4A4" w14:textId="68E03049" w:rsidR="00DA3248" w:rsidRPr="00AA4042" w:rsidRDefault="000268EC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3,48</w:t>
            </w:r>
          </w:p>
        </w:tc>
        <w:tc>
          <w:tcPr>
            <w:tcW w:w="1072" w:type="dxa"/>
            <w:noWrap/>
            <w:vAlign w:val="center"/>
            <w:hideMark/>
          </w:tcPr>
          <w:p w14:paraId="3F7BFCE3" w14:textId="77777777" w:rsidR="00DA3248" w:rsidRPr="00AA4042" w:rsidRDefault="002C5D4E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43</w:t>
            </w:r>
            <w:r w:rsidR="00DA3248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%</w:t>
            </w:r>
          </w:p>
        </w:tc>
      </w:tr>
      <w:tr w:rsidR="00DA3248" w:rsidRPr="00AA4042" w14:paraId="41790160" w14:textId="77777777" w:rsidTr="00DA32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591E2D8" w14:textId="77777777" w:rsidR="00DA3248" w:rsidRPr="00AA4042" w:rsidRDefault="00DA3248" w:rsidP="00D13EA2">
            <w:pPr>
              <w:jc w:val="both"/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58B85321" w14:textId="77777777" w:rsidR="00DA3248" w:rsidRPr="00AA4042" w:rsidRDefault="00DA3248" w:rsidP="00D13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4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,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</w:t>
            </w:r>
          </w:p>
        </w:tc>
        <w:tc>
          <w:tcPr>
            <w:tcW w:w="1769" w:type="dxa"/>
            <w:noWrap/>
            <w:vAlign w:val="center"/>
            <w:hideMark/>
          </w:tcPr>
          <w:p w14:paraId="325A10F3" w14:textId="77777777" w:rsidR="00DA3248" w:rsidRPr="00AA4042" w:rsidRDefault="002C5D4E" w:rsidP="00D13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39</w:t>
            </w:r>
            <w:r w:rsidR="00DA3248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,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9</w:t>
            </w:r>
          </w:p>
        </w:tc>
        <w:tc>
          <w:tcPr>
            <w:tcW w:w="1072" w:type="dxa"/>
            <w:noWrap/>
            <w:vAlign w:val="center"/>
            <w:hideMark/>
          </w:tcPr>
          <w:p w14:paraId="44490CB3" w14:textId="77777777" w:rsidR="00DA3248" w:rsidRPr="00AA4042" w:rsidRDefault="00DA3248" w:rsidP="00D13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1</w:t>
            </w:r>
            <w:r w:rsidR="002C5D4E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7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%</w:t>
            </w:r>
          </w:p>
        </w:tc>
      </w:tr>
      <w:tr w:rsidR="00DA3248" w:rsidRPr="00AA4042" w14:paraId="79DE0FE1" w14:textId="77777777" w:rsidTr="00DA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A368B40" w14:textId="77777777" w:rsidR="00DA3248" w:rsidRPr="00AA4042" w:rsidRDefault="00DA3248" w:rsidP="00D13EA2">
            <w:pPr>
              <w:jc w:val="both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79890C1C" w14:textId="77777777" w:rsidR="00DA3248" w:rsidRPr="00AA4042" w:rsidRDefault="002C5D4E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36</w:t>
            </w:r>
            <w:r w:rsidR="00DA3248"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,</w:t>
            </w: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6</w:t>
            </w:r>
          </w:p>
        </w:tc>
        <w:tc>
          <w:tcPr>
            <w:tcW w:w="1769" w:type="dxa"/>
            <w:noWrap/>
            <w:vAlign w:val="center"/>
            <w:hideMark/>
          </w:tcPr>
          <w:p w14:paraId="19A283A9" w14:textId="77777777" w:rsidR="00DA3248" w:rsidRPr="00AA4042" w:rsidRDefault="00DA3248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4</w:t>
            </w:r>
            <w:r w:rsidR="002C5D4E"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3</w:t>
            </w: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,</w:t>
            </w:r>
            <w:r w:rsidR="002C5D4E"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4</w:t>
            </w:r>
          </w:p>
        </w:tc>
        <w:tc>
          <w:tcPr>
            <w:tcW w:w="1072" w:type="dxa"/>
            <w:noWrap/>
            <w:vAlign w:val="center"/>
            <w:hideMark/>
          </w:tcPr>
          <w:p w14:paraId="0AA1BD0B" w14:textId="77777777" w:rsidR="00DA3248" w:rsidRPr="00AA4042" w:rsidRDefault="00DA3248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1</w:t>
            </w:r>
            <w:r w:rsidR="002C5D4E"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9</w:t>
            </w:r>
            <w:r w:rsidRPr="00AA4042">
              <w:rPr>
                <w:rFonts w:asciiTheme="minorHAnsi" w:eastAsia="Times New Roman" w:hAnsiTheme="minorHAnsi"/>
                <w:b/>
                <w:bCs/>
                <w:color w:val="000000"/>
                <w:sz w:val="21"/>
                <w:szCs w:val="21"/>
                <w:lang w:eastAsia="tr-TR"/>
              </w:rPr>
              <w:t>%</w:t>
            </w:r>
          </w:p>
        </w:tc>
      </w:tr>
    </w:tbl>
    <w:p w14:paraId="3D7ADD62" w14:textId="77777777" w:rsidR="00B74A70" w:rsidRPr="00AA4042" w:rsidRDefault="00073376" w:rsidP="00D13EA2">
      <w:pPr>
        <w:spacing w:before="240" w:after="120" w:line="288" w:lineRule="auto"/>
        <w:jc w:val="both"/>
        <w:rPr>
          <w:rFonts w:asciiTheme="minorHAnsi" w:hAnsiTheme="minorHAnsi"/>
          <w:b/>
          <w:sz w:val="21"/>
          <w:szCs w:val="21"/>
        </w:rPr>
      </w:pPr>
      <w:r w:rsidRPr="00AA4042">
        <w:rPr>
          <w:rFonts w:asciiTheme="minorHAnsi" w:hAnsiTheme="minorHAnsi"/>
          <w:b/>
          <w:sz w:val="21"/>
          <w:szCs w:val="21"/>
        </w:rPr>
        <w:t>Banka Kartları İle 40</w:t>
      </w:r>
      <w:r w:rsidR="00F9180D" w:rsidRPr="00AA4042">
        <w:rPr>
          <w:rFonts w:asciiTheme="minorHAnsi" w:hAnsiTheme="minorHAnsi"/>
          <w:b/>
          <w:sz w:val="21"/>
          <w:szCs w:val="21"/>
        </w:rPr>
        <w:t>,3</w:t>
      </w:r>
      <w:r w:rsidRPr="00AA4042">
        <w:rPr>
          <w:rFonts w:asciiTheme="minorHAnsi" w:hAnsiTheme="minorHAnsi"/>
          <w:b/>
          <w:sz w:val="21"/>
          <w:szCs w:val="21"/>
        </w:rPr>
        <w:t xml:space="preserve"> Milyar TL</w:t>
      </w:r>
      <w:r w:rsidR="007C6D81" w:rsidRPr="00AA4042">
        <w:rPr>
          <w:rFonts w:asciiTheme="minorHAnsi" w:hAnsiTheme="minorHAnsi"/>
          <w:b/>
          <w:sz w:val="21"/>
          <w:szCs w:val="21"/>
        </w:rPr>
        <w:t xml:space="preserve"> Tutarında</w:t>
      </w:r>
      <w:r w:rsidRPr="00AA4042">
        <w:rPr>
          <w:rFonts w:asciiTheme="minorHAnsi" w:hAnsiTheme="minorHAnsi"/>
          <w:b/>
          <w:sz w:val="21"/>
          <w:szCs w:val="21"/>
        </w:rPr>
        <w:t xml:space="preserve"> Nakit Çekim Gerçekleşti</w:t>
      </w:r>
    </w:p>
    <w:p w14:paraId="65F0036C" w14:textId="4CB1CF7A" w:rsidR="003327E9" w:rsidRPr="00AA4042" w:rsidRDefault="003327E9" w:rsidP="00D13EA2">
      <w:pPr>
        <w:spacing w:after="120" w:line="312" w:lineRule="auto"/>
        <w:jc w:val="both"/>
        <w:rPr>
          <w:rFonts w:asciiTheme="minorHAnsi" w:hAnsiTheme="minorHAnsi"/>
          <w:sz w:val="21"/>
          <w:szCs w:val="21"/>
        </w:rPr>
      </w:pPr>
      <w:r w:rsidRPr="00AA4042">
        <w:rPr>
          <w:rFonts w:asciiTheme="minorHAnsi" w:hAnsiTheme="minorHAnsi"/>
          <w:sz w:val="21"/>
          <w:szCs w:val="21"/>
        </w:rPr>
        <w:t>Şubat ayında BKM verilerine göre toplam 40,3 milyar TL tutarında banka kartlarıyla nakit çekim gerçekleşti..</w:t>
      </w:r>
      <w:bookmarkStart w:id="0" w:name="_GoBack"/>
      <w:bookmarkEnd w:id="0"/>
    </w:p>
    <w:p w14:paraId="43C0337B" w14:textId="79CD4A53" w:rsidR="00B74A70" w:rsidRPr="00AA4042" w:rsidRDefault="00E22B5E" w:rsidP="00D13EA2">
      <w:pPr>
        <w:jc w:val="both"/>
        <w:rPr>
          <w:rFonts w:asciiTheme="minorHAnsi" w:hAnsiTheme="minorHAnsi"/>
          <w:sz w:val="21"/>
          <w:szCs w:val="21"/>
        </w:rPr>
      </w:pPr>
      <w:r w:rsidRPr="00AA4042">
        <w:rPr>
          <w:rFonts w:asciiTheme="minorHAnsi" w:hAnsiTheme="minorHAnsi"/>
          <w:b/>
          <w:sz w:val="21"/>
          <w:szCs w:val="21"/>
        </w:rPr>
        <w:t xml:space="preserve">              </w:t>
      </w:r>
      <w:r w:rsidR="00B74A70" w:rsidRPr="00AA4042">
        <w:rPr>
          <w:rFonts w:asciiTheme="minorHAnsi" w:hAnsiTheme="minorHAnsi"/>
          <w:b/>
          <w:sz w:val="21"/>
          <w:szCs w:val="21"/>
        </w:rPr>
        <w:t xml:space="preserve">Tablo </w:t>
      </w:r>
      <w:r w:rsidR="00AA4042">
        <w:rPr>
          <w:rFonts w:asciiTheme="minorHAnsi" w:hAnsiTheme="minorHAnsi"/>
          <w:b/>
          <w:sz w:val="21"/>
          <w:szCs w:val="21"/>
        </w:rPr>
        <w:t>3</w:t>
      </w:r>
      <w:r w:rsidR="00B74A70" w:rsidRPr="00AA4042">
        <w:rPr>
          <w:rFonts w:asciiTheme="minorHAnsi" w:hAnsiTheme="minorHAnsi"/>
          <w:b/>
          <w:sz w:val="21"/>
          <w:szCs w:val="21"/>
        </w:rPr>
        <w:t>:</w:t>
      </w:r>
      <w:r w:rsidR="00B74A70" w:rsidRPr="00AA4042">
        <w:rPr>
          <w:rFonts w:asciiTheme="minorHAnsi" w:hAnsiTheme="minorHAnsi"/>
          <w:sz w:val="21"/>
          <w:szCs w:val="21"/>
        </w:rPr>
        <w:t xml:space="preserve"> </w:t>
      </w:r>
      <w:r w:rsidR="00B74A70" w:rsidRPr="00AA4042">
        <w:rPr>
          <w:rFonts w:asciiTheme="minorHAnsi" w:hAnsiTheme="minorHAnsi"/>
          <w:b/>
          <w:sz w:val="21"/>
          <w:szCs w:val="21"/>
        </w:rPr>
        <w:t xml:space="preserve">Kartlı </w:t>
      </w:r>
      <w:r w:rsidR="003327E9" w:rsidRPr="00AA4042">
        <w:rPr>
          <w:rFonts w:asciiTheme="minorHAnsi" w:hAnsiTheme="minorHAnsi"/>
          <w:b/>
          <w:sz w:val="21"/>
          <w:szCs w:val="21"/>
        </w:rPr>
        <w:t>Nakit Çekim</w:t>
      </w:r>
      <w:r w:rsidR="00B74A70" w:rsidRPr="00AA4042">
        <w:rPr>
          <w:rFonts w:asciiTheme="minorHAnsi" w:hAnsiTheme="minorHAnsi"/>
          <w:b/>
          <w:sz w:val="21"/>
          <w:szCs w:val="21"/>
        </w:rPr>
        <w:t xml:space="preserve">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B74A70" w:rsidRPr="00AA4042" w14:paraId="0D274B84" w14:textId="77777777" w:rsidTr="00EE1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3F83C914" w14:textId="77777777" w:rsidR="00B74A70" w:rsidRPr="00AA4042" w:rsidRDefault="00B74A70" w:rsidP="00D13EA2">
            <w:pPr>
              <w:jc w:val="both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Kartlı Ödeme Tutarı 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3DC5E479" w14:textId="77777777" w:rsidR="00B74A70" w:rsidRPr="00AA4042" w:rsidRDefault="00B74A70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2015 Şubat</w:t>
            </w:r>
          </w:p>
        </w:tc>
        <w:tc>
          <w:tcPr>
            <w:tcW w:w="1769" w:type="dxa"/>
            <w:noWrap/>
            <w:vAlign w:val="center"/>
            <w:hideMark/>
          </w:tcPr>
          <w:p w14:paraId="6BDAD87C" w14:textId="77777777" w:rsidR="00B74A70" w:rsidRPr="00AA4042" w:rsidRDefault="00B74A70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2016 Şubat</w:t>
            </w:r>
          </w:p>
        </w:tc>
        <w:tc>
          <w:tcPr>
            <w:tcW w:w="1072" w:type="dxa"/>
            <w:noWrap/>
            <w:vAlign w:val="center"/>
            <w:hideMark/>
          </w:tcPr>
          <w:p w14:paraId="45B007C8" w14:textId="77777777" w:rsidR="00B74A70" w:rsidRPr="00AA4042" w:rsidRDefault="00B74A70" w:rsidP="00D13E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Değişim</w:t>
            </w:r>
          </w:p>
        </w:tc>
      </w:tr>
      <w:tr w:rsidR="00B74A70" w:rsidRPr="00AA4042" w14:paraId="5EEA0E08" w14:textId="77777777" w:rsidTr="00EE1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3788C1D9" w14:textId="77777777" w:rsidR="00B74A70" w:rsidRPr="00AA4042" w:rsidRDefault="00B74A70" w:rsidP="00D13EA2">
            <w:pPr>
              <w:jc w:val="both"/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b w:val="0"/>
                <w:color w:val="000000"/>
                <w:sz w:val="21"/>
                <w:szCs w:val="21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148172D5" w14:textId="77777777" w:rsidR="00B74A70" w:rsidRPr="00AA4042" w:rsidRDefault="003327E9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31</w:t>
            </w:r>
            <w:r w:rsidR="00B74A70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,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5</w:t>
            </w:r>
          </w:p>
        </w:tc>
        <w:tc>
          <w:tcPr>
            <w:tcW w:w="1769" w:type="dxa"/>
            <w:noWrap/>
            <w:vAlign w:val="center"/>
            <w:hideMark/>
          </w:tcPr>
          <w:p w14:paraId="451F166B" w14:textId="77777777" w:rsidR="00B74A70" w:rsidRPr="00AA4042" w:rsidRDefault="003327E9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40</w:t>
            </w:r>
            <w:r w:rsidR="00B74A70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,</w:t>
            </w: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3</w:t>
            </w:r>
          </w:p>
        </w:tc>
        <w:tc>
          <w:tcPr>
            <w:tcW w:w="1072" w:type="dxa"/>
            <w:noWrap/>
            <w:vAlign w:val="center"/>
            <w:hideMark/>
          </w:tcPr>
          <w:p w14:paraId="54ABD3D2" w14:textId="77777777" w:rsidR="00B74A70" w:rsidRPr="00AA4042" w:rsidRDefault="003327E9" w:rsidP="00D13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</w:pPr>
            <w:r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28</w:t>
            </w:r>
            <w:r w:rsidR="00B74A70" w:rsidRPr="00AA4042">
              <w:rPr>
                <w:rFonts w:asciiTheme="minorHAnsi" w:eastAsia="Times New Roman" w:hAnsiTheme="minorHAnsi"/>
                <w:color w:val="000000"/>
                <w:sz w:val="21"/>
                <w:szCs w:val="21"/>
                <w:lang w:eastAsia="tr-TR"/>
              </w:rPr>
              <w:t>%</w:t>
            </w:r>
          </w:p>
        </w:tc>
      </w:tr>
    </w:tbl>
    <w:p w14:paraId="2BCCBF9B" w14:textId="77777777" w:rsidR="00B74A70" w:rsidRPr="00E22B5E" w:rsidRDefault="00B74A70" w:rsidP="00625065">
      <w:pPr>
        <w:spacing w:before="240" w:after="120" w:line="288" w:lineRule="auto"/>
        <w:jc w:val="both"/>
        <w:rPr>
          <w:rFonts w:asciiTheme="minorHAnsi" w:hAnsiTheme="minorHAnsi"/>
          <w:b/>
          <w:sz w:val="24"/>
          <w:szCs w:val="24"/>
        </w:rPr>
      </w:pPr>
    </w:p>
    <w:sectPr w:rsidR="00B74A70" w:rsidRPr="00E22B5E" w:rsidSect="00AA4042">
      <w:headerReference w:type="default" r:id="rId8"/>
      <w:footerReference w:type="default" r:id="rId9"/>
      <w:pgSz w:w="11906" w:h="16838"/>
      <w:pgMar w:top="993" w:right="849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959AF" w14:textId="77777777" w:rsidR="00797853" w:rsidRDefault="00797853" w:rsidP="009952EC">
      <w:pPr>
        <w:spacing w:after="0" w:line="240" w:lineRule="auto"/>
      </w:pPr>
      <w:r>
        <w:separator/>
      </w:r>
    </w:p>
  </w:endnote>
  <w:endnote w:type="continuationSeparator" w:id="0">
    <w:p w14:paraId="4E87BB59" w14:textId="77777777" w:rsidR="00797853" w:rsidRDefault="00797853" w:rsidP="0099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1497685298"/>
      <w:docPartObj>
        <w:docPartGallery w:val="Page Numbers (Bottom of Page)"/>
        <w:docPartUnique/>
      </w:docPartObj>
    </w:sdtPr>
    <w:sdtEndPr/>
    <w:sdtContent>
      <w:p w14:paraId="71A4F8CA" w14:textId="77777777" w:rsidR="00CA67BD" w:rsidRPr="009952EC" w:rsidRDefault="00CA67BD">
        <w:pPr>
          <w:pStyle w:val="Footer"/>
          <w:jc w:val="center"/>
          <w:rPr>
            <w:rFonts w:ascii="Arial" w:hAnsi="Arial" w:cs="Arial"/>
            <w:sz w:val="20"/>
          </w:rPr>
        </w:pPr>
        <w:r w:rsidRPr="009952EC">
          <w:rPr>
            <w:rFonts w:ascii="Arial" w:hAnsi="Arial" w:cs="Arial"/>
            <w:sz w:val="20"/>
          </w:rPr>
          <w:fldChar w:fldCharType="begin"/>
        </w:r>
        <w:r w:rsidRPr="009952EC">
          <w:rPr>
            <w:rFonts w:ascii="Arial" w:hAnsi="Arial" w:cs="Arial"/>
            <w:sz w:val="20"/>
          </w:rPr>
          <w:instrText>PAGE   \* MERGEFORMAT</w:instrText>
        </w:r>
        <w:r w:rsidRPr="009952EC">
          <w:rPr>
            <w:rFonts w:ascii="Arial" w:hAnsi="Arial" w:cs="Arial"/>
            <w:sz w:val="20"/>
          </w:rPr>
          <w:fldChar w:fldCharType="separate"/>
        </w:r>
        <w:r w:rsidR="000268EC">
          <w:rPr>
            <w:rFonts w:ascii="Arial" w:hAnsi="Arial" w:cs="Arial"/>
            <w:noProof/>
            <w:sz w:val="20"/>
          </w:rPr>
          <w:t>1</w:t>
        </w:r>
        <w:r w:rsidRPr="009952EC">
          <w:rPr>
            <w:rFonts w:ascii="Arial" w:hAnsi="Arial" w:cs="Arial"/>
            <w:sz w:val="20"/>
          </w:rPr>
          <w:fldChar w:fldCharType="end"/>
        </w:r>
      </w:p>
    </w:sdtContent>
  </w:sdt>
  <w:p w14:paraId="60E9508C" w14:textId="77777777" w:rsidR="00CA67BD" w:rsidRDefault="00CA6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246A6" w14:textId="77777777" w:rsidR="00797853" w:rsidRDefault="00797853" w:rsidP="009952EC">
      <w:pPr>
        <w:spacing w:after="0" w:line="240" w:lineRule="auto"/>
      </w:pPr>
      <w:r>
        <w:separator/>
      </w:r>
    </w:p>
  </w:footnote>
  <w:footnote w:type="continuationSeparator" w:id="0">
    <w:p w14:paraId="78143A40" w14:textId="77777777" w:rsidR="00797853" w:rsidRDefault="00797853" w:rsidP="0099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698D7" w14:textId="2908829E" w:rsidR="00CA67BD" w:rsidRPr="009952EC" w:rsidRDefault="00CA67BD" w:rsidP="009952EC">
    <w:pPr>
      <w:pStyle w:val="Header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 wp14:anchorId="2C4A560C" wp14:editId="3AD3D1C4">
          <wp:simplePos x="0" y="0"/>
          <wp:positionH relativeFrom="column">
            <wp:posOffset>-4445</wp:posOffset>
          </wp:positionH>
          <wp:positionV relativeFrom="paragraph">
            <wp:posOffset>-40005</wp:posOffset>
          </wp:positionV>
          <wp:extent cx="1600200" cy="274955"/>
          <wp:effectExtent l="0" t="0" r="0" b="0"/>
          <wp:wrapSquare wrapText="bothSides"/>
          <wp:docPr id="1" name="Picture 1" descr="http://www.tknlj.com/wp-content/uploads/2011/04/BKM_LOGO-YATAY-2-1024x1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knlj.com/wp-content/uploads/2011/04/BKM_LOGO-YATAY-2-1024x17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F558C0">
      <w:rPr>
        <w:rFonts w:ascii="Arial" w:hAnsi="Arial" w:cs="Arial"/>
        <w:sz w:val="20"/>
      </w:rPr>
      <w:t>Mart</w:t>
    </w:r>
    <w:r w:rsidR="008A4F88">
      <w:rPr>
        <w:rFonts w:ascii="Arial" w:hAnsi="Arial" w:cs="Arial"/>
        <w:sz w:val="20"/>
      </w:rPr>
      <w:t xml:space="preserve"> </w:t>
    </w:r>
    <w:r w:rsidRPr="009952EC">
      <w:rPr>
        <w:rFonts w:ascii="Arial" w:hAnsi="Arial" w:cs="Arial"/>
        <w:sz w:val="20"/>
      </w:rPr>
      <w:t>201</w:t>
    </w:r>
    <w:r w:rsidR="00C305C2">
      <w:rPr>
        <w:rFonts w:ascii="Arial" w:hAnsi="Arial" w:cs="Arial"/>
        <w:sz w:val="20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12"/>
    <w:rsid w:val="00001C3B"/>
    <w:rsid w:val="000268EC"/>
    <w:rsid w:val="00036B81"/>
    <w:rsid w:val="00053B70"/>
    <w:rsid w:val="00064AE8"/>
    <w:rsid w:val="000727E7"/>
    <w:rsid w:val="00073376"/>
    <w:rsid w:val="000776F8"/>
    <w:rsid w:val="00082B33"/>
    <w:rsid w:val="00083BD4"/>
    <w:rsid w:val="00086848"/>
    <w:rsid w:val="000B3612"/>
    <w:rsid w:val="000B610B"/>
    <w:rsid w:val="000C2551"/>
    <w:rsid w:val="00113B5C"/>
    <w:rsid w:val="00114B52"/>
    <w:rsid w:val="0011642F"/>
    <w:rsid w:val="001462E5"/>
    <w:rsid w:val="00146B81"/>
    <w:rsid w:val="00160549"/>
    <w:rsid w:val="00166552"/>
    <w:rsid w:val="00167F68"/>
    <w:rsid w:val="00176D92"/>
    <w:rsid w:val="001841BB"/>
    <w:rsid w:val="00195828"/>
    <w:rsid w:val="001A1475"/>
    <w:rsid w:val="001B5FCF"/>
    <w:rsid w:val="001D631F"/>
    <w:rsid w:val="001E41A7"/>
    <w:rsid w:val="001E50A2"/>
    <w:rsid w:val="001E5304"/>
    <w:rsid w:val="002024F5"/>
    <w:rsid w:val="0020326A"/>
    <w:rsid w:val="00212520"/>
    <w:rsid w:val="00212861"/>
    <w:rsid w:val="00216F47"/>
    <w:rsid w:val="00226F9C"/>
    <w:rsid w:val="00255900"/>
    <w:rsid w:val="00273479"/>
    <w:rsid w:val="00276C01"/>
    <w:rsid w:val="0028330F"/>
    <w:rsid w:val="002B3583"/>
    <w:rsid w:val="002C5D4E"/>
    <w:rsid w:val="002E69A0"/>
    <w:rsid w:val="002E722F"/>
    <w:rsid w:val="00305ACC"/>
    <w:rsid w:val="003146A9"/>
    <w:rsid w:val="00316F12"/>
    <w:rsid w:val="00322D29"/>
    <w:rsid w:val="0032497B"/>
    <w:rsid w:val="003327E9"/>
    <w:rsid w:val="0037594D"/>
    <w:rsid w:val="0038151F"/>
    <w:rsid w:val="00395E55"/>
    <w:rsid w:val="003E0BCA"/>
    <w:rsid w:val="00401B70"/>
    <w:rsid w:val="00407029"/>
    <w:rsid w:val="00424956"/>
    <w:rsid w:val="00437741"/>
    <w:rsid w:val="004475C9"/>
    <w:rsid w:val="0045061F"/>
    <w:rsid w:val="00453E6A"/>
    <w:rsid w:val="00486460"/>
    <w:rsid w:val="00487318"/>
    <w:rsid w:val="004C74EC"/>
    <w:rsid w:val="004D7C70"/>
    <w:rsid w:val="004E080B"/>
    <w:rsid w:val="00511D3A"/>
    <w:rsid w:val="00513528"/>
    <w:rsid w:val="005136F6"/>
    <w:rsid w:val="00534980"/>
    <w:rsid w:val="00553056"/>
    <w:rsid w:val="005534BD"/>
    <w:rsid w:val="005548C6"/>
    <w:rsid w:val="00562FF5"/>
    <w:rsid w:val="0056324B"/>
    <w:rsid w:val="00570F8A"/>
    <w:rsid w:val="0058617A"/>
    <w:rsid w:val="005C1ACD"/>
    <w:rsid w:val="005C75CA"/>
    <w:rsid w:val="005D5B54"/>
    <w:rsid w:val="005E0802"/>
    <w:rsid w:val="005F19E6"/>
    <w:rsid w:val="005F3543"/>
    <w:rsid w:val="00610321"/>
    <w:rsid w:val="00625065"/>
    <w:rsid w:val="00627816"/>
    <w:rsid w:val="00642EA8"/>
    <w:rsid w:val="00643397"/>
    <w:rsid w:val="0065167F"/>
    <w:rsid w:val="00651EE5"/>
    <w:rsid w:val="0067105C"/>
    <w:rsid w:val="00677593"/>
    <w:rsid w:val="00686008"/>
    <w:rsid w:val="00686BB3"/>
    <w:rsid w:val="00691388"/>
    <w:rsid w:val="006A3348"/>
    <w:rsid w:val="006B01B4"/>
    <w:rsid w:val="006D30E6"/>
    <w:rsid w:val="006F32CE"/>
    <w:rsid w:val="00713E37"/>
    <w:rsid w:val="0071655C"/>
    <w:rsid w:val="007465A2"/>
    <w:rsid w:val="00797853"/>
    <w:rsid w:val="007A22EB"/>
    <w:rsid w:val="007C470A"/>
    <w:rsid w:val="007C6D81"/>
    <w:rsid w:val="007D0277"/>
    <w:rsid w:val="007F4E48"/>
    <w:rsid w:val="007F7F12"/>
    <w:rsid w:val="00803DA6"/>
    <w:rsid w:val="00831CBA"/>
    <w:rsid w:val="00834005"/>
    <w:rsid w:val="00835221"/>
    <w:rsid w:val="00855F60"/>
    <w:rsid w:val="00856988"/>
    <w:rsid w:val="008637CA"/>
    <w:rsid w:val="00865916"/>
    <w:rsid w:val="00882FB7"/>
    <w:rsid w:val="00890F0C"/>
    <w:rsid w:val="00897934"/>
    <w:rsid w:val="008A4F88"/>
    <w:rsid w:val="008A6D29"/>
    <w:rsid w:val="008F3C63"/>
    <w:rsid w:val="009102AC"/>
    <w:rsid w:val="00924E6C"/>
    <w:rsid w:val="00954B69"/>
    <w:rsid w:val="00956098"/>
    <w:rsid w:val="00980A88"/>
    <w:rsid w:val="00985206"/>
    <w:rsid w:val="009952EC"/>
    <w:rsid w:val="009A61D1"/>
    <w:rsid w:val="009C723E"/>
    <w:rsid w:val="009D019E"/>
    <w:rsid w:val="009D2C3A"/>
    <w:rsid w:val="009D4BA3"/>
    <w:rsid w:val="00A07C37"/>
    <w:rsid w:val="00A17326"/>
    <w:rsid w:val="00A2404E"/>
    <w:rsid w:val="00A3011E"/>
    <w:rsid w:val="00A409E0"/>
    <w:rsid w:val="00A429BE"/>
    <w:rsid w:val="00A457B9"/>
    <w:rsid w:val="00A5300B"/>
    <w:rsid w:val="00A7752C"/>
    <w:rsid w:val="00A96309"/>
    <w:rsid w:val="00AA4042"/>
    <w:rsid w:val="00AA6426"/>
    <w:rsid w:val="00AC5615"/>
    <w:rsid w:val="00AE05EE"/>
    <w:rsid w:val="00AF3DB3"/>
    <w:rsid w:val="00B0637B"/>
    <w:rsid w:val="00B070DF"/>
    <w:rsid w:val="00B17204"/>
    <w:rsid w:val="00B21A07"/>
    <w:rsid w:val="00B4431D"/>
    <w:rsid w:val="00B4447B"/>
    <w:rsid w:val="00B451EA"/>
    <w:rsid w:val="00B60BEF"/>
    <w:rsid w:val="00B74A70"/>
    <w:rsid w:val="00B80E7F"/>
    <w:rsid w:val="00B91FAA"/>
    <w:rsid w:val="00BA1086"/>
    <w:rsid w:val="00BA4A3B"/>
    <w:rsid w:val="00BA693D"/>
    <w:rsid w:val="00BC5355"/>
    <w:rsid w:val="00BD3521"/>
    <w:rsid w:val="00BD35C3"/>
    <w:rsid w:val="00BF2A84"/>
    <w:rsid w:val="00C24832"/>
    <w:rsid w:val="00C305C2"/>
    <w:rsid w:val="00C37807"/>
    <w:rsid w:val="00C6382D"/>
    <w:rsid w:val="00C645A9"/>
    <w:rsid w:val="00C934E9"/>
    <w:rsid w:val="00CA67BD"/>
    <w:rsid w:val="00CB2D16"/>
    <w:rsid w:val="00CC3601"/>
    <w:rsid w:val="00CC5D80"/>
    <w:rsid w:val="00CD20B6"/>
    <w:rsid w:val="00CD40E7"/>
    <w:rsid w:val="00CE6541"/>
    <w:rsid w:val="00CF5C63"/>
    <w:rsid w:val="00CF7671"/>
    <w:rsid w:val="00D030A2"/>
    <w:rsid w:val="00D13EA2"/>
    <w:rsid w:val="00D36F4D"/>
    <w:rsid w:val="00D371CF"/>
    <w:rsid w:val="00D570EC"/>
    <w:rsid w:val="00D62B15"/>
    <w:rsid w:val="00D743C2"/>
    <w:rsid w:val="00D75157"/>
    <w:rsid w:val="00D7569A"/>
    <w:rsid w:val="00D9120D"/>
    <w:rsid w:val="00D9392E"/>
    <w:rsid w:val="00D97F67"/>
    <w:rsid w:val="00DA3248"/>
    <w:rsid w:val="00DB196F"/>
    <w:rsid w:val="00DB28D5"/>
    <w:rsid w:val="00DB3ADE"/>
    <w:rsid w:val="00DC1E50"/>
    <w:rsid w:val="00DD7622"/>
    <w:rsid w:val="00DE1C0D"/>
    <w:rsid w:val="00DE3F0E"/>
    <w:rsid w:val="00DE6773"/>
    <w:rsid w:val="00DE7595"/>
    <w:rsid w:val="00DF6932"/>
    <w:rsid w:val="00E05D8B"/>
    <w:rsid w:val="00E20ACE"/>
    <w:rsid w:val="00E22B5E"/>
    <w:rsid w:val="00E246FA"/>
    <w:rsid w:val="00E34208"/>
    <w:rsid w:val="00E62F64"/>
    <w:rsid w:val="00E72FF8"/>
    <w:rsid w:val="00E960DD"/>
    <w:rsid w:val="00EA0C6D"/>
    <w:rsid w:val="00EA5AE4"/>
    <w:rsid w:val="00EB2222"/>
    <w:rsid w:val="00EE3956"/>
    <w:rsid w:val="00EF3FBE"/>
    <w:rsid w:val="00F05221"/>
    <w:rsid w:val="00F1675D"/>
    <w:rsid w:val="00F30106"/>
    <w:rsid w:val="00F31D14"/>
    <w:rsid w:val="00F31D87"/>
    <w:rsid w:val="00F425E5"/>
    <w:rsid w:val="00F558C0"/>
    <w:rsid w:val="00F724C5"/>
    <w:rsid w:val="00F9180D"/>
    <w:rsid w:val="00F96BEF"/>
    <w:rsid w:val="00FA1BF1"/>
    <w:rsid w:val="00FB0F68"/>
    <w:rsid w:val="00FB49FE"/>
    <w:rsid w:val="00FD4E1C"/>
    <w:rsid w:val="00FE4FAF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232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A2FB-9781-470D-9177-0B37F9EC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Yıldız</dc:creator>
  <cp:lastModifiedBy>Pınar Çolpan</cp:lastModifiedBy>
  <cp:revision>9</cp:revision>
  <cp:lastPrinted>2015-08-19T08:24:00Z</cp:lastPrinted>
  <dcterms:created xsi:type="dcterms:W3CDTF">2016-03-25T14:34:00Z</dcterms:created>
  <dcterms:modified xsi:type="dcterms:W3CDTF">2016-03-29T09:01:00Z</dcterms:modified>
</cp:coreProperties>
</file>