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5BED1" w14:textId="77777777" w:rsidR="00110AE2" w:rsidRDefault="00110AE2" w:rsidP="00110AE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5D263F07" w14:textId="2D9B67AC" w:rsidR="00214943" w:rsidRPr="00110AE2" w:rsidRDefault="00110AE2" w:rsidP="00110AE2">
      <w:pPr>
        <w:spacing w:line="360" w:lineRule="auto"/>
        <w:jc w:val="center"/>
        <w:rPr>
          <w:rFonts w:ascii="Verdana" w:hAnsi="Verdana" w:cs="Arial"/>
          <w:b/>
          <w:sz w:val="28"/>
          <w:szCs w:val="28"/>
        </w:rPr>
      </w:pPr>
      <w:r w:rsidRPr="00110AE2">
        <w:rPr>
          <w:rFonts w:ascii="Verdana" w:hAnsi="Verdana" w:cs="Arial"/>
          <w:b/>
          <w:sz w:val="28"/>
          <w:szCs w:val="28"/>
        </w:rPr>
        <w:t>BKM 201</w:t>
      </w:r>
      <w:r w:rsidR="00C305C2" w:rsidRPr="00110AE2">
        <w:rPr>
          <w:rFonts w:ascii="Verdana" w:hAnsi="Verdana" w:cs="Arial"/>
          <w:b/>
          <w:sz w:val="28"/>
          <w:szCs w:val="28"/>
        </w:rPr>
        <w:t xml:space="preserve">6 </w:t>
      </w:r>
      <w:r>
        <w:rPr>
          <w:rFonts w:ascii="Verdana" w:hAnsi="Verdana" w:cs="Arial"/>
          <w:b/>
          <w:sz w:val="28"/>
          <w:szCs w:val="28"/>
        </w:rPr>
        <w:t>yılı K</w:t>
      </w:r>
      <w:r w:rsidRPr="00110AE2">
        <w:rPr>
          <w:rFonts w:ascii="Verdana" w:hAnsi="Verdana" w:cs="Arial"/>
          <w:b/>
          <w:sz w:val="28"/>
          <w:szCs w:val="28"/>
        </w:rPr>
        <w:t>asım</w:t>
      </w:r>
      <w:r w:rsidR="00C150A2" w:rsidRPr="00110AE2">
        <w:rPr>
          <w:rFonts w:ascii="Verdana" w:hAnsi="Verdana" w:cs="Arial"/>
          <w:b/>
          <w:sz w:val="28"/>
          <w:szCs w:val="28"/>
        </w:rPr>
        <w:t xml:space="preserve"> </w:t>
      </w:r>
      <w:r w:rsidRPr="00110AE2">
        <w:rPr>
          <w:rFonts w:ascii="Verdana" w:hAnsi="Verdana" w:cs="Arial"/>
          <w:b/>
          <w:sz w:val="28"/>
          <w:szCs w:val="28"/>
        </w:rPr>
        <w:t>ayı verilerini a</w:t>
      </w:r>
      <w:r w:rsidR="00C305C2" w:rsidRPr="00110AE2">
        <w:rPr>
          <w:rFonts w:ascii="Verdana" w:hAnsi="Verdana" w:cs="Arial"/>
          <w:b/>
          <w:sz w:val="28"/>
          <w:szCs w:val="28"/>
        </w:rPr>
        <w:t>çıkladı</w:t>
      </w:r>
    </w:p>
    <w:p w14:paraId="1F4CC6FD" w14:textId="140AA231" w:rsidR="0062677D" w:rsidRDefault="00110AE2" w:rsidP="00110AE2">
      <w:pPr>
        <w:spacing w:line="360" w:lineRule="auto"/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 xml:space="preserve">Nakitsiz </w:t>
      </w:r>
      <w:r w:rsidR="002D73BE">
        <w:rPr>
          <w:rFonts w:ascii="Verdana" w:hAnsi="Verdana" w:cs="Arial"/>
          <w:b/>
          <w:sz w:val="28"/>
          <w:szCs w:val="28"/>
        </w:rPr>
        <w:t xml:space="preserve">Ödemeler </w:t>
      </w:r>
      <w:r w:rsidR="00AE0E0D">
        <w:rPr>
          <w:rFonts w:ascii="Verdana" w:hAnsi="Verdana" w:cs="Arial"/>
          <w:b/>
          <w:sz w:val="28"/>
          <w:szCs w:val="28"/>
        </w:rPr>
        <w:t xml:space="preserve">için </w:t>
      </w:r>
      <w:r w:rsidR="00A50F02">
        <w:rPr>
          <w:rFonts w:ascii="Verdana" w:hAnsi="Verdana" w:cs="Arial"/>
          <w:b/>
          <w:sz w:val="28"/>
          <w:szCs w:val="28"/>
        </w:rPr>
        <w:t>en büyük koz banka kartları</w:t>
      </w:r>
    </w:p>
    <w:p w14:paraId="5F7A8A69" w14:textId="77777777" w:rsidR="003F624B" w:rsidRPr="00110AE2" w:rsidRDefault="00110AE2" w:rsidP="00110AE2">
      <w:pPr>
        <w:spacing w:after="120"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/>
      </w:r>
      <w:proofErr w:type="spellStart"/>
      <w:r w:rsidR="003F624B" w:rsidRPr="00110AE2">
        <w:rPr>
          <w:rFonts w:ascii="Verdana" w:hAnsi="Verdana" w:cs="Arial"/>
          <w:sz w:val="20"/>
          <w:szCs w:val="20"/>
        </w:rPr>
        <w:t>Bankalararası</w:t>
      </w:r>
      <w:proofErr w:type="spellEnd"/>
      <w:r w:rsidR="003F624B" w:rsidRPr="00110AE2">
        <w:rPr>
          <w:rFonts w:ascii="Verdana" w:hAnsi="Verdana" w:cs="Arial"/>
          <w:sz w:val="20"/>
          <w:szCs w:val="20"/>
        </w:rPr>
        <w:t xml:space="preserve"> Kart Merkezi’nin (BKM) açıkladığı verilere göre </w:t>
      </w:r>
      <w:r w:rsidR="00F61E78" w:rsidRPr="00110AE2">
        <w:rPr>
          <w:rFonts w:ascii="Verdana" w:hAnsi="Verdana" w:cs="Arial"/>
          <w:sz w:val="20"/>
          <w:szCs w:val="20"/>
        </w:rPr>
        <w:t>Kasım</w:t>
      </w:r>
      <w:r w:rsidR="003F624B" w:rsidRPr="00110AE2">
        <w:rPr>
          <w:rFonts w:ascii="Verdana" w:hAnsi="Verdana" w:cs="Arial"/>
          <w:sz w:val="20"/>
          <w:szCs w:val="20"/>
        </w:rPr>
        <w:t xml:space="preserve"> ayı sonunda Türkiye’de </w:t>
      </w:r>
      <w:r w:rsidR="007A6997" w:rsidRPr="00110AE2">
        <w:rPr>
          <w:rFonts w:ascii="Verdana" w:hAnsi="Verdana" w:cs="Arial"/>
          <w:sz w:val="20"/>
          <w:szCs w:val="20"/>
        </w:rPr>
        <w:t>5</w:t>
      </w:r>
      <w:r w:rsidR="00F61E78" w:rsidRPr="00110AE2">
        <w:rPr>
          <w:rFonts w:ascii="Verdana" w:hAnsi="Verdana" w:cs="Arial"/>
          <w:sz w:val="20"/>
          <w:szCs w:val="20"/>
        </w:rPr>
        <w:t>8</w:t>
      </w:r>
      <w:r w:rsidR="00951FAA" w:rsidRPr="00110AE2">
        <w:rPr>
          <w:rFonts w:ascii="Verdana" w:hAnsi="Verdana" w:cs="Arial"/>
          <w:sz w:val="20"/>
          <w:szCs w:val="20"/>
        </w:rPr>
        <w:t>,</w:t>
      </w:r>
      <w:r w:rsidR="00F61E78" w:rsidRPr="00110AE2">
        <w:rPr>
          <w:rFonts w:ascii="Verdana" w:hAnsi="Verdana" w:cs="Arial"/>
          <w:sz w:val="20"/>
          <w:szCs w:val="20"/>
        </w:rPr>
        <w:t>5</w:t>
      </w:r>
      <w:r w:rsidR="003F624B" w:rsidRPr="00110AE2">
        <w:rPr>
          <w:rFonts w:ascii="Verdana" w:hAnsi="Verdana" w:cs="Arial"/>
          <w:sz w:val="20"/>
          <w:szCs w:val="20"/>
        </w:rPr>
        <w:t xml:space="preserve"> milyon adet kredi kartı, 11</w:t>
      </w:r>
      <w:r w:rsidR="00F61E78" w:rsidRPr="00110AE2">
        <w:rPr>
          <w:rFonts w:ascii="Verdana" w:hAnsi="Verdana" w:cs="Arial"/>
          <w:sz w:val="20"/>
          <w:szCs w:val="20"/>
        </w:rPr>
        <w:t>5</w:t>
      </w:r>
      <w:r w:rsidR="00B85ECD" w:rsidRPr="00110AE2">
        <w:rPr>
          <w:rFonts w:ascii="Verdana" w:hAnsi="Verdana" w:cs="Arial"/>
          <w:sz w:val="20"/>
          <w:szCs w:val="20"/>
        </w:rPr>
        <w:t>,</w:t>
      </w:r>
      <w:r w:rsidR="00F61E78" w:rsidRPr="00110AE2">
        <w:rPr>
          <w:rFonts w:ascii="Verdana" w:hAnsi="Verdana" w:cs="Arial"/>
          <w:sz w:val="20"/>
          <w:szCs w:val="20"/>
        </w:rPr>
        <w:t>9</w:t>
      </w:r>
      <w:r w:rsidR="008E4501" w:rsidRPr="00110AE2">
        <w:rPr>
          <w:rFonts w:ascii="Verdana" w:hAnsi="Verdana" w:cs="Arial"/>
          <w:sz w:val="20"/>
          <w:szCs w:val="20"/>
        </w:rPr>
        <w:t xml:space="preserve"> </w:t>
      </w:r>
      <w:r w:rsidR="003F624B" w:rsidRPr="00110AE2">
        <w:rPr>
          <w:rFonts w:ascii="Verdana" w:hAnsi="Verdana" w:cs="Arial"/>
          <w:sz w:val="20"/>
          <w:szCs w:val="20"/>
        </w:rPr>
        <w:t xml:space="preserve">milyon adet banka kartı kullanılıyor. 2015 yılının </w:t>
      </w:r>
      <w:r w:rsidR="00F61E78" w:rsidRPr="00110AE2">
        <w:rPr>
          <w:rFonts w:ascii="Verdana" w:hAnsi="Verdana" w:cs="Arial"/>
          <w:sz w:val="20"/>
          <w:szCs w:val="20"/>
        </w:rPr>
        <w:t>Kasım</w:t>
      </w:r>
      <w:r w:rsidR="009C00F9" w:rsidRPr="00110AE2">
        <w:rPr>
          <w:rFonts w:ascii="Verdana" w:hAnsi="Verdana" w:cs="Arial"/>
          <w:sz w:val="20"/>
          <w:szCs w:val="20"/>
        </w:rPr>
        <w:t xml:space="preserve"> </w:t>
      </w:r>
      <w:r w:rsidR="003F624B" w:rsidRPr="00110AE2">
        <w:rPr>
          <w:rFonts w:ascii="Verdana" w:hAnsi="Verdana" w:cs="Arial"/>
          <w:sz w:val="20"/>
          <w:szCs w:val="20"/>
        </w:rPr>
        <w:t xml:space="preserve">ayı </w:t>
      </w:r>
      <w:r w:rsidR="00F61E78" w:rsidRPr="00110AE2">
        <w:rPr>
          <w:rFonts w:ascii="Verdana" w:hAnsi="Verdana" w:cs="Arial"/>
          <w:sz w:val="20"/>
          <w:szCs w:val="20"/>
        </w:rPr>
        <w:t>ile kıyaslandığında kredi kartı sayısı aynı seviyede bulunurken, banka kartı sayısında ise %1’lik artış görülüyor.</w:t>
      </w:r>
      <w:r w:rsidR="00F61E78" w:rsidRPr="00110AE2">
        <w:rPr>
          <w:rFonts w:ascii="Verdana" w:hAnsi="Verdana" w:cs="Arial"/>
          <w:sz w:val="20"/>
          <w:szCs w:val="20"/>
        </w:rPr>
        <w:tab/>
      </w:r>
    </w:p>
    <w:p w14:paraId="7B1CC851" w14:textId="23BB85CE" w:rsidR="003F624B" w:rsidRPr="00110AE2" w:rsidRDefault="003F624B" w:rsidP="00110AE2">
      <w:pPr>
        <w:spacing w:line="360" w:lineRule="auto"/>
        <w:jc w:val="center"/>
        <w:rPr>
          <w:rFonts w:ascii="Verdana" w:hAnsi="Verdana" w:cs="Arial"/>
          <w:sz w:val="20"/>
          <w:szCs w:val="20"/>
        </w:rPr>
      </w:pPr>
      <w:r w:rsidRPr="00110AE2">
        <w:rPr>
          <w:rFonts w:ascii="Verdana" w:hAnsi="Verdana" w:cs="Arial"/>
          <w:b/>
          <w:sz w:val="20"/>
          <w:szCs w:val="20"/>
        </w:rPr>
        <w:t>Tablo 1:</w:t>
      </w:r>
      <w:r w:rsidR="00205325">
        <w:rPr>
          <w:rFonts w:ascii="Verdana" w:hAnsi="Verdana" w:cs="Arial"/>
          <w:sz w:val="20"/>
          <w:szCs w:val="20"/>
        </w:rPr>
        <w:t xml:space="preserve"> Kart Sayıları (Milyon Adet)</w:t>
      </w:r>
    </w:p>
    <w:tbl>
      <w:tblPr>
        <w:tblStyle w:val="OrtaKlavuz1-Vurgu1"/>
        <w:tblW w:w="5323" w:type="dxa"/>
        <w:jc w:val="center"/>
        <w:tblLook w:val="04A0" w:firstRow="1" w:lastRow="0" w:firstColumn="1" w:lastColumn="0" w:noHBand="0" w:noVBand="1"/>
      </w:tblPr>
      <w:tblGrid>
        <w:gridCol w:w="3554"/>
        <w:gridCol w:w="1769"/>
      </w:tblGrid>
      <w:tr w:rsidR="00205325" w:rsidRPr="00110AE2" w14:paraId="1E6C52FC" w14:textId="77777777" w:rsidTr="0020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vAlign w:val="center"/>
            <w:hideMark/>
          </w:tcPr>
          <w:p w14:paraId="1A3DB407" w14:textId="77777777" w:rsidR="00205325" w:rsidRPr="00110AE2" w:rsidRDefault="00205325" w:rsidP="00110AE2">
            <w:pPr>
              <w:spacing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Cs w:val="0"/>
                <w:color w:val="000000"/>
                <w:sz w:val="20"/>
                <w:szCs w:val="20"/>
                <w:lang w:eastAsia="tr-TR"/>
              </w:rPr>
              <w:t>Kart Sayıları (Milyon Adet)</w:t>
            </w:r>
          </w:p>
        </w:tc>
        <w:tc>
          <w:tcPr>
            <w:tcW w:w="1769" w:type="dxa"/>
            <w:noWrap/>
            <w:vAlign w:val="center"/>
            <w:hideMark/>
          </w:tcPr>
          <w:p w14:paraId="7129FFB9" w14:textId="77777777" w:rsidR="00205325" w:rsidRPr="00110AE2" w:rsidRDefault="00205325" w:rsidP="00110AE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2016 Kasım</w:t>
            </w:r>
          </w:p>
        </w:tc>
      </w:tr>
      <w:tr w:rsidR="00205325" w:rsidRPr="00110AE2" w14:paraId="306FDAD0" w14:textId="77777777" w:rsidTr="002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3CB84179" w14:textId="77777777" w:rsidR="00205325" w:rsidRPr="00110AE2" w:rsidRDefault="00205325" w:rsidP="00110AE2">
            <w:pPr>
              <w:spacing w:line="360" w:lineRule="auto"/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  <w:lang w:eastAsia="tr-TR"/>
              </w:rPr>
              <w:t>Banka Kartı</w:t>
            </w:r>
          </w:p>
        </w:tc>
        <w:tc>
          <w:tcPr>
            <w:tcW w:w="1769" w:type="dxa"/>
            <w:noWrap/>
            <w:vAlign w:val="center"/>
            <w:hideMark/>
          </w:tcPr>
          <w:p w14:paraId="41A183EE" w14:textId="77777777" w:rsidR="00205325" w:rsidRPr="00110AE2" w:rsidRDefault="00205325" w:rsidP="00110A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highlight w:val="yellow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115,9</w:t>
            </w:r>
          </w:p>
        </w:tc>
      </w:tr>
      <w:tr w:rsidR="00205325" w:rsidRPr="00110AE2" w14:paraId="7E3B46D3" w14:textId="77777777" w:rsidTr="0020532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4E2A2113" w14:textId="77777777" w:rsidR="00205325" w:rsidRPr="00110AE2" w:rsidRDefault="00205325" w:rsidP="00110AE2">
            <w:pPr>
              <w:spacing w:line="360" w:lineRule="auto"/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  <w:lang w:eastAsia="tr-TR"/>
              </w:rPr>
              <w:t>Kredi Kartı</w:t>
            </w:r>
          </w:p>
        </w:tc>
        <w:tc>
          <w:tcPr>
            <w:tcW w:w="1769" w:type="dxa"/>
            <w:noWrap/>
            <w:vAlign w:val="center"/>
            <w:hideMark/>
          </w:tcPr>
          <w:p w14:paraId="5AC2D453" w14:textId="77777777" w:rsidR="00205325" w:rsidRPr="00110AE2" w:rsidRDefault="00205325" w:rsidP="00110A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highlight w:val="yellow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58,5</w:t>
            </w:r>
          </w:p>
        </w:tc>
      </w:tr>
      <w:tr w:rsidR="00205325" w:rsidRPr="00110AE2" w14:paraId="135EABDF" w14:textId="77777777" w:rsidTr="002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43190151" w14:textId="77777777" w:rsidR="00205325" w:rsidRPr="00110AE2" w:rsidRDefault="00205325" w:rsidP="00110AE2">
            <w:pPr>
              <w:spacing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Toplam</w:t>
            </w:r>
          </w:p>
        </w:tc>
        <w:tc>
          <w:tcPr>
            <w:tcW w:w="1769" w:type="dxa"/>
            <w:noWrap/>
            <w:vAlign w:val="center"/>
            <w:hideMark/>
          </w:tcPr>
          <w:p w14:paraId="0B098089" w14:textId="77777777" w:rsidR="00205325" w:rsidRPr="00110AE2" w:rsidRDefault="00205325" w:rsidP="00110A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highlight w:val="yellow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174,4</w:t>
            </w:r>
          </w:p>
        </w:tc>
      </w:tr>
    </w:tbl>
    <w:p w14:paraId="31F44787" w14:textId="77777777" w:rsidR="001D1FE7" w:rsidRPr="00110AE2" w:rsidRDefault="003F624B" w:rsidP="00110AE2">
      <w:pPr>
        <w:spacing w:after="120" w:line="360" w:lineRule="auto"/>
        <w:jc w:val="both"/>
        <w:rPr>
          <w:rFonts w:ascii="Verdana" w:hAnsi="Verdana" w:cs="Arial"/>
          <w:sz w:val="20"/>
          <w:szCs w:val="20"/>
        </w:rPr>
      </w:pPr>
      <w:r w:rsidRPr="00110AE2">
        <w:rPr>
          <w:rFonts w:ascii="Verdana" w:hAnsi="Verdana" w:cs="Arial"/>
          <w:sz w:val="20"/>
          <w:szCs w:val="20"/>
        </w:rPr>
        <w:t xml:space="preserve"> </w:t>
      </w:r>
    </w:p>
    <w:p w14:paraId="0368E4C2" w14:textId="77777777" w:rsidR="00D012DD" w:rsidRPr="00110AE2" w:rsidRDefault="00110AE2" w:rsidP="00110AE2">
      <w:pPr>
        <w:spacing w:line="360" w:lineRule="auto"/>
        <w:rPr>
          <w:rFonts w:ascii="Verdana" w:hAnsi="Verdana" w:cs="Arial"/>
          <w:b/>
          <w:sz w:val="20"/>
          <w:szCs w:val="20"/>
        </w:rPr>
      </w:pPr>
      <w:r w:rsidRPr="00110AE2">
        <w:rPr>
          <w:rFonts w:ascii="Verdana" w:hAnsi="Verdana" w:cs="Arial"/>
          <w:b/>
          <w:sz w:val="20"/>
          <w:szCs w:val="20"/>
        </w:rPr>
        <w:t>Kredi kartı ile ödemeler geçen yılın aynı dönemine</w:t>
      </w:r>
      <w:r w:rsidR="00FB7DCE">
        <w:rPr>
          <w:rFonts w:ascii="Verdana" w:hAnsi="Verdana" w:cs="Arial"/>
          <w:b/>
          <w:sz w:val="20"/>
          <w:szCs w:val="20"/>
        </w:rPr>
        <w:t xml:space="preserve"> göre %13 arttı!</w:t>
      </w:r>
      <w:r>
        <w:rPr>
          <w:rFonts w:ascii="Verdana" w:hAnsi="Verdana" w:cs="Arial"/>
          <w:b/>
          <w:sz w:val="20"/>
          <w:szCs w:val="20"/>
        </w:rPr>
        <w:t xml:space="preserve"> </w:t>
      </w:r>
    </w:p>
    <w:p w14:paraId="6A1C8A5D" w14:textId="77777777" w:rsidR="00325289" w:rsidRPr="00110AE2" w:rsidRDefault="00D012DD" w:rsidP="00110AE2">
      <w:pPr>
        <w:spacing w:after="120" w:line="360" w:lineRule="auto"/>
        <w:jc w:val="both"/>
        <w:rPr>
          <w:rFonts w:ascii="Verdana" w:hAnsi="Verdana" w:cs="Arial"/>
          <w:sz w:val="20"/>
          <w:szCs w:val="20"/>
        </w:rPr>
      </w:pPr>
      <w:r w:rsidRPr="00110AE2">
        <w:rPr>
          <w:rFonts w:ascii="Verdana" w:hAnsi="Verdana" w:cs="Arial"/>
          <w:sz w:val="20"/>
          <w:szCs w:val="20"/>
        </w:rPr>
        <w:t xml:space="preserve">Banka kartları ve kredi kartları ile </w:t>
      </w:r>
      <w:r w:rsidR="00F61E78" w:rsidRPr="00110AE2">
        <w:rPr>
          <w:rFonts w:ascii="Verdana" w:hAnsi="Verdana" w:cs="Arial"/>
          <w:sz w:val="20"/>
          <w:szCs w:val="20"/>
        </w:rPr>
        <w:t>Kasım</w:t>
      </w:r>
      <w:r w:rsidRPr="00110AE2">
        <w:rPr>
          <w:rFonts w:ascii="Verdana" w:hAnsi="Verdana" w:cs="Arial"/>
          <w:sz w:val="20"/>
          <w:szCs w:val="20"/>
        </w:rPr>
        <w:t xml:space="preserve"> ayında toplam </w:t>
      </w:r>
      <w:r w:rsidR="009F0FAA" w:rsidRPr="00110AE2">
        <w:rPr>
          <w:rFonts w:ascii="Verdana" w:hAnsi="Verdana" w:cs="Arial"/>
          <w:sz w:val="20"/>
          <w:szCs w:val="20"/>
        </w:rPr>
        <w:t>50</w:t>
      </w:r>
      <w:r w:rsidR="00433C61" w:rsidRPr="00110AE2">
        <w:rPr>
          <w:rFonts w:ascii="Verdana" w:hAnsi="Verdana" w:cs="Arial"/>
          <w:sz w:val="20"/>
          <w:szCs w:val="20"/>
        </w:rPr>
        <w:t>,7</w:t>
      </w:r>
      <w:r w:rsidR="009F0FAA" w:rsidRPr="00110AE2">
        <w:rPr>
          <w:rFonts w:ascii="Verdana" w:hAnsi="Verdana" w:cs="Arial"/>
          <w:sz w:val="20"/>
          <w:szCs w:val="20"/>
        </w:rPr>
        <w:t xml:space="preserve"> </w:t>
      </w:r>
      <w:r w:rsidRPr="00110AE2">
        <w:rPr>
          <w:rFonts w:ascii="Verdana" w:hAnsi="Verdana" w:cs="Arial"/>
          <w:sz w:val="20"/>
          <w:szCs w:val="20"/>
        </w:rPr>
        <w:t>milyar TL’li</w:t>
      </w:r>
      <w:r w:rsidR="004A45EF" w:rsidRPr="00110AE2">
        <w:rPr>
          <w:rFonts w:ascii="Verdana" w:hAnsi="Verdana" w:cs="Arial"/>
          <w:sz w:val="20"/>
          <w:szCs w:val="20"/>
        </w:rPr>
        <w:t>k ödeme yapıldı. Bu tutarın 4</w:t>
      </w:r>
      <w:r w:rsidR="00433C61" w:rsidRPr="00110AE2">
        <w:rPr>
          <w:rFonts w:ascii="Verdana" w:hAnsi="Verdana" w:cs="Arial"/>
          <w:sz w:val="20"/>
          <w:szCs w:val="20"/>
        </w:rPr>
        <w:t>6</w:t>
      </w:r>
      <w:r w:rsidR="004A45EF" w:rsidRPr="00110AE2">
        <w:rPr>
          <w:rFonts w:ascii="Verdana" w:hAnsi="Verdana" w:cs="Arial"/>
          <w:sz w:val="20"/>
          <w:szCs w:val="20"/>
        </w:rPr>
        <w:t>,</w:t>
      </w:r>
      <w:r w:rsidR="00433C61" w:rsidRPr="00110AE2">
        <w:rPr>
          <w:rFonts w:ascii="Verdana" w:hAnsi="Verdana" w:cs="Arial"/>
          <w:sz w:val="20"/>
          <w:szCs w:val="20"/>
        </w:rPr>
        <w:t>3</w:t>
      </w:r>
      <w:r w:rsidRPr="00110AE2">
        <w:rPr>
          <w:rFonts w:ascii="Verdana" w:hAnsi="Verdana" w:cs="Arial"/>
          <w:sz w:val="20"/>
          <w:szCs w:val="20"/>
        </w:rPr>
        <w:t xml:space="preserve"> milyar TL’si k</w:t>
      </w:r>
      <w:r w:rsidR="004A45EF" w:rsidRPr="00110AE2">
        <w:rPr>
          <w:rFonts w:ascii="Verdana" w:hAnsi="Verdana" w:cs="Arial"/>
          <w:sz w:val="20"/>
          <w:szCs w:val="20"/>
        </w:rPr>
        <w:t>redi kartları ile yapılırken 4,</w:t>
      </w:r>
      <w:r w:rsidR="00433C61" w:rsidRPr="00110AE2">
        <w:rPr>
          <w:rFonts w:ascii="Verdana" w:hAnsi="Verdana" w:cs="Arial"/>
          <w:sz w:val="20"/>
          <w:szCs w:val="20"/>
        </w:rPr>
        <w:t>4</w:t>
      </w:r>
      <w:r w:rsidRPr="00110AE2">
        <w:rPr>
          <w:rFonts w:ascii="Verdana" w:hAnsi="Verdana" w:cs="Arial"/>
          <w:sz w:val="20"/>
          <w:szCs w:val="20"/>
        </w:rPr>
        <w:t xml:space="preserve"> milyar TL’sinde banka kartları kullanıldı. Buna göre önceki yılın aynı dönemine göre büyüme oranı banka kartı ile ödemelerde %3</w:t>
      </w:r>
      <w:r w:rsidR="00433C61" w:rsidRPr="00110AE2">
        <w:rPr>
          <w:rFonts w:ascii="Verdana" w:hAnsi="Verdana" w:cs="Arial"/>
          <w:sz w:val="20"/>
          <w:szCs w:val="20"/>
        </w:rPr>
        <w:t>4</w:t>
      </w:r>
      <w:r w:rsidRPr="00110AE2">
        <w:rPr>
          <w:rFonts w:ascii="Verdana" w:hAnsi="Verdana" w:cs="Arial"/>
          <w:sz w:val="20"/>
          <w:szCs w:val="20"/>
        </w:rPr>
        <w:t>, kredi kartı ile ödemelerde ise %</w:t>
      </w:r>
      <w:r w:rsidR="00433C61" w:rsidRPr="00110AE2">
        <w:rPr>
          <w:rFonts w:ascii="Verdana" w:hAnsi="Verdana" w:cs="Arial"/>
          <w:sz w:val="20"/>
          <w:szCs w:val="20"/>
        </w:rPr>
        <w:t>13</w:t>
      </w:r>
      <w:r w:rsidR="005130D2" w:rsidRPr="00110AE2">
        <w:rPr>
          <w:rFonts w:ascii="Verdana" w:hAnsi="Verdana" w:cs="Arial"/>
          <w:sz w:val="20"/>
          <w:szCs w:val="20"/>
        </w:rPr>
        <w:t xml:space="preserve"> </w:t>
      </w:r>
      <w:r w:rsidRPr="00110AE2">
        <w:rPr>
          <w:rFonts w:ascii="Verdana" w:hAnsi="Verdana" w:cs="Arial"/>
          <w:sz w:val="20"/>
          <w:szCs w:val="20"/>
        </w:rPr>
        <w:t>oldu.</w:t>
      </w:r>
    </w:p>
    <w:p w14:paraId="63F51236" w14:textId="77777777" w:rsidR="00D84A69" w:rsidRPr="00110AE2" w:rsidRDefault="00D84A69" w:rsidP="00110AE2">
      <w:pPr>
        <w:spacing w:after="120" w:line="360" w:lineRule="auto"/>
        <w:jc w:val="both"/>
        <w:rPr>
          <w:rFonts w:ascii="Verdana" w:hAnsi="Verdana" w:cs="Arial"/>
          <w:sz w:val="20"/>
          <w:szCs w:val="20"/>
          <w:u w:val="single"/>
        </w:rPr>
      </w:pPr>
    </w:p>
    <w:p w14:paraId="4BC88832" w14:textId="77777777" w:rsidR="00CA34ED" w:rsidRPr="00110AE2" w:rsidRDefault="00CA34ED" w:rsidP="00110AE2">
      <w:pPr>
        <w:spacing w:line="360" w:lineRule="auto"/>
        <w:jc w:val="center"/>
        <w:rPr>
          <w:rFonts w:ascii="Verdana" w:hAnsi="Verdana" w:cs="Arial"/>
          <w:sz w:val="20"/>
          <w:szCs w:val="20"/>
        </w:rPr>
      </w:pPr>
      <w:r w:rsidRPr="00110AE2">
        <w:rPr>
          <w:rFonts w:ascii="Verdana" w:hAnsi="Verdana" w:cs="Arial"/>
          <w:b/>
          <w:sz w:val="20"/>
          <w:szCs w:val="20"/>
        </w:rPr>
        <w:t>Tablo 2:</w:t>
      </w:r>
      <w:r w:rsidRPr="00110AE2">
        <w:rPr>
          <w:rFonts w:ascii="Verdana" w:hAnsi="Verdana" w:cs="Arial"/>
          <w:sz w:val="20"/>
          <w:szCs w:val="20"/>
        </w:rPr>
        <w:t xml:space="preserve"> Kartlı Ödeme Tutarı (Milyar TL) Gelişimi</w:t>
      </w:r>
    </w:p>
    <w:tbl>
      <w:tblPr>
        <w:tblStyle w:val="OrtaKlavuz1-Vurgu1"/>
        <w:tblW w:w="8164" w:type="dxa"/>
        <w:jc w:val="center"/>
        <w:tblLook w:val="04A0" w:firstRow="1" w:lastRow="0" w:firstColumn="1" w:lastColumn="0" w:noHBand="0" w:noVBand="1"/>
      </w:tblPr>
      <w:tblGrid>
        <w:gridCol w:w="3554"/>
        <w:gridCol w:w="1769"/>
        <w:gridCol w:w="1769"/>
        <w:gridCol w:w="1122"/>
      </w:tblGrid>
      <w:tr w:rsidR="00CA34ED" w:rsidRPr="00110AE2" w14:paraId="73145A28" w14:textId="77777777" w:rsidTr="00FB7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vAlign w:val="center"/>
            <w:hideMark/>
          </w:tcPr>
          <w:p w14:paraId="671DB330" w14:textId="77777777" w:rsidR="00CA34ED" w:rsidRPr="00110AE2" w:rsidRDefault="00CA34ED" w:rsidP="00110AE2">
            <w:pPr>
              <w:spacing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Kartlı Ödeme Tutarı (Milyar TL)</w:t>
            </w:r>
          </w:p>
        </w:tc>
        <w:tc>
          <w:tcPr>
            <w:tcW w:w="1769" w:type="dxa"/>
            <w:noWrap/>
            <w:vAlign w:val="center"/>
            <w:hideMark/>
          </w:tcPr>
          <w:p w14:paraId="79702E26" w14:textId="77777777" w:rsidR="00CA34ED" w:rsidRPr="00110AE2" w:rsidRDefault="00CA34ED" w:rsidP="00110AE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 xml:space="preserve">2015 </w:t>
            </w:r>
            <w:r w:rsidR="00F61E78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Kasım</w:t>
            </w:r>
          </w:p>
        </w:tc>
        <w:tc>
          <w:tcPr>
            <w:tcW w:w="1769" w:type="dxa"/>
            <w:noWrap/>
            <w:vAlign w:val="center"/>
            <w:hideMark/>
          </w:tcPr>
          <w:p w14:paraId="5FA74F5B" w14:textId="77777777" w:rsidR="00CA34ED" w:rsidRPr="00110AE2" w:rsidRDefault="00CA34ED" w:rsidP="00110AE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 xml:space="preserve">2016 </w:t>
            </w:r>
            <w:r w:rsidR="00F61E78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Kasım</w:t>
            </w:r>
          </w:p>
        </w:tc>
        <w:tc>
          <w:tcPr>
            <w:tcW w:w="1072" w:type="dxa"/>
            <w:noWrap/>
            <w:vAlign w:val="center"/>
            <w:hideMark/>
          </w:tcPr>
          <w:p w14:paraId="309C3119" w14:textId="77777777" w:rsidR="00CA34ED" w:rsidRPr="00110AE2" w:rsidRDefault="00CA34ED" w:rsidP="00110AE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Değişim</w:t>
            </w:r>
          </w:p>
        </w:tc>
      </w:tr>
      <w:tr w:rsidR="00CA34ED" w:rsidRPr="00110AE2" w14:paraId="1F5B5246" w14:textId="77777777" w:rsidTr="00FB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6ED394B5" w14:textId="77777777" w:rsidR="00CA34ED" w:rsidRPr="00110AE2" w:rsidRDefault="00CA34ED" w:rsidP="00110AE2">
            <w:pPr>
              <w:spacing w:line="360" w:lineRule="auto"/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  <w:lang w:eastAsia="tr-TR"/>
              </w:rPr>
              <w:t>Banka Kartı</w:t>
            </w:r>
          </w:p>
        </w:tc>
        <w:tc>
          <w:tcPr>
            <w:tcW w:w="1769" w:type="dxa"/>
            <w:noWrap/>
            <w:vAlign w:val="center"/>
            <w:hideMark/>
          </w:tcPr>
          <w:p w14:paraId="45FCDE69" w14:textId="77777777" w:rsidR="00CA34ED" w:rsidRPr="00110AE2" w:rsidRDefault="00DB2F88" w:rsidP="00110A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3</w:t>
            </w:r>
            <w:r w:rsidR="00CA34ED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,</w:t>
            </w:r>
            <w:r w:rsidR="00F61E78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1769" w:type="dxa"/>
            <w:noWrap/>
            <w:vAlign w:val="center"/>
            <w:hideMark/>
          </w:tcPr>
          <w:p w14:paraId="10ED4953" w14:textId="77777777" w:rsidR="00CA34ED" w:rsidRPr="00110AE2" w:rsidRDefault="00392B27" w:rsidP="00110A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highlight w:val="yellow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4</w:t>
            </w:r>
            <w:r w:rsidR="00CA34ED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,</w:t>
            </w:r>
            <w:r w:rsidR="00F61E78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072" w:type="dxa"/>
            <w:noWrap/>
            <w:vAlign w:val="center"/>
            <w:hideMark/>
          </w:tcPr>
          <w:p w14:paraId="7A22AD32" w14:textId="77777777" w:rsidR="00CA34ED" w:rsidRPr="00110AE2" w:rsidRDefault="00FB7DCE" w:rsidP="00FB7D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highlight w:val="yellow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 w:rsidR="00951FAA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3</w:t>
            </w:r>
            <w:r w:rsidR="00F61E78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4</w:t>
            </w:r>
          </w:p>
        </w:tc>
      </w:tr>
      <w:tr w:rsidR="00CA34ED" w:rsidRPr="00110AE2" w14:paraId="046FF0C3" w14:textId="77777777" w:rsidTr="00FB7DC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0D700BB1" w14:textId="77777777" w:rsidR="00CA34ED" w:rsidRPr="00110AE2" w:rsidRDefault="00CA34ED" w:rsidP="00110AE2">
            <w:pPr>
              <w:spacing w:line="360" w:lineRule="auto"/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 w:val="0"/>
                <w:color w:val="000000"/>
                <w:sz w:val="20"/>
                <w:szCs w:val="20"/>
                <w:lang w:eastAsia="tr-TR"/>
              </w:rPr>
              <w:t>Kredi Kartı</w:t>
            </w:r>
          </w:p>
        </w:tc>
        <w:tc>
          <w:tcPr>
            <w:tcW w:w="1769" w:type="dxa"/>
            <w:noWrap/>
            <w:vAlign w:val="center"/>
            <w:hideMark/>
          </w:tcPr>
          <w:p w14:paraId="1E7D4AFD" w14:textId="77777777" w:rsidR="00CA34ED" w:rsidRPr="00110AE2" w:rsidRDefault="00951FAA" w:rsidP="00110A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4</w:t>
            </w:r>
            <w:r w:rsidR="00F61E78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0</w:t>
            </w:r>
            <w:r w:rsidR="00CA34ED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,</w:t>
            </w:r>
            <w:r w:rsidR="00F61E78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9</w:t>
            </w:r>
          </w:p>
        </w:tc>
        <w:tc>
          <w:tcPr>
            <w:tcW w:w="1769" w:type="dxa"/>
            <w:noWrap/>
            <w:vAlign w:val="center"/>
            <w:hideMark/>
          </w:tcPr>
          <w:p w14:paraId="47B27C8A" w14:textId="77777777" w:rsidR="00CA34ED" w:rsidRPr="00110AE2" w:rsidRDefault="00392B27" w:rsidP="00110A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highlight w:val="yellow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4</w:t>
            </w:r>
            <w:r w:rsidR="00F61E78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6</w:t>
            </w:r>
            <w:r w:rsidR="00CA34ED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,</w:t>
            </w:r>
            <w:r w:rsidR="00F61E78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1072" w:type="dxa"/>
            <w:noWrap/>
            <w:vAlign w:val="center"/>
            <w:hideMark/>
          </w:tcPr>
          <w:p w14:paraId="25608F8E" w14:textId="77777777" w:rsidR="00CA34ED" w:rsidRPr="00110AE2" w:rsidRDefault="00FB7DCE" w:rsidP="00110A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color w:val="000000"/>
                <w:sz w:val="20"/>
                <w:szCs w:val="20"/>
                <w:highlight w:val="yellow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 w:rsidR="00F61E78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13</w:t>
            </w:r>
          </w:p>
        </w:tc>
      </w:tr>
      <w:tr w:rsidR="00CA34ED" w:rsidRPr="00110AE2" w14:paraId="39108273" w14:textId="77777777" w:rsidTr="00FB7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noWrap/>
            <w:vAlign w:val="center"/>
            <w:hideMark/>
          </w:tcPr>
          <w:p w14:paraId="557428D4" w14:textId="77777777" w:rsidR="00CA34ED" w:rsidRPr="00110AE2" w:rsidRDefault="00CA34ED" w:rsidP="00110AE2">
            <w:pPr>
              <w:spacing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Toplam</w:t>
            </w:r>
          </w:p>
        </w:tc>
        <w:tc>
          <w:tcPr>
            <w:tcW w:w="1769" w:type="dxa"/>
            <w:noWrap/>
            <w:vAlign w:val="center"/>
            <w:hideMark/>
          </w:tcPr>
          <w:p w14:paraId="644F2B80" w14:textId="77777777" w:rsidR="00CA34ED" w:rsidRPr="00110AE2" w:rsidRDefault="00392B27" w:rsidP="00110A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4</w:t>
            </w:r>
            <w:r w:rsidR="00F61E78"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4</w:t>
            </w:r>
            <w:r w:rsidR="00CA34ED"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,</w:t>
            </w:r>
            <w:r w:rsidR="00F61E78"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769" w:type="dxa"/>
            <w:noWrap/>
            <w:vAlign w:val="center"/>
            <w:hideMark/>
          </w:tcPr>
          <w:p w14:paraId="4C44A936" w14:textId="77777777" w:rsidR="00CA34ED" w:rsidRPr="00110AE2" w:rsidRDefault="009C00F9" w:rsidP="00110A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highlight w:val="yellow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50,</w:t>
            </w:r>
            <w:r w:rsidR="00F61E78"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1072" w:type="dxa"/>
            <w:noWrap/>
            <w:vAlign w:val="center"/>
            <w:hideMark/>
          </w:tcPr>
          <w:p w14:paraId="011C630C" w14:textId="77777777" w:rsidR="00CA34ED" w:rsidRPr="00110AE2" w:rsidRDefault="00FB7DCE" w:rsidP="00110A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highlight w:val="yellow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 w:rsidR="00F61E78"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15</w:t>
            </w:r>
          </w:p>
        </w:tc>
      </w:tr>
    </w:tbl>
    <w:p w14:paraId="49694D5F" w14:textId="77777777" w:rsidR="00F64D37" w:rsidRPr="00110AE2" w:rsidRDefault="00F64D37" w:rsidP="00110AE2">
      <w:pPr>
        <w:spacing w:line="360" w:lineRule="auto"/>
        <w:rPr>
          <w:rFonts w:ascii="Verdana" w:hAnsi="Verdana" w:cs="Arial"/>
          <w:b/>
          <w:sz w:val="20"/>
          <w:szCs w:val="20"/>
        </w:rPr>
      </w:pPr>
    </w:p>
    <w:p w14:paraId="67CA0169" w14:textId="77777777" w:rsidR="00DB5EEE" w:rsidRDefault="00DB5EEE" w:rsidP="00110AE2">
      <w:pPr>
        <w:spacing w:line="360" w:lineRule="auto"/>
        <w:rPr>
          <w:rFonts w:ascii="Verdana" w:hAnsi="Verdana" w:cs="Arial"/>
          <w:b/>
          <w:sz w:val="20"/>
          <w:szCs w:val="20"/>
        </w:rPr>
      </w:pPr>
    </w:p>
    <w:p w14:paraId="4BA5196C" w14:textId="62FF77E8" w:rsidR="00887BE9" w:rsidRPr="00110AE2" w:rsidRDefault="00110AE2" w:rsidP="00110AE2">
      <w:pPr>
        <w:spacing w:line="360" w:lineRule="auto"/>
        <w:rPr>
          <w:rFonts w:ascii="Verdana" w:hAnsi="Verdana" w:cs="Arial"/>
          <w:b/>
          <w:sz w:val="20"/>
          <w:szCs w:val="20"/>
        </w:rPr>
      </w:pPr>
      <w:r w:rsidRPr="00110AE2">
        <w:rPr>
          <w:rFonts w:ascii="Verdana" w:hAnsi="Verdana" w:cs="Arial"/>
          <w:b/>
          <w:sz w:val="20"/>
          <w:szCs w:val="20"/>
        </w:rPr>
        <w:lastRenderedPageBreak/>
        <w:t xml:space="preserve">Kartlı ödemeler </w:t>
      </w:r>
      <w:r w:rsidR="00692C00">
        <w:rPr>
          <w:rFonts w:ascii="Verdana" w:hAnsi="Verdana" w:cs="Arial"/>
          <w:b/>
          <w:sz w:val="20"/>
          <w:szCs w:val="20"/>
        </w:rPr>
        <w:t xml:space="preserve">banka kartlarının da katkısıyla </w:t>
      </w:r>
      <w:r w:rsidR="00FB7DCE">
        <w:rPr>
          <w:rFonts w:ascii="Verdana" w:hAnsi="Verdana" w:cs="Arial"/>
          <w:b/>
          <w:sz w:val="20"/>
          <w:szCs w:val="20"/>
        </w:rPr>
        <w:t>kayıt dışı ödeme</w:t>
      </w:r>
      <w:r w:rsidR="00AE0E0D">
        <w:rPr>
          <w:rFonts w:ascii="Verdana" w:hAnsi="Verdana" w:cs="Arial"/>
          <w:b/>
          <w:sz w:val="20"/>
          <w:szCs w:val="20"/>
        </w:rPr>
        <w:t xml:space="preserve">leri engelliyor </w:t>
      </w:r>
    </w:p>
    <w:p w14:paraId="17CD1CE1" w14:textId="3B0F7EDE" w:rsidR="00894B8B" w:rsidRPr="00110AE2" w:rsidRDefault="00887BE9" w:rsidP="00110AE2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110AE2">
        <w:rPr>
          <w:rFonts w:ascii="Verdana" w:hAnsi="Verdana" w:cs="Arial"/>
          <w:sz w:val="20"/>
          <w:szCs w:val="20"/>
        </w:rPr>
        <w:t xml:space="preserve">Gayri Safi Yurtiçi </w:t>
      </w:r>
      <w:proofErr w:type="gramStart"/>
      <w:r w:rsidRPr="00110AE2">
        <w:rPr>
          <w:rFonts w:ascii="Verdana" w:hAnsi="Verdana" w:cs="Arial"/>
          <w:sz w:val="20"/>
          <w:szCs w:val="20"/>
        </w:rPr>
        <w:t>Hasıla</w:t>
      </w:r>
      <w:proofErr w:type="gramEnd"/>
      <w:r w:rsidR="00FB7DCE">
        <w:rPr>
          <w:rFonts w:ascii="Verdana" w:hAnsi="Verdana" w:cs="Arial"/>
          <w:sz w:val="20"/>
          <w:szCs w:val="20"/>
        </w:rPr>
        <w:t xml:space="preserve"> 2016 ilk üç</w:t>
      </w:r>
      <w:r w:rsidR="00746D38" w:rsidRPr="00110AE2">
        <w:rPr>
          <w:rFonts w:ascii="Verdana" w:hAnsi="Verdana" w:cs="Arial"/>
          <w:sz w:val="20"/>
          <w:szCs w:val="20"/>
        </w:rPr>
        <w:t xml:space="preserve"> çeyreğinde reel olarak %2,2</w:t>
      </w:r>
      <w:r w:rsidRPr="00110AE2">
        <w:rPr>
          <w:rFonts w:ascii="Verdana" w:hAnsi="Verdana" w:cs="Arial"/>
          <w:color w:val="FF0000"/>
          <w:sz w:val="20"/>
          <w:szCs w:val="20"/>
        </w:rPr>
        <w:t xml:space="preserve"> </w:t>
      </w:r>
      <w:r w:rsidRPr="00110AE2">
        <w:rPr>
          <w:rFonts w:ascii="Verdana" w:hAnsi="Verdana" w:cs="Arial"/>
          <w:sz w:val="20"/>
          <w:szCs w:val="20"/>
        </w:rPr>
        <w:t>büyü</w:t>
      </w:r>
      <w:r w:rsidR="00746D38" w:rsidRPr="00110AE2">
        <w:rPr>
          <w:rFonts w:ascii="Verdana" w:hAnsi="Verdana" w:cs="Arial"/>
          <w:sz w:val="20"/>
          <w:szCs w:val="20"/>
        </w:rPr>
        <w:t xml:space="preserve">rken aynı dönemde </w:t>
      </w:r>
      <w:r w:rsidR="00FB7DCE">
        <w:rPr>
          <w:rFonts w:ascii="Verdana" w:hAnsi="Verdana" w:cs="Arial"/>
          <w:sz w:val="20"/>
          <w:szCs w:val="20"/>
        </w:rPr>
        <w:t>“</w:t>
      </w:r>
      <w:proofErr w:type="spellStart"/>
      <w:r w:rsidR="00FB7DCE">
        <w:rPr>
          <w:rFonts w:ascii="Verdana" w:hAnsi="Verdana" w:cs="Arial"/>
          <w:sz w:val="20"/>
          <w:szCs w:val="20"/>
        </w:rPr>
        <w:t>Hanehalklarının</w:t>
      </w:r>
      <w:proofErr w:type="spellEnd"/>
      <w:r w:rsidR="00FB7DCE">
        <w:rPr>
          <w:rFonts w:ascii="Verdana" w:hAnsi="Verdana" w:cs="Arial"/>
          <w:sz w:val="20"/>
          <w:szCs w:val="20"/>
        </w:rPr>
        <w:t xml:space="preserve"> </w:t>
      </w:r>
      <w:r w:rsidRPr="00110AE2">
        <w:rPr>
          <w:rFonts w:ascii="Verdana" w:hAnsi="Verdana" w:cs="Arial"/>
          <w:sz w:val="20"/>
          <w:szCs w:val="20"/>
        </w:rPr>
        <w:t>Tüketimi” %</w:t>
      </w:r>
      <w:r w:rsidR="00746D38" w:rsidRPr="00110AE2">
        <w:rPr>
          <w:rFonts w:ascii="Verdana" w:hAnsi="Verdana" w:cs="Arial"/>
          <w:sz w:val="20"/>
          <w:szCs w:val="20"/>
        </w:rPr>
        <w:t xml:space="preserve">0,2 </w:t>
      </w:r>
      <w:r w:rsidRPr="00110AE2">
        <w:rPr>
          <w:rFonts w:ascii="Verdana" w:hAnsi="Verdana" w:cs="Arial"/>
          <w:sz w:val="20"/>
          <w:szCs w:val="20"/>
        </w:rPr>
        <w:t>oranında arttı.</w:t>
      </w:r>
      <w:r w:rsidR="005E5B03">
        <w:rPr>
          <w:rStyle w:val="DipnotBavurusu"/>
          <w:rFonts w:ascii="Verdana" w:hAnsi="Verdana" w:cs="Arial"/>
          <w:sz w:val="20"/>
          <w:szCs w:val="20"/>
        </w:rPr>
        <w:footnoteReference w:id="1"/>
      </w:r>
      <w:r w:rsidR="005E5B03">
        <w:rPr>
          <w:rFonts w:ascii="Verdana" w:hAnsi="Verdana" w:cs="Arial"/>
          <w:sz w:val="20"/>
          <w:szCs w:val="20"/>
        </w:rPr>
        <w:t xml:space="preserve"> </w:t>
      </w:r>
      <w:r w:rsidR="00413678" w:rsidRPr="00110AE2">
        <w:rPr>
          <w:rFonts w:ascii="Verdana" w:hAnsi="Verdana" w:cs="Arial"/>
          <w:sz w:val="20"/>
          <w:szCs w:val="20"/>
        </w:rPr>
        <w:t xml:space="preserve">Kartlı ödemelerin </w:t>
      </w:r>
      <w:proofErr w:type="spellStart"/>
      <w:r w:rsidR="00413678" w:rsidRPr="00110AE2">
        <w:rPr>
          <w:rFonts w:ascii="Verdana" w:hAnsi="Verdana" w:cs="Arial"/>
          <w:sz w:val="20"/>
          <w:szCs w:val="20"/>
        </w:rPr>
        <w:t>hanehalkı</w:t>
      </w:r>
      <w:proofErr w:type="spellEnd"/>
      <w:r w:rsidR="00413678" w:rsidRPr="00110AE2">
        <w:rPr>
          <w:rFonts w:ascii="Verdana" w:hAnsi="Verdana" w:cs="Arial"/>
          <w:sz w:val="20"/>
          <w:szCs w:val="20"/>
        </w:rPr>
        <w:t xml:space="preserve"> tüketiminden daha hızlı büyümesiyle beraber </w:t>
      </w:r>
      <w:proofErr w:type="spellStart"/>
      <w:r w:rsidR="00E376A2" w:rsidRPr="00110AE2">
        <w:rPr>
          <w:rFonts w:ascii="Verdana" w:hAnsi="Verdana" w:cs="Arial"/>
          <w:sz w:val="20"/>
          <w:szCs w:val="20"/>
        </w:rPr>
        <w:t>hanehalkı</w:t>
      </w:r>
      <w:proofErr w:type="spellEnd"/>
      <w:r w:rsidR="00E376A2" w:rsidRPr="00110AE2">
        <w:rPr>
          <w:rFonts w:ascii="Verdana" w:hAnsi="Verdana" w:cs="Arial"/>
          <w:sz w:val="20"/>
          <w:szCs w:val="20"/>
        </w:rPr>
        <w:t xml:space="preserve"> tüketi</w:t>
      </w:r>
      <w:r w:rsidR="00FB7DCE">
        <w:rPr>
          <w:rFonts w:ascii="Verdana" w:hAnsi="Verdana" w:cs="Arial"/>
          <w:sz w:val="20"/>
          <w:szCs w:val="20"/>
        </w:rPr>
        <w:t xml:space="preserve">mi içindeki payı 2016 yılı ilk </w:t>
      </w:r>
      <w:proofErr w:type="gramStart"/>
      <w:r w:rsidR="00FB7DCE">
        <w:rPr>
          <w:rFonts w:ascii="Verdana" w:hAnsi="Verdana" w:cs="Arial"/>
          <w:sz w:val="20"/>
          <w:szCs w:val="20"/>
        </w:rPr>
        <w:t>üç</w:t>
      </w:r>
      <w:r w:rsidR="00E376A2" w:rsidRPr="00110AE2">
        <w:rPr>
          <w:rFonts w:ascii="Verdana" w:hAnsi="Verdana" w:cs="Arial"/>
          <w:sz w:val="20"/>
          <w:szCs w:val="20"/>
        </w:rPr>
        <w:t xml:space="preserve"> çeyreğinde</w:t>
      </w:r>
      <w:proofErr w:type="gramEnd"/>
      <w:r w:rsidR="00E376A2" w:rsidRPr="00110AE2">
        <w:rPr>
          <w:rFonts w:ascii="Verdana" w:hAnsi="Verdana" w:cs="Arial"/>
          <w:sz w:val="20"/>
          <w:szCs w:val="20"/>
        </w:rPr>
        <w:t xml:space="preserve"> %40’a ulaştı.</w:t>
      </w:r>
      <w:r w:rsidR="00637CF7" w:rsidRPr="00110AE2">
        <w:rPr>
          <w:rFonts w:ascii="Verdana" w:hAnsi="Verdana" w:cs="Arial"/>
          <w:sz w:val="20"/>
          <w:szCs w:val="20"/>
        </w:rPr>
        <w:t xml:space="preserve"> 2010 yılında %30 olan bu oran 2015’te %37 seviyesine çıkmıştı. Bu yılki artışla beraber</w:t>
      </w:r>
      <w:r w:rsidRPr="00110AE2">
        <w:rPr>
          <w:rFonts w:ascii="Verdana" w:hAnsi="Verdana" w:cs="Arial"/>
          <w:sz w:val="20"/>
          <w:szCs w:val="20"/>
        </w:rPr>
        <w:t xml:space="preserve"> daha fazla ödeme kartlar sayesinde kayıt altına alındı ve nakitsiz ödemelere bir adım daha yaklaşılmış oldu.</w:t>
      </w:r>
    </w:p>
    <w:p w14:paraId="32D992A5" w14:textId="77777777" w:rsidR="00516881" w:rsidRPr="00110AE2" w:rsidRDefault="00887BE9" w:rsidP="00110AE2">
      <w:pPr>
        <w:spacing w:line="360" w:lineRule="auto"/>
        <w:jc w:val="center"/>
        <w:rPr>
          <w:rFonts w:ascii="Verdana" w:hAnsi="Verdana" w:cs="Arial"/>
          <w:sz w:val="20"/>
          <w:szCs w:val="20"/>
        </w:rPr>
      </w:pPr>
      <w:r w:rsidRPr="00110AE2">
        <w:rPr>
          <w:rFonts w:ascii="Verdana" w:hAnsi="Verdana" w:cs="Arial"/>
          <w:b/>
          <w:sz w:val="20"/>
          <w:szCs w:val="20"/>
        </w:rPr>
        <w:t xml:space="preserve">Tablo </w:t>
      </w:r>
      <w:r w:rsidR="009A3B63" w:rsidRPr="00110AE2">
        <w:rPr>
          <w:rFonts w:ascii="Verdana" w:hAnsi="Verdana" w:cs="Arial"/>
          <w:b/>
          <w:sz w:val="20"/>
          <w:szCs w:val="20"/>
        </w:rPr>
        <w:t>3</w:t>
      </w:r>
      <w:r w:rsidRPr="00110AE2">
        <w:rPr>
          <w:rFonts w:ascii="Verdana" w:hAnsi="Verdana" w:cs="Arial"/>
          <w:b/>
          <w:sz w:val="20"/>
          <w:szCs w:val="20"/>
        </w:rPr>
        <w:t>:</w:t>
      </w:r>
      <w:r w:rsidRPr="00110AE2">
        <w:rPr>
          <w:rFonts w:ascii="Verdana" w:hAnsi="Verdana" w:cs="Arial"/>
          <w:sz w:val="20"/>
          <w:szCs w:val="20"/>
        </w:rPr>
        <w:t xml:space="preserve"> Kartlı Ödemelerin </w:t>
      </w:r>
      <w:proofErr w:type="spellStart"/>
      <w:r w:rsidRPr="00110AE2">
        <w:rPr>
          <w:rFonts w:ascii="Verdana" w:hAnsi="Verdana" w:cs="Arial"/>
          <w:sz w:val="20"/>
          <w:szCs w:val="20"/>
        </w:rPr>
        <w:t>Hanehalkı</w:t>
      </w:r>
      <w:proofErr w:type="spellEnd"/>
      <w:r w:rsidRPr="00110AE2">
        <w:rPr>
          <w:rFonts w:ascii="Verdana" w:hAnsi="Verdana" w:cs="Arial"/>
          <w:sz w:val="20"/>
          <w:szCs w:val="20"/>
        </w:rPr>
        <w:t xml:space="preserve"> Tüketimine Oranı</w:t>
      </w:r>
    </w:p>
    <w:tbl>
      <w:tblPr>
        <w:tblW w:w="8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709"/>
        <w:gridCol w:w="709"/>
        <w:gridCol w:w="709"/>
        <w:gridCol w:w="709"/>
        <w:gridCol w:w="709"/>
        <w:gridCol w:w="709"/>
        <w:gridCol w:w="1540"/>
      </w:tblGrid>
      <w:tr w:rsidR="00894B8B" w:rsidRPr="00110AE2" w14:paraId="5065F967" w14:textId="77777777" w:rsidTr="006F33BB">
        <w:trPr>
          <w:trHeight w:val="6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DB928A" w14:textId="77777777" w:rsidR="00894B8B" w:rsidRPr="00110AE2" w:rsidRDefault="00894B8B" w:rsidP="00110AE2">
            <w:pPr>
              <w:spacing w:after="0"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63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0591A6BB" w14:textId="77777777" w:rsidR="00894B8B" w:rsidRPr="00110AE2" w:rsidRDefault="00894B8B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2010</w:t>
            </w:r>
          </w:p>
        </w:tc>
        <w:tc>
          <w:tcPr>
            <w:tcW w:w="63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3FB60B4E" w14:textId="77777777" w:rsidR="00894B8B" w:rsidRPr="00110AE2" w:rsidRDefault="00894B8B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2011</w:t>
            </w:r>
          </w:p>
        </w:tc>
        <w:tc>
          <w:tcPr>
            <w:tcW w:w="63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45DC9217" w14:textId="77777777" w:rsidR="00894B8B" w:rsidRPr="00110AE2" w:rsidRDefault="00894B8B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2012</w:t>
            </w:r>
          </w:p>
        </w:tc>
        <w:tc>
          <w:tcPr>
            <w:tcW w:w="63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39DD65A1" w14:textId="77777777" w:rsidR="00894B8B" w:rsidRPr="00110AE2" w:rsidRDefault="00894B8B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2013</w:t>
            </w:r>
          </w:p>
        </w:tc>
        <w:tc>
          <w:tcPr>
            <w:tcW w:w="63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7D90B331" w14:textId="77777777" w:rsidR="00894B8B" w:rsidRPr="00110AE2" w:rsidRDefault="00894B8B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2014</w:t>
            </w:r>
          </w:p>
        </w:tc>
        <w:tc>
          <w:tcPr>
            <w:tcW w:w="63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3337599C" w14:textId="77777777" w:rsidR="00894B8B" w:rsidRPr="00110AE2" w:rsidRDefault="00894B8B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2015</w:t>
            </w:r>
          </w:p>
        </w:tc>
        <w:tc>
          <w:tcPr>
            <w:tcW w:w="154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vAlign w:val="center"/>
            <w:hideMark/>
          </w:tcPr>
          <w:p w14:paraId="6D75846B" w14:textId="77777777" w:rsidR="00894B8B" w:rsidRPr="00110AE2" w:rsidRDefault="00894B8B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2016</w:t>
            </w:r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br/>
              <w:t>İlk 3 Çeyrek</w:t>
            </w:r>
          </w:p>
        </w:tc>
      </w:tr>
      <w:tr w:rsidR="00894B8B" w:rsidRPr="00110AE2" w14:paraId="6F8153FE" w14:textId="77777777" w:rsidTr="006F33BB">
        <w:trPr>
          <w:trHeight w:val="615"/>
          <w:jc w:val="center"/>
        </w:trPr>
        <w:tc>
          <w:tcPr>
            <w:tcW w:w="316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A7BFDE"/>
            <w:vAlign w:val="center"/>
            <w:hideMark/>
          </w:tcPr>
          <w:p w14:paraId="731DBA0F" w14:textId="77777777" w:rsidR="00894B8B" w:rsidRPr="00110AE2" w:rsidRDefault="00894B8B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 xml:space="preserve">Kartlı Ödemelerin </w:t>
            </w:r>
            <w:proofErr w:type="spellStart"/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Hanehalkı</w:t>
            </w:r>
            <w:proofErr w:type="spellEnd"/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br/>
              <w:t xml:space="preserve"> Tüketimine Oranı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5677C2E4" w14:textId="77777777" w:rsidR="00894B8B" w:rsidRPr="00110AE2" w:rsidRDefault="00FB7DCE" w:rsidP="00FB7DCE">
            <w:pPr>
              <w:spacing w:after="0"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 w:rsidR="00894B8B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30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4B7C7EF7" w14:textId="77777777" w:rsidR="00894B8B" w:rsidRPr="00110AE2" w:rsidRDefault="00FB7DCE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 w:rsidR="00894B8B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31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021FB748" w14:textId="77777777" w:rsidR="00894B8B" w:rsidRPr="00110AE2" w:rsidRDefault="00FB7DCE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 w:rsidR="00894B8B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35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15C6E7B3" w14:textId="77777777" w:rsidR="00894B8B" w:rsidRPr="00110AE2" w:rsidRDefault="00FB7DCE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 w:rsidR="00894B8B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36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0AB38DC2" w14:textId="77777777" w:rsidR="00894B8B" w:rsidRPr="00110AE2" w:rsidRDefault="00FB7DCE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 w:rsidR="00894B8B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37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2551F9C9" w14:textId="77777777" w:rsidR="00894B8B" w:rsidRPr="00110AE2" w:rsidRDefault="00FB7DCE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 w:rsidR="00894B8B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54E8513C" w14:textId="77777777" w:rsidR="00894B8B" w:rsidRPr="00110AE2" w:rsidRDefault="00FB7DCE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 w:rsidR="00894B8B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40</w:t>
            </w:r>
          </w:p>
        </w:tc>
      </w:tr>
    </w:tbl>
    <w:p w14:paraId="4D5AA67A" w14:textId="75AED64D" w:rsidR="00C97827" w:rsidRDefault="00C97827" w:rsidP="00110AE2">
      <w:pPr>
        <w:spacing w:before="360" w:after="120" w:line="360" w:lineRule="auto"/>
        <w:jc w:val="both"/>
        <w:rPr>
          <w:rFonts w:ascii="Verdana" w:hAnsi="Verdana" w:cs="Arial"/>
          <w:b/>
          <w:sz w:val="20"/>
          <w:szCs w:val="20"/>
        </w:rPr>
      </w:pPr>
      <w:bookmarkStart w:id="0" w:name="_GoBack"/>
      <w:bookmarkEnd w:id="0"/>
    </w:p>
    <w:p w14:paraId="4F803860" w14:textId="77777777" w:rsidR="00DB3043" w:rsidRPr="00110AE2" w:rsidRDefault="006F122D" w:rsidP="00110AE2">
      <w:pPr>
        <w:spacing w:before="360" w:after="120" w:line="360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Her dört kartlı ödemeden birini banka kartlarıyla yapıyoruz</w:t>
      </w:r>
    </w:p>
    <w:p w14:paraId="04FF9385" w14:textId="77777777" w:rsidR="00C83F2A" w:rsidRPr="00110AE2" w:rsidRDefault="00887BE9" w:rsidP="00110AE2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110AE2">
        <w:rPr>
          <w:rFonts w:ascii="Verdana" w:hAnsi="Verdana" w:cs="Arial"/>
          <w:sz w:val="20"/>
          <w:szCs w:val="20"/>
        </w:rPr>
        <w:t xml:space="preserve">Banka kartları, özellikle düşük tutarlı ödemelerde tercih edilen bir ödeme aracı ve nakitsiz hayata giden yolda Türkiye’nin elindeki en önemli kozlardan biri olarak ön plana çıkıyor. Kartlı ödeme </w:t>
      </w:r>
      <w:r w:rsidRPr="004C1431">
        <w:rPr>
          <w:rFonts w:ascii="Verdana" w:hAnsi="Verdana" w:cs="Arial"/>
          <w:sz w:val="20"/>
          <w:szCs w:val="20"/>
        </w:rPr>
        <w:t>tutarının</w:t>
      </w:r>
      <w:r w:rsidRPr="00110AE2">
        <w:rPr>
          <w:rFonts w:ascii="Verdana" w:hAnsi="Verdana" w:cs="Arial"/>
          <w:sz w:val="20"/>
          <w:szCs w:val="20"/>
        </w:rPr>
        <w:t xml:space="preserve"> </w:t>
      </w:r>
      <w:r w:rsidR="006F122D">
        <w:rPr>
          <w:rFonts w:ascii="Verdana" w:hAnsi="Verdana" w:cs="Arial"/>
          <w:sz w:val="20"/>
          <w:szCs w:val="20"/>
        </w:rPr>
        <w:t>%</w:t>
      </w:r>
      <w:r w:rsidR="00AD42C0" w:rsidRPr="00110AE2">
        <w:rPr>
          <w:rFonts w:ascii="Verdana" w:hAnsi="Verdana" w:cs="Arial"/>
          <w:sz w:val="20"/>
          <w:szCs w:val="20"/>
        </w:rPr>
        <w:t>9’lu</w:t>
      </w:r>
      <w:r w:rsidRPr="00110AE2">
        <w:rPr>
          <w:rFonts w:ascii="Verdana" w:hAnsi="Verdana" w:cs="Arial"/>
          <w:sz w:val="20"/>
          <w:szCs w:val="20"/>
        </w:rPr>
        <w:t xml:space="preserve">k kısmını oluşturan banka kartlarının, kartlı ödeme </w:t>
      </w:r>
      <w:r w:rsidRPr="004C1431">
        <w:rPr>
          <w:rFonts w:ascii="Verdana" w:hAnsi="Verdana" w:cs="Arial"/>
          <w:sz w:val="20"/>
          <w:szCs w:val="20"/>
        </w:rPr>
        <w:t>adedi</w:t>
      </w:r>
      <w:r w:rsidR="006F122D">
        <w:rPr>
          <w:rFonts w:ascii="Verdana" w:hAnsi="Verdana" w:cs="Arial"/>
          <w:sz w:val="20"/>
          <w:szCs w:val="20"/>
        </w:rPr>
        <w:t xml:space="preserve"> içindeki payı ise %</w:t>
      </w:r>
      <w:r w:rsidRPr="00110AE2">
        <w:rPr>
          <w:rFonts w:ascii="Verdana" w:hAnsi="Verdana" w:cs="Arial"/>
          <w:sz w:val="20"/>
          <w:szCs w:val="20"/>
        </w:rPr>
        <w:t>2</w:t>
      </w:r>
      <w:r w:rsidR="00AD42C0" w:rsidRPr="00110AE2">
        <w:rPr>
          <w:rFonts w:ascii="Verdana" w:hAnsi="Verdana" w:cs="Arial"/>
          <w:sz w:val="20"/>
          <w:szCs w:val="20"/>
        </w:rPr>
        <w:t>6</w:t>
      </w:r>
      <w:r w:rsidRPr="00110AE2">
        <w:rPr>
          <w:rFonts w:ascii="Verdana" w:hAnsi="Verdana" w:cs="Arial"/>
          <w:sz w:val="20"/>
          <w:szCs w:val="20"/>
        </w:rPr>
        <w:t xml:space="preserve"> seviyesinde bu</w:t>
      </w:r>
      <w:r w:rsidR="006F122D">
        <w:rPr>
          <w:rFonts w:ascii="Verdana" w:hAnsi="Verdana" w:cs="Arial"/>
          <w:sz w:val="20"/>
          <w:szCs w:val="20"/>
        </w:rPr>
        <w:t>lunuyor. Dolayısıyla artık her dört kartlı ödemeden bir</w:t>
      </w:r>
      <w:r w:rsidRPr="00110AE2">
        <w:rPr>
          <w:rFonts w:ascii="Verdana" w:hAnsi="Verdana" w:cs="Arial"/>
          <w:sz w:val="20"/>
          <w:szCs w:val="20"/>
        </w:rPr>
        <w:t>inde banka kartları kullanılıyor.</w:t>
      </w:r>
    </w:p>
    <w:p w14:paraId="5BCB0438" w14:textId="77777777" w:rsidR="003B3BF7" w:rsidRPr="00110AE2" w:rsidRDefault="00887BE9" w:rsidP="00110AE2">
      <w:pPr>
        <w:spacing w:line="360" w:lineRule="auto"/>
        <w:jc w:val="center"/>
        <w:rPr>
          <w:rFonts w:ascii="Verdana" w:hAnsi="Verdana" w:cs="Arial"/>
          <w:sz w:val="20"/>
          <w:szCs w:val="20"/>
        </w:rPr>
      </w:pPr>
      <w:r w:rsidRPr="00110AE2">
        <w:rPr>
          <w:rFonts w:ascii="Verdana" w:hAnsi="Verdana" w:cs="Arial"/>
          <w:b/>
          <w:sz w:val="20"/>
          <w:szCs w:val="20"/>
        </w:rPr>
        <w:t xml:space="preserve">Tablo </w:t>
      </w:r>
      <w:r w:rsidR="00B44BB3" w:rsidRPr="00110AE2">
        <w:rPr>
          <w:rFonts w:ascii="Verdana" w:hAnsi="Verdana" w:cs="Arial"/>
          <w:b/>
          <w:sz w:val="20"/>
          <w:szCs w:val="20"/>
        </w:rPr>
        <w:t>4</w:t>
      </w:r>
      <w:r w:rsidRPr="00110AE2">
        <w:rPr>
          <w:rFonts w:ascii="Verdana" w:hAnsi="Verdana" w:cs="Arial"/>
          <w:b/>
          <w:sz w:val="20"/>
          <w:szCs w:val="20"/>
        </w:rPr>
        <w:t>:</w:t>
      </w:r>
      <w:r w:rsidRPr="00110AE2">
        <w:rPr>
          <w:rFonts w:ascii="Verdana" w:hAnsi="Verdana" w:cs="Arial"/>
          <w:sz w:val="20"/>
          <w:szCs w:val="20"/>
        </w:rPr>
        <w:t xml:space="preserve"> Banka Kartlarının Toplam Kartlı Ödeme</w:t>
      </w:r>
      <w:r w:rsidR="003B3BF7" w:rsidRPr="00110AE2">
        <w:rPr>
          <w:rFonts w:ascii="Verdana" w:hAnsi="Verdana" w:cs="Arial"/>
          <w:sz w:val="20"/>
          <w:szCs w:val="20"/>
        </w:rPr>
        <w:t>ler</w:t>
      </w:r>
      <w:r w:rsidRPr="00110AE2">
        <w:rPr>
          <w:rFonts w:ascii="Verdana" w:hAnsi="Verdana" w:cs="Arial"/>
          <w:sz w:val="20"/>
          <w:szCs w:val="20"/>
        </w:rPr>
        <w:t xml:space="preserve"> İçindeki Payı</w:t>
      </w:r>
    </w:p>
    <w:tbl>
      <w:tblPr>
        <w:tblW w:w="101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0"/>
        <w:gridCol w:w="2640"/>
        <w:gridCol w:w="2300"/>
      </w:tblGrid>
      <w:tr w:rsidR="003B3BF7" w:rsidRPr="00110AE2" w14:paraId="342CD7EC" w14:textId="77777777" w:rsidTr="003B3BF7">
        <w:trPr>
          <w:trHeight w:val="315"/>
        </w:trPr>
        <w:tc>
          <w:tcPr>
            <w:tcW w:w="5180" w:type="dxa"/>
            <w:tcBorders>
              <w:top w:val="single" w:sz="8" w:space="0" w:color="7BA0CD"/>
              <w:left w:val="single" w:sz="4" w:space="0" w:color="8DB4E2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166DCD4F" w14:textId="77777777" w:rsidR="003B3BF7" w:rsidRPr="00110AE2" w:rsidRDefault="003B3BF7" w:rsidP="00110AE2">
            <w:pPr>
              <w:spacing w:after="0" w:line="36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Kartlı Ödemelerde Banka Kartı Payı</w:t>
            </w:r>
          </w:p>
        </w:tc>
        <w:tc>
          <w:tcPr>
            <w:tcW w:w="264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0D6A17EF" w14:textId="77777777" w:rsidR="003B3BF7" w:rsidRPr="00110AE2" w:rsidRDefault="003B3BF7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2015 Ocak - Kasım</w:t>
            </w:r>
          </w:p>
        </w:tc>
        <w:tc>
          <w:tcPr>
            <w:tcW w:w="230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3A24E332" w14:textId="77777777" w:rsidR="003B3BF7" w:rsidRPr="00110AE2" w:rsidRDefault="003B3BF7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2016 Ocak - Kasım</w:t>
            </w:r>
          </w:p>
        </w:tc>
      </w:tr>
      <w:tr w:rsidR="003B3BF7" w:rsidRPr="00110AE2" w14:paraId="4D96D26D" w14:textId="77777777" w:rsidTr="003B3BF7">
        <w:trPr>
          <w:trHeight w:val="315"/>
        </w:trPr>
        <w:tc>
          <w:tcPr>
            <w:tcW w:w="518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37643BA5" w14:textId="77777777" w:rsidR="003B3BF7" w:rsidRPr="00110AE2" w:rsidRDefault="003B3BF7" w:rsidP="00110AE2">
            <w:pPr>
              <w:spacing w:after="0"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 xml:space="preserve">Kartlı Ödeme Adedi İçindeki Payı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1B510AA7" w14:textId="77777777" w:rsidR="003B3BF7" w:rsidRPr="00110AE2" w:rsidRDefault="006F122D" w:rsidP="006F122D">
            <w:pPr>
              <w:spacing w:after="0"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 w:rsidR="003B3BF7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0F1256C1" w14:textId="77777777" w:rsidR="003B3BF7" w:rsidRPr="00110AE2" w:rsidRDefault="006F122D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26</w:t>
            </w:r>
          </w:p>
        </w:tc>
      </w:tr>
      <w:tr w:rsidR="003B3BF7" w:rsidRPr="00110AE2" w14:paraId="76699DFE" w14:textId="77777777" w:rsidTr="003B3BF7">
        <w:trPr>
          <w:trHeight w:val="315"/>
        </w:trPr>
        <w:tc>
          <w:tcPr>
            <w:tcW w:w="518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2E136ECC" w14:textId="77777777" w:rsidR="003B3BF7" w:rsidRPr="00110AE2" w:rsidRDefault="003B3BF7" w:rsidP="00110AE2">
            <w:pPr>
              <w:spacing w:after="0"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 xml:space="preserve">Kartlı Ödeme Tutarı İçindeki Payı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3A8E61B9" w14:textId="77777777" w:rsidR="003B3BF7" w:rsidRPr="00110AE2" w:rsidRDefault="006F122D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0347D957" w14:textId="77777777" w:rsidR="003B3BF7" w:rsidRPr="00110AE2" w:rsidRDefault="006F122D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9</w:t>
            </w:r>
          </w:p>
        </w:tc>
      </w:tr>
    </w:tbl>
    <w:p w14:paraId="4CDF0CBD" w14:textId="77777777" w:rsidR="003B3BF7" w:rsidRDefault="003B3BF7" w:rsidP="00110AE2">
      <w:pPr>
        <w:spacing w:line="360" w:lineRule="auto"/>
        <w:rPr>
          <w:rFonts w:ascii="Verdana" w:hAnsi="Verdana" w:cs="Arial"/>
          <w:b/>
          <w:sz w:val="20"/>
          <w:szCs w:val="20"/>
        </w:rPr>
      </w:pPr>
    </w:p>
    <w:p w14:paraId="791D2A8E" w14:textId="77777777" w:rsidR="005E5B03" w:rsidRDefault="005E5B03" w:rsidP="00110AE2">
      <w:pPr>
        <w:spacing w:line="360" w:lineRule="auto"/>
        <w:rPr>
          <w:rFonts w:ascii="Verdana" w:hAnsi="Verdana" w:cs="Arial"/>
          <w:b/>
          <w:sz w:val="20"/>
          <w:szCs w:val="20"/>
        </w:rPr>
      </w:pPr>
    </w:p>
    <w:p w14:paraId="48013624" w14:textId="77777777" w:rsidR="005B7C18" w:rsidRDefault="005B7C18" w:rsidP="00110AE2">
      <w:pPr>
        <w:spacing w:before="360" w:after="120" w:line="360" w:lineRule="auto"/>
        <w:jc w:val="both"/>
        <w:rPr>
          <w:rFonts w:ascii="Verdana" w:hAnsi="Verdana" w:cs="Arial"/>
          <w:b/>
          <w:sz w:val="20"/>
          <w:szCs w:val="20"/>
        </w:rPr>
      </w:pPr>
    </w:p>
    <w:p w14:paraId="23F89BFC" w14:textId="1784FC37" w:rsidR="00887BE9" w:rsidRPr="00110AE2" w:rsidRDefault="006F122D" w:rsidP="00110AE2">
      <w:pPr>
        <w:spacing w:before="360" w:after="120" w:line="360" w:lineRule="auto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lastRenderedPageBreak/>
        <w:t xml:space="preserve">Tutar düştükçe banka kartıyla ödeme oranı artıyor </w:t>
      </w:r>
    </w:p>
    <w:p w14:paraId="1384C68D" w14:textId="77777777" w:rsidR="00233162" w:rsidRDefault="00887BE9" w:rsidP="00110AE2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110AE2">
        <w:rPr>
          <w:rFonts w:ascii="Verdana" w:hAnsi="Verdana" w:cs="Arial"/>
          <w:sz w:val="20"/>
          <w:szCs w:val="20"/>
        </w:rPr>
        <w:t xml:space="preserve">BKM verilerine göre ödenecek tutar düştükçe banka kartlarının kullanılma oranı daha </w:t>
      </w:r>
      <w:r w:rsidR="000C6165" w:rsidRPr="00110AE2">
        <w:rPr>
          <w:rFonts w:ascii="Verdana" w:hAnsi="Verdana" w:cs="Arial"/>
          <w:sz w:val="20"/>
          <w:szCs w:val="20"/>
        </w:rPr>
        <w:t xml:space="preserve">da </w:t>
      </w:r>
      <w:r w:rsidRPr="00110AE2">
        <w:rPr>
          <w:rFonts w:ascii="Verdana" w:hAnsi="Verdana" w:cs="Arial"/>
          <w:sz w:val="20"/>
          <w:szCs w:val="20"/>
        </w:rPr>
        <w:t>artıyor. 201</w:t>
      </w:r>
      <w:r w:rsidR="00684A59" w:rsidRPr="00110AE2">
        <w:rPr>
          <w:rFonts w:ascii="Verdana" w:hAnsi="Verdana" w:cs="Arial"/>
          <w:sz w:val="20"/>
          <w:szCs w:val="20"/>
        </w:rPr>
        <w:t>6</w:t>
      </w:r>
      <w:r w:rsidRPr="00110AE2">
        <w:rPr>
          <w:rFonts w:ascii="Verdana" w:hAnsi="Verdana" w:cs="Arial"/>
          <w:sz w:val="20"/>
          <w:szCs w:val="20"/>
        </w:rPr>
        <w:t xml:space="preserve"> yılının ilk </w:t>
      </w:r>
      <w:r w:rsidR="00684A59" w:rsidRPr="00110AE2">
        <w:rPr>
          <w:rFonts w:ascii="Verdana" w:hAnsi="Verdana" w:cs="Arial"/>
          <w:sz w:val="20"/>
          <w:szCs w:val="20"/>
        </w:rPr>
        <w:t>11</w:t>
      </w:r>
      <w:r w:rsidRPr="00110AE2">
        <w:rPr>
          <w:rFonts w:ascii="Verdana" w:hAnsi="Verdana" w:cs="Arial"/>
          <w:sz w:val="20"/>
          <w:szCs w:val="20"/>
        </w:rPr>
        <w:t xml:space="preserve"> ayında 50 TL üzerindeki </w:t>
      </w:r>
      <w:r w:rsidR="00D65703" w:rsidRPr="00110AE2">
        <w:rPr>
          <w:rFonts w:ascii="Verdana" w:hAnsi="Verdana" w:cs="Arial"/>
          <w:sz w:val="20"/>
          <w:szCs w:val="20"/>
        </w:rPr>
        <w:t xml:space="preserve">kartlı ödeme </w:t>
      </w:r>
      <w:r w:rsidRPr="00110AE2">
        <w:rPr>
          <w:rFonts w:ascii="Verdana" w:hAnsi="Verdana" w:cs="Arial"/>
          <w:sz w:val="20"/>
          <w:szCs w:val="20"/>
        </w:rPr>
        <w:t>işlemler</w:t>
      </w:r>
      <w:r w:rsidR="00D65703" w:rsidRPr="00110AE2">
        <w:rPr>
          <w:rFonts w:ascii="Verdana" w:hAnsi="Verdana" w:cs="Arial"/>
          <w:sz w:val="20"/>
          <w:szCs w:val="20"/>
        </w:rPr>
        <w:t>in</w:t>
      </w:r>
      <w:r w:rsidRPr="00110AE2">
        <w:rPr>
          <w:rFonts w:ascii="Verdana" w:hAnsi="Verdana" w:cs="Arial"/>
          <w:sz w:val="20"/>
          <w:szCs w:val="20"/>
        </w:rPr>
        <w:t>de banka kart</w:t>
      </w:r>
      <w:r w:rsidR="00D65703" w:rsidRPr="00110AE2">
        <w:rPr>
          <w:rFonts w:ascii="Verdana" w:hAnsi="Verdana" w:cs="Arial"/>
          <w:sz w:val="20"/>
          <w:szCs w:val="20"/>
        </w:rPr>
        <w:t>ı</w:t>
      </w:r>
      <w:r w:rsidRPr="00110AE2">
        <w:rPr>
          <w:rFonts w:ascii="Verdana" w:hAnsi="Verdana" w:cs="Arial"/>
          <w:sz w:val="20"/>
          <w:szCs w:val="20"/>
        </w:rPr>
        <w:t xml:space="preserve"> kullanım oranı sadece </w:t>
      </w:r>
      <w:r w:rsidR="00684A59" w:rsidRPr="00110AE2">
        <w:rPr>
          <w:rFonts w:ascii="Verdana" w:hAnsi="Verdana" w:cs="Arial"/>
          <w:sz w:val="20"/>
          <w:szCs w:val="20"/>
        </w:rPr>
        <w:t>%</w:t>
      </w:r>
      <w:r w:rsidRPr="00110AE2">
        <w:rPr>
          <w:rFonts w:ascii="Verdana" w:hAnsi="Verdana" w:cs="Arial"/>
          <w:sz w:val="20"/>
          <w:szCs w:val="20"/>
        </w:rPr>
        <w:t>1</w:t>
      </w:r>
      <w:r w:rsidR="00684A59" w:rsidRPr="00110AE2">
        <w:rPr>
          <w:rFonts w:ascii="Verdana" w:hAnsi="Verdana" w:cs="Arial"/>
          <w:sz w:val="20"/>
          <w:szCs w:val="20"/>
        </w:rPr>
        <w:t>4</w:t>
      </w:r>
      <w:r w:rsidRPr="00110AE2">
        <w:rPr>
          <w:rFonts w:ascii="Verdana" w:hAnsi="Verdana" w:cs="Arial"/>
          <w:sz w:val="20"/>
          <w:szCs w:val="20"/>
        </w:rPr>
        <w:t xml:space="preserve"> olurken, </w:t>
      </w:r>
      <w:r w:rsidR="008A7AF1" w:rsidRPr="00110AE2">
        <w:rPr>
          <w:rFonts w:ascii="Verdana" w:hAnsi="Verdana" w:cs="Arial"/>
          <w:sz w:val="20"/>
          <w:szCs w:val="20"/>
        </w:rPr>
        <w:t>20</w:t>
      </w:r>
      <w:r w:rsidR="00684A59" w:rsidRPr="00110AE2">
        <w:rPr>
          <w:rFonts w:ascii="Verdana" w:hAnsi="Verdana" w:cs="Arial"/>
          <w:sz w:val="20"/>
          <w:szCs w:val="20"/>
        </w:rPr>
        <w:t xml:space="preserve">-50 TL arası ödemelerde </w:t>
      </w:r>
      <w:r w:rsidR="00D65703" w:rsidRPr="00110AE2">
        <w:rPr>
          <w:rFonts w:ascii="Verdana" w:hAnsi="Verdana" w:cs="Arial"/>
          <w:sz w:val="20"/>
          <w:szCs w:val="20"/>
        </w:rPr>
        <w:t xml:space="preserve">banka kartı kullanım oranı </w:t>
      </w:r>
      <w:r w:rsidR="00684A59" w:rsidRPr="00110AE2">
        <w:rPr>
          <w:rFonts w:ascii="Verdana" w:hAnsi="Verdana" w:cs="Arial"/>
          <w:sz w:val="20"/>
          <w:szCs w:val="20"/>
        </w:rPr>
        <w:t>%22’ye</w:t>
      </w:r>
      <w:r w:rsidR="008A7AF1" w:rsidRPr="00110AE2">
        <w:rPr>
          <w:rFonts w:ascii="Verdana" w:hAnsi="Verdana" w:cs="Arial"/>
          <w:sz w:val="20"/>
          <w:szCs w:val="20"/>
        </w:rPr>
        <w:t>,</w:t>
      </w:r>
      <w:r w:rsidR="006F122D">
        <w:rPr>
          <w:rFonts w:ascii="Verdana" w:hAnsi="Verdana" w:cs="Arial"/>
          <w:sz w:val="20"/>
          <w:szCs w:val="20"/>
        </w:rPr>
        <w:t xml:space="preserve"> </w:t>
      </w:r>
      <w:r w:rsidR="00684A59" w:rsidRPr="00110AE2">
        <w:rPr>
          <w:rFonts w:ascii="Verdana" w:hAnsi="Verdana" w:cs="Arial"/>
          <w:sz w:val="20"/>
          <w:szCs w:val="20"/>
        </w:rPr>
        <w:t>10-20 TL arası ödemelerde ise banka kartı kullanım oranı %32’ye kadar yükseliyor. 10</w:t>
      </w:r>
      <w:r w:rsidRPr="00110AE2">
        <w:rPr>
          <w:rFonts w:ascii="Verdana" w:hAnsi="Verdana" w:cs="Arial"/>
          <w:sz w:val="20"/>
          <w:szCs w:val="20"/>
        </w:rPr>
        <w:t xml:space="preserve"> TL ve altındaki mikro ödemelerde</w:t>
      </w:r>
      <w:r w:rsidR="00684A59" w:rsidRPr="00110AE2">
        <w:rPr>
          <w:rFonts w:ascii="Verdana" w:hAnsi="Verdana" w:cs="Arial"/>
          <w:sz w:val="20"/>
          <w:szCs w:val="20"/>
        </w:rPr>
        <w:t xml:space="preserve"> ise</w:t>
      </w:r>
      <w:r w:rsidRPr="00110AE2">
        <w:rPr>
          <w:rFonts w:ascii="Verdana" w:hAnsi="Verdana" w:cs="Arial"/>
          <w:sz w:val="20"/>
          <w:szCs w:val="20"/>
        </w:rPr>
        <w:t xml:space="preserve"> bu oran yüzde </w:t>
      </w:r>
      <w:r w:rsidR="00684A59" w:rsidRPr="00110AE2">
        <w:rPr>
          <w:rFonts w:ascii="Verdana" w:hAnsi="Verdana" w:cs="Arial"/>
          <w:sz w:val="20"/>
          <w:szCs w:val="20"/>
        </w:rPr>
        <w:t>49</w:t>
      </w:r>
      <w:r w:rsidRPr="00110AE2">
        <w:rPr>
          <w:rFonts w:ascii="Verdana" w:hAnsi="Verdana" w:cs="Arial"/>
          <w:sz w:val="20"/>
          <w:szCs w:val="20"/>
        </w:rPr>
        <w:t>’</w:t>
      </w:r>
      <w:r w:rsidR="00684A59" w:rsidRPr="00110AE2">
        <w:rPr>
          <w:rFonts w:ascii="Verdana" w:hAnsi="Verdana" w:cs="Arial"/>
          <w:sz w:val="20"/>
          <w:szCs w:val="20"/>
        </w:rPr>
        <w:t>a kadar çıkıyor, yani</w:t>
      </w:r>
      <w:r w:rsidR="000C6165" w:rsidRPr="00110AE2">
        <w:rPr>
          <w:rFonts w:ascii="Verdana" w:hAnsi="Verdana" w:cs="Arial"/>
          <w:sz w:val="20"/>
          <w:szCs w:val="20"/>
        </w:rPr>
        <w:t xml:space="preserve"> 10 TL ve altı</w:t>
      </w:r>
      <w:r w:rsidR="006F122D">
        <w:rPr>
          <w:rFonts w:ascii="Verdana" w:hAnsi="Verdana" w:cs="Arial"/>
          <w:sz w:val="20"/>
          <w:szCs w:val="20"/>
        </w:rPr>
        <w:t xml:space="preserve"> her iki kartlı ödemeden biri</w:t>
      </w:r>
      <w:r w:rsidR="008A7AF1" w:rsidRPr="00110AE2">
        <w:rPr>
          <w:rFonts w:ascii="Verdana" w:hAnsi="Verdana" w:cs="Arial"/>
          <w:sz w:val="20"/>
          <w:szCs w:val="20"/>
        </w:rPr>
        <w:t xml:space="preserve"> banka kartlar</w:t>
      </w:r>
      <w:r w:rsidR="00684A59" w:rsidRPr="00110AE2">
        <w:rPr>
          <w:rFonts w:ascii="Verdana" w:hAnsi="Verdana" w:cs="Arial"/>
          <w:sz w:val="20"/>
          <w:szCs w:val="20"/>
        </w:rPr>
        <w:t>ıyla gerçekleşiyor.</w:t>
      </w:r>
    </w:p>
    <w:p w14:paraId="7975E4A6" w14:textId="77777777" w:rsidR="00C97827" w:rsidRDefault="00C97827" w:rsidP="00110AE2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67C1C4F2" w14:textId="77777777" w:rsidR="00D6492B" w:rsidRPr="00110AE2" w:rsidRDefault="00887BE9" w:rsidP="00110AE2">
      <w:pPr>
        <w:spacing w:line="360" w:lineRule="auto"/>
        <w:jc w:val="center"/>
        <w:rPr>
          <w:rFonts w:ascii="Verdana" w:hAnsi="Verdana" w:cs="Arial"/>
          <w:sz w:val="20"/>
          <w:szCs w:val="20"/>
        </w:rPr>
      </w:pPr>
      <w:r w:rsidRPr="00110AE2">
        <w:rPr>
          <w:rFonts w:ascii="Verdana" w:hAnsi="Verdana" w:cs="Arial"/>
          <w:b/>
          <w:sz w:val="20"/>
          <w:szCs w:val="20"/>
        </w:rPr>
        <w:t xml:space="preserve">Tablo </w:t>
      </w:r>
      <w:r w:rsidR="00B44BB3" w:rsidRPr="00110AE2">
        <w:rPr>
          <w:rFonts w:ascii="Verdana" w:hAnsi="Verdana" w:cs="Arial"/>
          <w:b/>
          <w:sz w:val="20"/>
          <w:szCs w:val="20"/>
        </w:rPr>
        <w:t>5</w:t>
      </w:r>
      <w:r w:rsidRPr="00110AE2">
        <w:rPr>
          <w:rFonts w:ascii="Verdana" w:hAnsi="Verdana" w:cs="Arial"/>
          <w:b/>
          <w:sz w:val="20"/>
          <w:szCs w:val="20"/>
        </w:rPr>
        <w:t>:</w:t>
      </w:r>
      <w:r w:rsidRPr="00110AE2">
        <w:rPr>
          <w:rFonts w:ascii="Verdana" w:hAnsi="Verdana" w:cs="Arial"/>
          <w:sz w:val="20"/>
          <w:szCs w:val="20"/>
        </w:rPr>
        <w:t xml:space="preserve"> İşlem Tutarı Bazında Banka Kartlarının Ödeme Adedi İçindeki Payı</w:t>
      </w:r>
    </w:p>
    <w:tbl>
      <w:tblPr>
        <w:tblW w:w="8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0"/>
        <w:gridCol w:w="4260"/>
      </w:tblGrid>
      <w:tr w:rsidR="00F37225" w:rsidRPr="00110AE2" w14:paraId="7D8C472D" w14:textId="77777777" w:rsidTr="00F37225">
        <w:trPr>
          <w:trHeight w:val="615"/>
          <w:jc w:val="center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5AD3" w14:textId="77777777" w:rsidR="00F37225" w:rsidRPr="00110AE2" w:rsidRDefault="00F37225" w:rsidP="00110AE2">
            <w:pPr>
              <w:spacing w:after="0" w:line="360" w:lineRule="auto"/>
              <w:rPr>
                <w:rFonts w:ascii="Verdana" w:eastAsia="Times New Roman" w:hAnsi="Verdana"/>
                <w:sz w:val="20"/>
                <w:szCs w:val="20"/>
                <w:lang w:eastAsia="tr-TR"/>
              </w:rPr>
            </w:pPr>
          </w:p>
        </w:tc>
        <w:tc>
          <w:tcPr>
            <w:tcW w:w="4260" w:type="dxa"/>
            <w:tcBorders>
              <w:top w:val="single" w:sz="8" w:space="0" w:color="7BA0CD"/>
              <w:left w:val="single" w:sz="4" w:space="0" w:color="8DB4E2"/>
              <w:bottom w:val="single" w:sz="8" w:space="0" w:color="7BA0CD"/>
              <w:right w:val="single" w:sz="8" w:space="0" w:color="7BA0CD"/>
            </w:tcBorders>
            <w:shd w:val="clear" w:color="000000" w:fill="D3DFEE"/>
            <w:vAlign w:val="center"/>
            <w:hideMark/>
          </w:tcPr>
          <w:p w14:paraId="0881FB24" w14:textId="77777777" w:rsidR="00F37225" w:rsidRPr="00110AE2" w:rsidRDefault="00F37225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 xml:space="preserve">İşlem Tutarı Bazında Banka Kartlarının </w:t>
            </w:r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br/>
              <w:t>Ödeme Adedi İçindeki Payı</w:t>
            </w:r>
          </w:p>
        </w:tc>
      </w:tr>
      <w:tr w:rsidR="00F37225" w:rsidRPr="00110AE2" w14:paraId="7360E03A" w14:textId="77777777" w:rsidTr="00F37225">
        <w:trPr>
          <w:trHeight w:val="315"/>
          <w:jc w:val="center"/>
        </w:trPr>
        <w:tc>
          <w:tcPr>
            <w:tcW w:w="394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099384E8" w14:textId="77777777" w:rsidR="00F37225" w:rsidRPr="00110AE2" w:rsidRDefault="00F37225" w:rsidP="00110AE2">
            <w:pPr>
              <w:spacing w:after="0" w:line="36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0-10 TL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7B5E7FFC" w14:textId="77777777" w:rsidR="00F37225" w:rsidRPr="00110AE2" w:rsidRDefault="006F122D" w:rsidP="006F122D">
            <w:pPr>
              <w:spacing w:after="0"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 w:rsidR="00F37225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49</w:t>
            </w:r>
          </w:p>
        </w:tc>
      </w:tr>
      <w:tr w:rsidR="00F37225" w:rsidRPr="00110AE2" w14:paraId="5CAB5B94" w14:textId="77777777" w:rsidTr="00F37225">
        <w:trPr>
          <w:trHeight w:val="315"/>
          <w:jc w:val="center"/>
        </w:trPr>
        <w:tc>
          <w:tcPr>
            <w:tcW w:w="394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668710AC" w14:textId="77777777" w:rsidR="00F37225" w:rsidRPr="00110AE2" w:rsidRDefault="00F37225" w:rsidP="00110AE2">
            <w:pPr>
              <w:spacing w:after="0" w:line="36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10-20 TL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66977D36" w14:textId="77777777" w:rsidR="00F37225" w:rsidRPr="00110AE2" w:rsidRDefault="006F122D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32</w:t>
            </w:r>
          </w:p>
        </w:tc>
      </w:tr>
      <w:tr w:rsidR="00F37225" w:rsidRPr="00110AE2" w14:paraId="40191AED" w14:textId="77777777" w:rsidTr="00F37225">
        <w:trPr>
          <w:trHeight w:val="315"/>
          <w:jc w:val="center"/>
        </w:trPr>
        <w:tc>
          <w:tcPr>
            <w:tcW w:w="394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34E52A3D" w14:textId="77777777" w:rsidR="00F37225" w:rsidRPr="00110AE2" w:rsidRDefault="00F37225" w:rsidP="00110AE2">
            <w:pPr>
              <w:spacing w:after="0" w:line="36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20-50 TL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A7BFDE"/>
            <w:noWrap/>
            <w:vAlign w:val="center"/>
            <w:hideMark/>
          </w:tcPr>
          <w:p w14:paraId="56922819" w14:textId="77777777" w:rsidR="00F37225" w:rsidRPr="00110AE2" w:rsidRDefault="006F122D" w:rsidP="00110AE2">
            <w:pPr>
              <w:spacing w:after="0"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 w:rsidR="00F37225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23</w:t>
            </w:r>
          </w:p>
        </w:tc>
      </w:tr>
      <w:tr w:rsidR="00F37225" w:rsidRPr="00110AE2" w14:paraId="630E2FFD" w14:textId="77777777" w:rsidTr="00F37225">
        <w:trPr>
          <w:trHeight w:val="315"/>
          <w:jc w:val="center"/>
        </w:trPr>
        <w:tc>
          <w:tcPr>
            <w:tcW w:w="394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1E2AD9C1" w14:textId="77777777" w:rsidR="00F37225" w:rsidRPr="00110AE2" w:rsidRDefault="00491D68" w:rsidP="00110AE2">
            <w:pPr>
              <w:spacing w:after="0" w:line="36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>50 TL</w:t>
            </w:r>
            <w:r w:rsidR="00F37225" w:rsidRPr="00110AE2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tr-TR"/>
              </w:rPr>
              <w:t xml:space="preserve"> Üzeri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000000" w:fill="D3DFEE"/>
            <w:noWrap/>
            <w:vAlign w:val="center"/>
            <w:hideMark/>
          </w:tcPr>
          <w:p w14:paraId="6CF08AEA" w14:textId="77777777" w:rsidR="00F37225" w:rsidRPr="00110AE2" w:rsidRDefault="006F122D" w:rsidP="006F122D">
            <w:pPr>
              <w:spacing w:after="0"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</w:pPr>
            <w:r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%</w:t>
            </w:r>
            <w:r w:rsidR="00F37225" w:rsidRPr="00110AE2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tr-TR"/>
              </w:rPr>
              <w:t>14</w:t>
            </w:r>
          </w:p>
        </w:tc>
      </w:tr>
    </w:tbl>
    <w:p w14:paraId="3253D5DA" w14:textId="77777777" w:rsidR="00B44BB3" w:rsidRDefault="00B44BB3" w:rsidP="00110AE2">
      <w:pPr>
        <w:spacing w:line="360" w:lineRule="auto"/>
        <w:rPr>
          <w:rFonts w:ascii="Arial" w:hAnsi="Arial" w:cs="Arial"/>
          <w:b/>
        </w:rPr>
      </w:pPr>
    </w:p>
    <w:p w14:paraId="553FD6F9" w14:textId="77777777" w:rsidR="00110AE2" w:rsidRPr="00A3011E" w:rsidRDefault="00110AE2" w:rsidP="00110AE2">
      <w:pPr>
        <w:spacing w:line="360" w:lineRule="auto"/>
        <w:rPr>
          <w:rFonts w:ascii="Arial" w:hAnsi="Arial" w:cs="Arial"/>
          <w:b/>
        </w:rPr>
      </w:pPr>
    </w:p>
    <w:sectPr w:rsidR="00110AE2" w:rsidRPr="00A3011E" w:rsidSect="00EA0C6D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8310BC" w14:textId="77777777" w:rsidR="00F96E56" w:rsidRDefault="00F96E56" w:rsidP="009952EC">
      <w:pPr>
        <w:spacing w:after="0" w:line="240" w:lineRule="auto"/>
      </w:pPr>
      <w:r>
        <w:separator/>
      </w:r>
    </w:p>
  </w:endnote>
  <w:endnote w:type="continuationSeparator" w:id="0">
    <w:p w14:paraId="6A0B2B9D" w14:textId="77777777" w:rsidR="00F96E56" w:rsidRDefault="00F96E56" w:rsidP="00995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</w:rPr>
      <w:id w:val="1497685298"/>
      <w:docPartObj>
        <w:docPartGallery w:val="Page Numbers (Bottom of Page)"/>
        <w:docPartUnique/>
      </w:docPartObj>
    </w:sdtPr>
    <w:sdtEndPr/>
    <w:sdtContent>
      <w:p w14:paraId="2EE8A450" w14:textId="66ECFFC4" w:rsidR="00B27CDB" w:rsidRPr="009952EC" w:rsidRDefault="00B27CDB">
        <w:pPr>
          <w:pStyle w:val="Altbilgi"/>
          <w:jc w:val="center"/>
          <w:rPr>
            <w:rFonts w:ascii="Arial" w:hAnsi="Arial" w:cs="Arial"/>
            <w:sz w:val="20"/>
          </w:rPr>
        </w:pPr>
        <w:r w:rsidRPr="009952EC">
          <w:rPr>
            <w:rFonts w:ascii="Arial" w:hAnsi="Arial" w:cs="Arial"/>
            <w:sz w:val="20"/>
          </w:rPr>
          <w:fldChar w:fldCharType="begin"/>
        </w:r>
        <w:r w:rsidRPr="009952EC">
          <w:rPr>
            <w:rFonts w:ascii="Arial" w:hAnsi="Arial" w:cs="Arial"/>
            <w:sz w:val="20"/>
          </w:rPr>
          <w:instrText>PAGE   \* MERGEFORMAT</w:instrText>
        </w:r>
        <w:r w:rsidRPr="009952EC">
          <w:rPr>
            <w:rFonts w:ascii="Arial" w:hAnsi="Arial" w:cs="Arial"/>
            <w:sz w:val="20"/>
          </w:rPr>
          <w:fldChar w:fldCharType="separate"/>
        </w:r>
        <w:r w:rsidR="00241466">
          <w:rPr>
            <w:rFonts w:ascii="Arial" w:hAnsi="Arial" w:cs="Arial"/>
            <w:noProof/>
            <w:sz w:val="20"/>
          </w:rPr>
          <w:t>3</w:t>
        </w:r>
        <w:r w:rsidRPr="009952EC">
          <w:rPr>
            <w:rFonts w:ascii="Arial" w:hAnsi="Arial" w:cs="Arial"/>
            <w:sz w:val="20"/>
          </w:rPr>
          <w:fldChar w:fldCharType="end"/>
        </w:r>
      </w:p>
    </w:sdtContent>
  </w:sdt>
  <w:p w14:paraId="2DF462A9" w14:textId="77777777" w:rsidR="00B27CDB" w:rsidRDefault="00B27CDB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71DCC" w14:textId="77777777" w:rsidR="00F96E56" w:rsidRDefault="00F96E56" w:rsidP="009952EC">
      <w:pPr>
        <w:spacing w:after="0" w:line="240" w:lineRule="auto"/>
      </w:pPr>
      <w:r>
        <w:separator/>
      </w:r>
    </w:p>
  </w:footnote>
  <w:footnote w:type="continuationSeparator" w:id="0">
    <w:p w14:paraId="05C6E732" w14:textId="77777777" w:rsidR="00F96E56" w:rsidRDefault="00F96E56" w:rsidP="009952EC">
      <w:pPr>
        <w:spacing w:after="0" w:line="240" w:lineRule="auto"/>
      </w:pPr>
      <w:r>
        <w:continuationSeparator/>
      </w:r>
    </w:p>
  </w:footnote>
  <w:footnote w:id="1">
    <w:p w14:paraId="5D62E0D8" w14:textId="3C533127" w:rsidR="005E5B03" w:rsidRPr="005B2C33" w:rsidRDefault="005E5B03">
      <w:pPr>
        <w:pStyle w:val="DipnotMetni"/>
        <w:rPr>
          <w:sz w:val="14"/>
          <w:szCs w:val="14"/>
        </w:rPr>
      </w:pPr>
      <w:r w:rsidRPr="005B2C33">
        <w:rPr>
          <w:rStyle w:val="DipnotBavurusu"/>
          <w:sz w:val="14"/>
          <w:szCs w:val="14"/>
        </w:rPr>
        <w:footnoteRef/>
      </w:r>
      <w:r w:rsidRPr="005B2C33">
        <w:rPr>
          <w:sz w:val="14"/>
          <w:szCs w:val="14"/>
        </w:rPr>
        <w:t xml:space="preserve"> </w:t>
      </w:r>
      <w:r w:rsidRPr="005B2C33">
        <w:rPr>
          <w:rFonts w:ascii="Verdana" w:hAnsi="Verdana" w:cs="Arial"/>
          <w:sz w:val="14"/>
          <w:szCs w:val="14"/>
        </w:rPr>
        <w:t>Türkiye İstatistik Kurumu’nun (TÜİK) yeni hesaplama yöntemiyle açıkladığı verilere göre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3FF79" w14:textId="77777777" w:rsidR="00B27CDB" w:rsidRPr="009952EC" w:rsidRDefault="00B27CDB" w:rsidP="00110AE2">
    <w:pPr>
      <w:pStyle w:val="stbilgi"/>
      <w:jc w:val="center"/>
    </w:pPr>
    <w:r>
      <w:rPr>
        <w:noProof/>
        <w:lang w:eastAsia="tr-TR"/>
      </w:rPr>
      <w:drawing>
        <wp:inline distT="0" distB="0" distL="0" distR="0" wp14:anchorId="351253CF" wp14:editId="1B25FBB3">
          <wp:extent cx="1414800" cy="10620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KM açılımı alt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800" cy="10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12"/>
    <w:rsid w:val="00001C3B"/>
    <w:rsid w:val="0000551F"/>
    <w:rsid w:val="0000749C"/>
    <w:rsid w:val="0002539F"/>
    <w:rsid w:val="00027E8A"/>
    <w:rsid w:val="00031D02"/>
    <w:rsid w:val="00053B70"/>
    <w:rsid w:val="000559B3"/>
    <w:rsid w:val="00056C9A"/>
    <w:rsid w:val="00062E80"/>
    <w:rsid w:val="00064AE8"/>
    <w:rsid w:val="0007054E"/>
    <w:rsid w:val="00070C4B"/>
    <w:rsid w:val="000727E7"/>
    <w:rsid w:val="00073376"/>
    <w:rsid w:val="00074146"/>
    <w:rsid w:val="00074A95"/>
    <w:rsid w:val="000776F8"/>
    <w:rsid w:val="00082B33"/>
    <w:rsid w:val="00083BD4"/>
    <w:rsid w:val="00086848"/>
    <w:rsid w:val="00087A77"/>
    <w:rsid w:val="00090EA8"/>
    <w:rsid w:val="00093E57"/>
    <w:rsid w:val="000948F0"/>
    <w:rsid w:val="000B275D"/>
    <w:rsid w:val="000B3612"/>
    <w:rsid w:val="000B7164"/>
    <w:rsid w:val="000C39B7"/>
    <w:rsid w:val="000C6165"/>
    <w:rsid w:val="000D226D"/>
    <w:rsid w:val="000D2787"/>
    <w:rsid w:val="000E5145"/>
    <w:rsid w:val="000F36D5"/>
    <w:rsid w:val="00102895"/>
    <w:rsid w:val="0010307C"/>
    <w:rsid w:val="0010760C"/>
    <w:rsid w:val="00110AE2"/>
    <w:rsid w:val="00113B5C"/>
    <w:rsid w:val="00114B52"/>
    <w:rsid w:val="0011642F"/>
    <w:rsid w:val="0012396D"/>
    <w:rsid w:val="00127B0C"/>
    <w:rsid w:val="001325CA"/>
    <w:rsid w:val="00136CFA"/>
    <w:rsid w:val="00140327"/>
    <w:rsid w:val="001462E5"/>
    <w:rsid w:val="00146B81"/>
    <w:rsid w:val="001513A0"/>
    <w:rsid w:val="00151A33"/>
    <w:rsid w:val="001527E9"/>
    <w:rsid w:val="00160549"/>
    <w:rsid w:val="00166552"/>
    <w:rsid w:val="0016692B"/>
    <w:rsid w:val="00167F68"/>
    <w:rsid w:val="00174A8A"/>
    <w:rsid w:val="00183A53"/>
    <w:rsid w:val="001840B0"/>
    <w:rsid w:val="001841BB"/>
    <w:rsid w:val="00191C39"/>
    <w:rsid w:val="00195828"/>
    <w:rsid w:val="0019642B"/>
    <w:rsid w:val="001A1475"/>
    <w:rsid w:val="001A308B"/>
    <w:rsid w:val="001B2E89"/>
    <w:rsid w:val="001B2EC6"/>
    <w:rsid w:val="001B5FCF"/>
    <w:rsid w:val="001C3EB7"/>
    <w:rsid w:val="001D1FE7"/>
    <w:rsid w:val="001D631F"/>
    <w:rsid w:val="001E41A7"/>
    <w:rsid w:val="001E50A2"/>
    <w:rsid w:val="001E5304"/>
    <w:rsid w:val="002024F5"/>
    <w:rsid w:val="0020326A"/>
    <w:rsid w:val="0020499C"/>
    <w:rsid w:val="00205325"/>
    <w:rsid w:val="002063E4"/>
    <w:rsid w:val="002113F1"/>
    <w:rsid w:val="00212520"/>
    <w:rsid w:val="00212861"/>
    <w:rsid w:val="00212B02"/>
    <w:rsid w:val="00212B41"/>
    <w:rsid w:val="00214943"/>
    <w:rsid w:val="00216F47"/>
    <w:rsid w:val="00226A83"/>
    <w:rsid w:val="00226F9C"/>
    <w:rsid w:val="00233162"/>
    <w:rsid w:val="00234DE5"/>
    <w:rsid w:val="00241466"/>
    <w:rsid w:val="00244785"/>
    <w:rsid w:val="0025048E"/>
    <w:rsid w:val="00252327"/>
    <w:rsid w:val="00255900"/>
    <w:rsid w:val="00261F94"/>
    <w:rsid w:val="002646DB"/>
    <w:rsid w:val="00265CC9"/>
    <w:rsid w:val="00266E57"/>
    <w:rsid w:val="00273479"/>
    <w:rsid w:val="00276C01"/>
    <w:rsid w:val="0028330F"/>
    <w:rsid w:val="002837EB"/>
    <w:rsid w:val="002A3A48"/>
    <w:rsid w:val="002A5D40"/>
    <w:rsid w:val="002B0CB5"/>
    <w:rsid w:val="002B3583"/>
    <w:rsid w:val="002C1B44"/>
    <w:rsid w:val="002C5D4E"/>
    <w:rsid w:val="002D5291"/>
    <w:rsid w:val="002D7035"/>
    <w:rsid w:val="002D73BE"/>
    <w:rsid w:val="002E0B2B"/>
    <w:rsid w:val="002E0CAB"/>
    <w:rsid w:val="002E1CD7"/>
    <w:rsid w:val="002E255B"/>
    <w:rsid w:val="002E69A0"/>
    <w:rsid w:val="002E722F"/>
    <w:rsid w:val="002F7BE1"/>
    <w:rsid w:val="00302AEC"/>
    <w:rsid w:val="00304D71"/>
    <w:rsid w:val="00305ACC"/>
    <w:rsid w:val="003108FB"/>
    <w:rsid w:val="00312373"/>
    <w:rsid w:val="003126FD"/>
    <w:rsid w:val="003146A9"/>
    <w:rsid w:val="00316F12"/>
    <w:rsid w:val="003213A0"/>
    <w:rsid w:val="00322D29"/>
    <w:rsid w:val="0032497B"/>
    <w:rsid w:val="00324D67"/>
    <w:rsid w:val="00325289"/>
    <w:rsid w:val="00331E46"/>
    <w:rsid w:val="003327E9"/>
    <w:rsid w:val="00337825"/>
    <w:rsid w:val="003630D1"/>
    <w:rsid w:val="00364E31"/>
    <w:rsid w:val="00374411"/>
    <w:rsid w:val="00377E86"/>
    <w:rsid w:val="003812EC"/>
    <w:rsid w:val="003833E7"/>
    <w:rsid w:val="0038439C"/>
    <w:rsid w:val="00392B27"/>
    <w:rsid w:val="00395E55"/>
    <w:rsid w:val="003A0681"/>
    <w:rsid w:val="003B288F"/>
    <w:rsid w:val="003B3BF7"/>
    <w:rsid w:val="003B49B4"/>
    <w:rsid w:val="003D14D9"/>
    <w:rsid w:val="003D39D3"/>
    <w:rsid w:val="003E0BCA"/>
    <w:rsid w:val="003E1A63"/>
    <w:rsid w:val="003E1F23"/>
    <w:rsid w:val="003F624B"/>
    <w:rsid w:val="00401B70"/>
    <w:rsid w:val="0040406B"/>
    <w:rsid w:val="00404955"/>
    <w:rsid w:val="00407029"/>
    <w:rsid w:val="004111D0"/>
    <w:rsid w:val="00411363"/>
    <w:rsid w:val="00413678"/>
    <w:rsid w:val="0041465A"/>
    <w:rsid w:val="00424956"/>
    <w:rsid w:val="004318A5"/>
    <w:rsid w:val="00433A62"/>
    <w:rsid w:val="00433C61"/>
    <w:rsid w:val="00437741"/>
    <w:rsid w:val="0044179B"/>
    <w:rsid w:val="00442075"/>
    <w:rsid w:val="00446C7F"/>
    <w:rsid w:val="004475C9"/>
    <w:rsid w:val="00453E6A"/>
    <w:rsid w:val="0045588B"/>
    <w:rsid w:val="004613FD"/>
    <w:rsid w:val="0047397D"/>
    <w:rsid w:val="00473A01"/>
    <w:rsid w:val="0047409A"/>
    <w:rsid w:val="00474948"/>
    <w:rsid w:val="00477112"/>
    <w:rsid w:val="0047794B"/>
    <w:rsid w:val="00483C53"/>
    <w:rsid w:val="00486460"/>
    <w:rsid w:val="00487318"/>
    <w:rsid w:val="00491D68"/>
    <w:rsid w:val="004A45EF"/>
    <w:rsid w:val="004B0254"/>
    <w:rsid w:val="004B4617"/>
    <w:rsid w:val="004C1431"/>
    <w:rsid w:val="004C17BC"/>
    <w:rsid w:val="004C4A11"/>
    <w:rsid w:val="004C74EC"/>
    <w:rsid w:val="004D021D"/>
    <w:rsid w:val="004D7C70"/>
    <w:rsid w:val="004D7DF6"/>
    <w:rsid w:val="004E080B"/>
    <w:rsid w:val="004E27E3"/>
    <w:rsid w:val="004F76D2"/>
    <w:rsid w:val="00507B9A"/>
    <w:rsid w:val="00511D3A"/>
    <w:rsid w:val="00512E4F"/>
    <w:rsid w:val="005130D2"/>
    <w:rsid w:val="00513528"/>
    <w:rsid w:val="005136F6"/>
    <w:rsid w:val="00515227"/>
    <w:rsid w:val="00516881"/>
    <w:rsid w:val="00516C5D"/>
    <w:rsid w:val="0052130B"/>
    <w:rsid w:val="005222A5"/>
    <w:rsid w:val="00524064"/>
    <w:rsid w:val="00525299"/>
    <w:rsid w:val="00525640"/>
    <w:rsid w:val="00534980"/>
    <w:rsid w:val="00552371"/>
    <w:rsid w:val="005534BD"/>
    <w:rsid w:val="005548C6"/>
    <w:rsid w:val="00562FF5"/>
    <w:rsid w:val="00570F8A"/>
    <w:rsid w:val="0058596D"/>
    <w:rsid w:val="0058617A"/>
    <w:rsid w:val="0058620F"/>
    <w:rsid w:val="00594ED6"/>
    <w:rsid w:val="00596326"/>
    <w:rsid w:val="005B2C33"/>
    <w:rsid w:val="005B3DD9"/>
    <w:rsid w:val="005B5C66"/>
    <w:rsid w:val="005B7C18"/>
    <w:rsid w:val="005C09FD"/>
    <w:rsid w:val="005C1ACD"/>
    <w:rsid w:val="005C6276"/>
    <w:rsid w:val="005C75CA"/>
    <w:rsid w:val="005D5B54"/>
    <w:rsid w:val="005E0802"/>
    <w:rsid w:val="005E5B03"/>
    <w:rsid w:val="005F19E6"/>
    <w:rsid w:val="005F3543"/>
    <w:rsid w:val="00602839"/>
    <w:rsid w:val="00610321"/>
    <w:rsid w:val="006109CD"/>
    <w:rsid w:val="00622726"/>
    <w:rsid w:val="00625065"/>
    <w:rsid w:val="0062677D"/>
    <w:rsid w:val="00627816"/>
    <w:rsid w:val="00637CF7"/>
    <w:rsid w:val="00642EA8"/>
    <w:rsid w:val="00643397"/>
    <w:rsid w:val="0065167F"/>
    <w:rsid w:val="00651EE5"/>
    <w:rsid w:val="006568B1"/>
    <w:rsid w:val="00662360"/>
    <w:rsid w:val="00665F6C"/>
    <w:rsid w:val="0067105C"/>
    <w:rsid w:val="00677593"/>
    <w:rsid w:val="00681FE0"/>
    <w:rsid w:val="00684A59"/>
    <w:rsid w:val="00685209"/>
    <w:rsid w:val="00686008"/>
    <w:rsid w:val="006861F2"/>
    <w:rsid w:val="00686BB3"/>
    <w:rsid w:val="00691388"/>
    <w:rsid w:val="00692C00"/>
    <w:rsid w:val="006A3348"/>
    <w:rsid w:val="006A7A33"/>
    <w:rsid w:val="006B01B4"/>
    <w:rsid w:val="006B70DC"/>
    <w:rsid w:val="006C0FE4"/>
    <w:rsid w:val="006C6148"/>
    <w:rsid w:val="006D30E6"/>
    <w:rsid w:val="006E5909"/>
    <w:rsid w:val="006F1033"/>
    <w:rsid w:val="006F122D"/>
    <w:rsid w:val="006F32CE"/>
    <w:rsid w:val="006F33BB"/>
    <w:rsid w:val="007037B2"/>
    <w:rsid w:val="007072CA"/>
    <w:rsid w:val="00707FC2"/>
    <w:rsid w:val="00715D42"/>
    <w:rsid w:val="0071655C"/>
    <w:rsid w:val="007170CD"/>
    <w:rsid w:val="007214B9"/>
    <w:rsid w:val="00721C47"/>
    <w:rsid w:val="0072654D"/>
    <w:rsid w:val="00726F58"/>
    <w:rsid w:val="00732097"/>
    <w:rsid w:val="00734E30"/>
    <w:rsid w:val="007465A2"/>
    <w:rsid w:val="00746D38"/>
    <w:rsid w:val="00746E46"/>
    <w:rsid w:val="00763F7B"/>
    <w:rsid w:val="007641FB"/>
    <w:rsid w:val="00764E83"/>
    <w:rsid w:val="00765D03"/>
    <w:rsid w:val="00777D75"/>
    <w:rsid w:val="00794A03"/>
    <w:rsid w:val="00794EC8"/>
    <w:rsid w:val="007A0DD0"/>
    <w:rsid w:val="007A10AF"/>
    <w:rsid w:val="007A22EB"/>
    <w:rsid w:val="007A3C3E"/>
    <w:rsid w:val="007A6997"/>
    <w:rsid w:val="007A7FEB"/>
    <w:rsid w:val="007B2CB7"/>
    <w:rsid w:val="007C0B3C"/>
    <w:rsid w:val="007C470A"/>
    <w:rsid w:val="007C6D81"/>
    <w:rsid w:val="007D0277"/>
    <w:rsid w:val="007D0DF9"/>
    <w:rsid w:val="007E5086"/>
    <w:rsid w:val="007E59E0"/>
    <w:rsid w:val="007F2044"/>
    <w:rsid w:val="007F2E6D"/>
    <w:rsid w:val="007F4E48"/>
    <w:rsid w:val="007F787D"/>
    <w:rsid w:val="007F7F12"/>
    <w:rsid w:val="00803D72"/>
    <w:rsid w:val="00803DA6"/>
    <w:rsid w:val="00804542"/>
    <w:rsid w:val="0081382F"/>
    <w:rsid w:val="008141F1"/>
    <w:rsid w:val="0081742A"/>
    <w:rsid w:val="00822AD4"/>
    <w:rsid w:val="00831CBA"/>
    <w:rsid w:val="00834005"/>
    <w:rsid w:val="00835221"/>
    <w:rsid w:val="00835F9A"/>
    <w:rsid w:val="00854D66"/>
    <w:rsid w:val="00855F60"/>
    <w:rsid w:val="00856988"/>
    <w:rsid w:val="0086347A"/>
    <w:rsid w:val="008651CE"/>
    <w:rsid w:val="00865916"/>
    <w:rsid w:val="00874562"/>
    <w:rsid w:val="00874EB7"/>
    <w:rsid w:val="008759C9"/>
    <w:rsid w:val="00882FB7"/>
    <w:rsid w:val="00883FAA"/>
    <w:rsid w:val="00887BE9"/>
    <w:rsid w:val="00890F0C"/>
    <w:rsid w:val="00891A2E"/>
    <w:rsid w:val="008940C6"/>
    <w:rsid w:val="00894B8B"/>
    <w:rsid w:val="0089703E"/>
    <w:rsid w:val="00897934"/>
    <w:rsid w:val="008A1271"/>
    <w:rsid w:val="008A26E8"/>
    <w:rsid w:val="008A4F88"/>
    <w:rsid w:val="008A6D29"/>
    <w:rsid w:val="008A7AF1"/>
    <w:rsid w:val="008B4D45"/>
    <w:rsid w:val="008B5C79"/>
    <w:rsid w:val="008C0B58"/>
    <w:rsid w:val="008C57D1"/>
    <w:rsid w:val="008D308F"/>
    <w:rsid w:val="008D7E8D"/>
    <w:rsid w:val="008E0576"/>
    <w:rsid w:val="008E1AB8"/>
    <w:rsid w:val="008E4501"/>
    <w:rsid w:val="008F3C63"/>
    <w:rsid w:val="009102AC"/>
    <w:rsid w:val="0092084F"/>
    <w:rsid w:val="00924E6C"/>
    <w:rsid w:val="00926F61"/>
    <w:rsid w:val="009307A0"/>
    <w:rsid w:val="00946238"/>
    <w:rsid w:val="00946DB5"/>
    <w:rsid w:val="00951FAA"/>
    <w:rsid w:val="00954B69"/>
    <w:rsid w:val="009555DA"/>
    <w:rsid w:val="0096441E"/>
    <w:rsid w:val="00965032"/>
    <w:rsid w:val="00971671"/>
    <w:rsid w:val="00972488"/>
    <w:rsid w:val="00974DA5"/>
    <w:rsid w:val="00976E87"/>
    <w:rsid w:val="00980E09"/>
    <w:rsid w:val="00985206"/>
    <w:rsid w:val="009952EC"/>
    <w:rsid w:val="0099673F"/>
    <w:rsid w:val="009A1A50"/>
    <w:rsid w:val="009A3B63"/>
    <w:rsid w:val="009A61D1"/>
    <w:rsid w:val="009A6733"/>
    <w:rsid w:val="009B24D1"/>
    <w:rsid w:val="009B6A42"/>
    <w:rsid w:val="009B6ECB"/>
    <w:rsid w:val="009C00F9"/>
    <w:rsid w:val="009C723E"/>
    <w:rsid w:val="009D2C3A"/>
    <w:rsid w:val="009D4BA3"/>
    <w:rsid w:val="009E2AB7"/>
    <w:rsid w:val="009F05AA"/>
    <w:rsid w:val="009F0FAA"/>
    <w:rsid w:val="009F5E7F"/>
    <w:rsid w:val="009F61A1"/>
    <w:rsid w:val="009F6B8C"/>
    <w:rsid w:val="00A07C04"/>
    <w:rsid w:val="00A07C37"/>
    <w:rsid w:val="00A101F9"/>
    <w:rsid w:val="00A10373"/>
    <w:rsid w:val="00A10E36"/>
    <w:rsid w:val="00A12C2E"/>
    <w:rsid w:val="00A15EB3"/>
    <w:rsid w:val="00A17326"/>
    <w:rsid w:val="00A23102"/>
    <w:rsid w:val="00A2404E"/>
    <w:rsid w:val="00A3011E"/>
    <w:rsid w:val="00A4083D"/>
    <w:rsid w:val="00A409C5"/>
    <w:rsid w:val="00A409E0"/>
    <w:rsid w:val="00A429BE"/>
    <w:rsid w:val="00A42CA8"/>
    <w:rsid w:val="00A43E30"/>
    <w:rsid w:val="00A44D4A"/>
    <w:rsid w:val="00A457B9"/>
    <w:rsid w:val="00A4661F"/>
    <w:rsid w:val="00A46ADA"/>
    <w:rsid w:val="00A50F02"/>
    <w:rsid w:val="00A5300B"/>
    <w:rsid w:val="00A60A0D"/>
    <w:rsid w:val="00A647D3"/>
    <w:rsid w:val="00A65576"/>
    <w:rsid w:val="00A7752C"/>
    <w:rsid w:val="00A8704B"/>
    <w:rsid w:val="00A93655"/>
    <w:rsid w:val="00A94F49"/>
    <w:rsid w:val="00A96309"/>
    <w:rsid w:val="00AA0ED5"/>
    <w:rsid w:val="00AA27CF"/>
    <w:rsid w:val="00AA6426"/>
    <w:rsid w:val="00AB0E2E"/>
    <w:rsid w:val="00AB1ADD"/>
    <w:rsid w:val="00AB5A6D"/>
    <w:rsid w:val="00AB6245"/>
    <w:rsid w:val="00AC09C9"/>
    <w:rsid w:val="00AD38B9"/>
    <w:rsid w:val="00AD3B7A"/>
    <w:rsid w:val="00AD42C0"/>
    <w:rsid w:val="00AE05EE"/>
    <w:rsid w:val="00AE0E0D"/>
    <w:rsid w:val="00AE4D57"/>
    <w:rsid w:val="00AF25AD"/>
    <w:rsid w:val="00AF50C9"/>
    <w:rsid w:val="00AF5872"/>
    <w:rsid w:val="00AF5FE3"/>
    <w:rsid w:val="00B03B9E"/>
    <w:rsid w:val="00B0637B"/>
    <w:rsid w:val="00B070DF"/>
    <w:rsid w:val="00B16F28"/>
    <w:rsid w:val="00B17204"/>
    <w:rsid w:val="00B21A07"/>
    <w:rsid w:val="00B21BDB"/>
    <w:rsid w:val="00B27CDB"/>
    <w:rsid w:val="00B315B7"/>
    <w:rsid w:val="00B34F01"/>
    <w:rsid w:val="00B368AD"/>
    <w:rsid w:val="00B36A28"/>
    <w:rsid w:val="00B4431D"/>
    <w:rsid w:val="00B4447B"/>
    <w:rsid w:val="00B44BB3"/>
    <w:rsid w:val="00B451EA"/>
    <w:rsid w:val="00B51740"/>
    <w:rsid w:val="00B60BEF"/>
    <w:rsid w:val="00B71823"/>
    <w:rsid w:val="00B74A70"/>
    <w:rsid w:val="00B85ECD"/>
    <w:rsid w:val="00B91A4A"/>
    <w:rsid w:val="00B925DB"/>
    <w:rsid w:val="00B9312F"/>
    <w:rsid w:val="00B951E0"/>
    <w:rsid w:val="00B96E73"/>
    <w:rsid w:val="00BA1086"/>
    <w:rsid w:val="00BA4A3B"/>
    <w:rsid w:val="00BA693D"/>
    <w:rsid w:val="00BB01FE"/>
    <w:rsid w:val="00BB66F1"/>
    <w:rsid w:val="00BC0EF8"/>
    <w:rsid w:val="00BC2E78"/>
    <w:rsid w:val="00BC328D"/>
    <w:rsid w:val="00BC5355"/>
    <w:rsid w:val="00BD3521"/>
    <w:rsid w:val="00BD35C3"/>
    <w:rsid w:val="00BE2660"/>
    <w:rsid w:val="00BE70BD"/>
    <w:rsid w:val="00BF1ED9"/>
    <w:rsid w:val="00BF2A84"/>
    <w:rsid w:val="00C02A36"/>
    <w:rsid w:val="00C05CCE"/>
    <w:rsid w:val="00C0633E"/>
    <w:rsid w:val="00C0674C"/>
    <w:rsid w:val="00C150A2"/>
    <w:rsid w:val="00C23F10"/>
    <w:rsid w:val="00C24832"/>
    <w:rsid w:val="00C260D0"/>
    <w:rsid w:val="00C27F01"/>
    <w:rsid w:val="00C305C2"/>
    <w:rsid w:val="00C34A8E"/>
    <w:rsid w:val="00C37AE5"/>
    <w:rsid w:val="00C439E5"/>
    <w:rsid w:val="00C47231"/>
    <w:rsid w:val="00C5258A"/>
    <w:rsid w:val="00C61BAF"/>
    <w:rsid w:val="00C6382D"/>
    <w:rsid w:val="00C645A9"/>
    <w:rsid w:val="00C673EB"/>
    <w:rsid w:val="00C7151E"/>
    <w:rsid w:val="00C76F48"/>
    <w:rsid w:val="00C80160"/>
    <w:rsid w:val="00C83F2A"/>
    <w:rsid w:val="00C85D99"/>
    <w:rsid w:val="00C85EF8"/>
    <w:rsid w:val="00C907AB"/>
    <w:rsid w:val="00C93026"/>
    <w:rsid w:val="00C934E9"/>
    <w:rsid w:val="00C9778C"/>
    <w:rsid w:val="00C97827"/>
    <w:rsid w:val="00CA34ED"/>
    <w:rsid w:val="00CA3E03"/>
    <w:rsid w:val="00CA67BD"/>
    <w:rsid w:val="00CB017C"/>
    <w:rsid w:val="00CB2D16"/>
    <w:rsid w:val="00CB2D9D"/>
    <w:rsid w:val="00CB5295"/>
    <w:rsid w:val="00CB57D5"/>
    <w:rsid w:val="00CC30B8"/>
    <w:rsid w:val="00CC3601"/>
    <w:rsid w:val="00CC5D80"/>
    <w:rsid w:val="00CD0931"/>
    <w:rsid w:val="00CD0FD1"/>
    <w:rsid w:val="00CD20B6"/>
    <w:rsid w:val="00CD40E7"/>
    <w:rsid w:val="00CD53A6"/>
    <w:rsid w:val="00CD59C2"/>
    <w:rsid w:val="00CE6541"/>
    <w:rsid w:val="00CE6C19"/>
    <w:rsid w:val="00CF0308"/>
    <w:rsid w:val="00CF167B"/>
    <w:rsid w:val="00CF5C63"/>
    <w:rsid w:val="00CF7671"/>
    <w:rsid w:val="00D0101B"/>
    <w:rsid w:val="00D012DD"/>
    <w:rsid w:val="00D030A2"/>
    <w:rsid w:val="00D07D18"/>
    <w:rsid w:val="00D155C2"/>
    <w:rsid w:val="00D15BA5"/>
    <w:rsid w:val="00D31831"/>
    <w:rsid w:val="00D36F4D"/>
    <w:rsid w:val="00D371CF"/>
    <w:rsid w:val="00D570EC"/>
    <w:rsid w:val="00D61FB6"/>
    <w:rsid w:val="00D62B15"/>
    <w:rsid w:val="00D6492B"/>
    <w:rsid w:val="00D65703"/>
    <w:rsid w:val="00D71E2C"/>
    <w:rsid w:val="00D743C2"/>
    <w:rsid w:val="00D74910"/>
    <w:rsid w:val="00D75157"/>
    <w:rsid w:val="00D7569A"/>
    <w:rsid w:val="00D837C5"/>
    <w:rsid w:val="00D84A69"/>
    <w:rsid w:val="00D85B59"/>
    <w:rsid w:val="00D9392E"/>
    <w:rsid w:val="00D94407"/>
    <w:rsid w:val="00D97F67"/>
    <w:rsid w:val="00DA3248"/>
    <w:rsid w:val="00DB196F"/>
    <w:rsid w:val="00DB28D5"/>
    <w:rsid w:val="00DB2F88"/>
    <w:rsid w:val="00DB3043"/>
    <w:rsid w:val="00DB3ADE"/>
    <w:rsid w:val="00DB43C5"/>
    <w:rsid w:val="00DB5EEE"/>
    <w:rsid w:val="00DC14F0"/>
    <w:rsid w:val="00DC1E50"/>
    <w:rsid w:val="00DC3803"/>
    <w:rsid w:val="00DE0A38"/>
    <w:rsid w:val="00DE1C0D"/>
    <w:rsid w:val="00DE3731"/>
    <w:rsid w:val="00DE3F0E"/>
    <w:rsid w:val="00DE6773"/>
    <w:rsid w:val="00DE7595"/>
    <w:rsid w:val="00DF6932"/>
    <w:rsid w:val="00E0236B"/>
    <w:rsid w:val="00E05D8B"/>
    <w:rsid w:val="00E06C1B"/>
    <w:rsid w:val="00E112CE"/>
    <w:rsid w:val="00E132EB"/>
    <w:rsid w:val="00E13A7F"/>
    <w:rsid w:val="00E15F90"/>
    <w:rsid w:val="00E20ACE"/>
    <w:rsid w:val="00E21BB2"/>
    <w:rsid w:val="00E246FA"/>
    <w:rsid w:val="00E25CDD"/>
    <w:rsid w:val="00E33686"/>
    <w:rsid w:val="00E34208"/>
    <w:rsid w:val="00E3574F"/>
    <w:rsid w:val="00E376A2"/>
    <w:rsid w:val="00E44B46"/>
    <w:rsid w:val="00E62F64"/>
    <w:rsid w:val="00E63A61"/>
    <w:rsid w:val="00E63BE4"/>
    <w:rsid w:val="00E676CC"/>
    <w:rsid w:val="00E72FF8"/>
    <w:rsid w:val="00E81E29"/>
    <w:rsid w:val="00E84D77"/>
    <w:rsid w:val="00E865C7"/>
    <w:rsid w:val="00E960DD"/>
    <w:rsid w:val="00EA0C6D"/>
    <w:rsid w:val="00EA1FE8"/>
    <w:rsid w:val="00EA5AE4"/>
    <w:rsid w:val="00EB2222"/>
    <w:rsid w:val="00EC2866"/>
    <w:rsid w:val="00EC519C"/>
    <w:rsid w:val="00EC56DB"/>
    <w:rsid w:val="00EE3956"/>
    <w:rsid w:val="00EF3FBE"/>
    <w:rsid w:val="00F0311C"/>
    <w:rsid w:val="00F035CD"/>
    <w:rsid w:val="00F036CD"/>
    <w:rsid w:val="00F05221"/>
    <w:rsid w:val="00F10914"/>
    <w:rsid w:val="00F138AB"/>
    <w:rsid w:val="00F14E85"/>
    <w:rsid w:val="00F1675D"/>
    <w:rsid w:val="00F30106"/>
    <w:rsid w:val="00F31D14"/>
    <w:rsid w:val="00F31D87"/>
    <w:rsid w:val="00F37024"/>
    <w:rsid w:val="00F37225"/>
    <w:rsid w:val="00F4045D"/>
    <w:rsid w:val="00F43C17"/>
    <w:rsid w:val="00F47D53"/>
    <w:rsid w:val="00F61E78"/>
    <w:rsid w:val="00F64D37"/>
    <w:rsid w:val="00F724C5"/>
    <w:rsid w:val="00F82AF3"/>
    <w:rsid w:val="00F85533"/>
    <w:rsid w:val="00F86125"/>
    <w:rsid w:val="00F9180D"/>
    <w:rsid w:val="00F96BEF"/>
    <w:rsid w:val="00F96E56"/>
    <w:rsid w:val="00FA2526"/>
    <w:rsid w:val="00FA7D9F"/>
    <w:rsid w:val="00FB0F68"/>
    <w:rsid w:val="00FB5B0A"/>
    <w:rsid w:val="00FB62BA"/>
    <w:rsid w:val="00FB7DCE"/>
    <w:rsid w:val="00FC2892"/>
    <w:rsid w:val="00FD4643"/>
    <w:rsid w:val="00FD4E1C"/>
    <w:rsid w:val="00FD4F9A"/>
    <w:rsid w:val="00FE0C28"/>
    <w:rsid w:val="00FE4FAF"/>
    <w:rsid w:val="00FF0C84"/>
    <w:rsid w:val="00FF5D54"/>
    <w:rsid w:val="00FF6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A597D0"/>
  <w15:docId w15:val="{1449E92E-298B-412A-8FFB-71A20F52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612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OrtaKlavuz1-Vurgu1">
    <w:name w:val="Medium Grid 1 Accent 1"/>
    <w:basedOn w:val="NormalTablo"/>
    <w:uiPriority w:val="67"/>
    <w:rsid w:val="004D7C7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stbilgi">
    <w:name w:val="header"/>
    <w:basedOn w:val="Normal"/>
    <w:link w:val="stbilgiChar"/>
    <w:uiPriority w:val="99"/>
    <w:unhideWhenUsed/>
    <w:rsid w:val="00995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952EC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9952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952EC"/>
    <w:rPr>
      <w:rFonts w:ascii="Calibri" w:eastAsia="Calibri" w:hAnsi="Calibri" w:cs="Times New Roman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95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952EC"/>
    <w:rPr>
      <w:rFonts w:ascii="Tahoma" w:eastAsia="Calibri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395E55"/>
    <w:pPr>
      <w:ind w:left="720"/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6109CD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6109CD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109CD"/>
    <w:rPr>
      <w:rFonts w:ascii="Calibri" w:eastAsia="Calibri" w:hAnsi="Calibri" w:cs="Times New Roman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109CD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109CD"/>
    <w:rPr>
      <w:rFonts w:ascii="Calibri" w:eastAsia="Calibri" w:hAnsi="Calibri" w:cs="Times New Roman"/>
      <w:b/>
      <w:bCs/>
      <w:sz w:val="20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5E5B03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5E5B03"/>
    <w:rPr>
      <w:rFonts w:ascii="Calibri" w:eastAsia="Calibri" w:hAnsi="Calibri" w:cs="Times New Roman"/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5E5B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D2902F0BB3B740AA6EF73F83815315" ma:contentTypeVersion="0" ma:contentTypeDescription="Create a new document." ma:contentTypeScope="" ma:versionID="3b8db582b426e4828bc3c22d77eb7d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47F93-8825-4FA1-8254-13DD684E4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B532F7-1913-409A-A07F-7E63F2927D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2E960B-576F-4FB1-BE70-32BBF572AF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15641E-8198-4AE0-BC06-B634DA5CB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Okan Yıldız</dc:creator>
  <cp:lastModifiedBy>Gamze Ersoy</cp:lastModifiedBy>
  <cp:revision>10</cp:revision>
  <cp:lastPrinted>2016-12-20T11:22:00Z</cp:lastPrinted>
  <dcterms:created xsi:type="dcterms:W3CDTF">2016-12-21T07:32:00Z</dcterms:created>
  <dcterms:modified xsi:type="dcterms:W3CDTF">2016-12-21T15:09:00Z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0x01010055D2902F0BB3B740AA6EF73F83815315</vt:lpwstr>
  </property>
</Properties>
</file>