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Tabela 4.1</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Indikatorët empirikë dhe teorikë të legjitimitetit politik</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pPr>
        <w:spacing w:line="360" w:lineRule="auto"/>
      </w:pPr>
      <w:r>
        <w:rPr>
          <w:rFonts w:ascii="Times New Roman" w:hAnsi="Times New Roman" w:cs="Times New Roman"/>
          <w:sz w:val="24"/>
          <w:szCs w:val="24"/>
        </w:rPr>
        <w:t>Tabela 6.2</w:t>
      </w:r>
    </w:p>
    <w:p>
      <w:pPr>
        <w:spacing w:line="360" w:lineRule="auto"/>
      </w:pPr>
      <w:r>
        <w:rPr>
          <w:rFonts w:ascii="Times New Roman" w:hAnsi="Times New Roman" w:cs="Times New Roman"/>
          <w:sz w:val="24"/>
          <w:szCs w:val="24"/>
        </w:rPr>
        <w:t>Përmbledhje e statusit të hipotezave H1–H7</w:t>
      </w:r>
    </w:p>
    <w:p>
      <w:pPr>
        <w:spacing w:line="360" w:lineRule="auto"/>
      </w:pPr>
    </w:p>
    <w:p>
      <w:pPr>
        <w:spacing w:line="360" w:lineRule="auto"/>
      </w:pPr>
      <w:r>
        <w:rPr>
          <w:rFonts w:ascii="Times New Roman" w:hAnsi="Times New Roman" w:cs="Times New Roman"/>
          <w:sz w:val="24"/>
          <w:szCs w:val="24"/>
          <w:b/>
        </w:rPr>
        <w:t>Lista e Figurave</w:t>
      </w:r>
    </w:p>
    <w:p>
      <w:pPr>
        <w:spacing w:line="360" w:lineRule="auto"/>
      </w:pPr>
    </w:p>
    <w:p>
      <w:pPr>
        <w:spacing w:line="360" w:lineRule="auto"/>
      </w:pPr>
      <w:r>
        <w:rPr>
          <w:rFonts w:ascii="Times New Roman" w:hAnsi="Times New Roman" w:cs="Times New Roman"/>
          <w:sz w:val="24"/>
          <w:szCs w:val="24"/>
        </w:rPr>
        <w:t>Figura 7.1</w:t>
      </w:r>
    </w:p>
    <w:p>
      <w:pPr>
        <w:spacing w:line="360" w:lineRule="auto"/>
      </w:pPr>
      <w:r>
        <w:rPr>
          <w:rFonts w:ascii="Times New Roman" w:hAnsi="Times New Roman" w:cs="Times New Roman"/>
          <w:sz w:val="24"/>
          <w:szCs w:val="24"/>
        </w:rPr>
        <w:t>Evolucioni analitik i burimeve të legjitimitetit politik në Kosovë (1999–2024)</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1"/>
          <w:iCs w:val="1"/>
          <w:color w:val="000000"/>
          <w:sz w:val="24"/>
          <w:szCs w:val="24"/>
        </w:rPr>
        <w:t xml:space="preserve">Tabela 4.1. </w:t>
      </w:r>
      <w:r>
        <w:rPr>
          <w:rFonts w:ascii="Times New Roman" w:cs="Times New Roman" w:eastAsia="Times New Roman" w:hAnsi="Times New Roman"/>
          <w:b w:val="1"/>
          <w:bCs w:val="1"/>
          <w:i w:val="0"/>
          <w:iCs w:val="0"/>
          <w:color w:val="000000"/>
          <w:sz w:val="24"/>
          <w:szCs w:val="24"/>
        </w:rPr>
        <w:t>Indikatorët empirikë dhe teorikë të legjitimitetit politik</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u mbështet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u realizua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synoi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synoi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u përdor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u përdor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u përdor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përfshiu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mundësoi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synoi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u përdorën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u mbështet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u përdor një qasje kërkimore me metoda të përziera, e konceptuar si një proces i integruar ku të dhënat sasiore dhe cilësore ndërveprojnë në mënyrë sekuenciale dhe interpretuese. Qasja që zbatohet është sekuenciale e integruar, ku faza sasiore u përdor për të identifikuar modelet kryesore të perceptimit publik, ndërsa faza cilësore shërbeu për të thelluar kuptimin e këtyre modeleve në kontekstin politik dhe mediatik. Kjo formë përputhet me qasjen e përshkruar nga Creswell &amp; Plano Clark (2017, pp. 5-12), të cilët theksojnë se integrimi i të dhënave krijoi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u bazua në një pyetësor të strukturuar, i ndërtuar për të matur perceptimet e qytetarëve mbi legjitimitetin politik, besimin publik, ndikimin e mediave dhe përvojën e komunikimit me institucionet. Pyetësori përfshiu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përfshiu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u mbështet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përfshiu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mundësoi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mundësoi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krijoi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përfshiu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mundësoi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përfshiu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mundësoi krahasime analitike ndërmjet aktorëve dhe periudhave. Përfshirja e periudhës 1999-2024 synoi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shërbeu si instrumenti i katërt dhe funksionon si mekanizëm lidhës mes të dhënave sasiore dhe cilësore. Struktura e kodimit përfshiu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u përdor jo vetëm si mjet organizimi, por si instrument analitik që mundësoi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siguroi mbledhje të të dhënave nga perspektiva të ndryshme; qytetare, institucionale dhe mediale dhe krijoi një bazë të integruar për analizën ndërthurëse që paraqitet në kapitujt vijues. Këto instrumente nuk funksionojnë si elemente të izoluara, por si pjesë e një arkitekture kërkimore që synoi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u përdorën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shërbeu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u mblodhën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u mblodhën, u kategorizuan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identifikoi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Kjo marrëdhënie sintetizohet në Figurën 7.1.</w:t>
      </w:r>
    </w:p>
    <w:p>
      <w:pPr>
        <w:spacing w:line="360" w:lineRule="auto"/>
      </w:pPr>
      <w:r>
        <w:rPr>
          <w:rFonts w:ascii="Times New Roman" w:hAnsi="Times New Roman" w:cs="Times New Roman"/>
          <w:sz w:val="24"/>
          <w:szCs w:val="24"/>
          <w:i/>
        </w:rPr>
        <w:t>Figura 7.1. Evolucioni analitik i burimeve të legjitimitetit politik në Kosovë (1999–2024)</w:t>
      </w:r>
    </w:p>
    <w:p>
      <w:pPr>
        <w:spacing w:line="240" w:lineRule="auto"/>
      </w:pPr>
      <w:r>
        <w:rPr>
          <w:rFonts w:ascii="Times New Roman" w:hAnsi="Times New Roman" w:cs="Times New Roman"/>
          <w:sz w:val="24"/>
          <w:szCs w:val="24"/>
        </w:rPr>
        <w:t>RUGOVA — Moral · Ndërkombëtar</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THAÇI — Çlirimtar · Shtetformues</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HARADINAJ — Patriotik · Sakrificë</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MUSTAFA — Procedural · Institucional</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KURTI — Sovranitet · Mobilizim qytetar</w:t>
      </w:r>
    </w:p>
    <w:p>
      <w:pPr>
        <w:spacing w:line="360" w:lineRule="auto"/>
      </w:pPr>
      <w:r>
        <w:rPr>
          <w:rFonts w:ascii="Times New Roman" w:hAnsi="Times New Roman" w:cs="Times New Roman"/>
          <w:sz w:val="24"/>
          <w:szCs w:val="24"/>
          <w:i/>
        </w:rPr>
        <w:t>Shënim. Figura paraqet tipologjitë analitike të burimeve të legjitimitetit politik të trajtuara në Kapitullin VII. Kategoritë nuk nënkuptojnë zëvendësim linear të një burimi legjitimiteti nga tjetri, por bashkëjetesë dhe ribalancim të tyre në periudha të ndryshme politike.</w:t>
      </w:r>
    </w:p>
    <w:p>
      <w:pPr>
        <w:spacing w:line="360" w:lineRule="auto"/>
      </w:pP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Përmbledhja sintetike e statusit të hipotezave H1–H7 paraqitet në Tabelën 6.2.</w:t>
      </w:r>
    </w:p>
    <w:p>
      <w:pPr>
        <w:spacing w:line="360" w:lineRule="auto"/>
      </w:pPr>
      <w:r>
        <w:rPr>
          <w:rFonts w:ascii="Times New Roman" w:hAnsi="Times New Roman" w:cs="Times New Roman"/>
          <w:sz w:val="24"/>
          <w:szCs w:val="24"/>
          <w:i/>
        </w:rPr>
        <w:t>Tabela 6.2. Përmbledhje e statusit të hipotezave H1–H7</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560"/>
        <w:gridCol w:w="2100"/>
        <w:gridCol w:w="4140"/>
        <w:gridCol w:w="2560"/>
      </w:tblGrid>
      <w:tr>
        <w:trPr>
          <w:tblHeader/>
        </w:trP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Hip.</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Fokusi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Evidenca kryesore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Statusi</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H1</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karizmatik-polarizues → legjitimitet afatshkurtër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Jo e testueshme drejtpërdrejt sasior; mbështetje diskursive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konfirmuar (diskurs)</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H2</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Koherenca performancë–deklarim → besim publik</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Konsensus i lartë transversal (M ≈ 4.5, p = .804)</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H3</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Autonomia e deklaruar e gjykimit si moderator i ndikimit medial</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Vetë-perceptim i ulët i ndikimit medial (M ≈ 2.15/5, p = .403)</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H4</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Kapitali historik si burim transversal ndër grupmosha/gjini/arsimim</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 = .592, η² = .003 — pa dallime statistikisht domethënëse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H5</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Besimi ndaj ndërkombëtarëve: pragmatik dhe i kushtëzuar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Tre variabla: p = .631 / .070 / .083 — asnjë i konfirmuar</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pambështetur statistikisht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H6</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Arsimimi → legjitimitet racional-ligjor + autocensurë (bashkëekzistencë)</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Orientimi racional: p = .031, η² = .051. Autocensura: p = .228</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H7</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Dallime gjinore: sakrificë morale + vizion mobilizues si kritere legjitimiteti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vizionar: p = .037, η² = .039. Sakrifica: pa test të drejtpërdrejtë</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bl>
    <w:p>
      <w:pPr>
        <w:spacing w:line="360" w:lineRule="auto"/>
      </w:pPr>
      <w:r>
        <w:rPr>
          <w:rFonts w:ascii="Times New Roman" w:hAnsi="Times New Roman" w:cs="Times New Roman"/>
          <w:sz w:val="24"/>
          <w:szCs w:val="24"/>
          <w:i/>
        </w:rPr>
        <w:t>Shënim. p &lt; .05. Dizajni tërthor nuk lejon konkluzione kauzale.</w:t>
      </w:r>
    </w:p>
    <w:p>
      <w:pPr>
        <w:spacing w:line="360" w:lineRule="auto"/>
      </w:pP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u mbështet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u përdorën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u përdor për të lidhur gjetjet sasiore me interpretimin cilësor dhe diskursiv, por ky integrim nuk synoi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u mbështet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Hermann, M. G. (2003). Assessing leadership style: A trait analysis. In J. M. Post (Ed.), The psychological assessment of political leaders (pp. 178–212). Ann Arbor, MI: University of Michigan Press. McClelland, D. C. (1987). Human motivation. Cambridge: Cambridge University Press. Mondak, J. J. (2010). Personality and the foundations of political behavior. New York, NY: Cambridge University Press. Winter, D. G. (1996). Personality and political leadership. In M. Hermann (Ed.), Political psychology (pp. 27–61). San Francisco, CA: Jossey-Bass. Winter, D. G. (2003). Personality and political behavior. In D. O. Sears, L. Huddy, &amp; R. Jervis (Eds.), Oxford handbook of political psychology (pp. 110–145). New York, NY: Oxford University Press.</w:t>
        <w:br w:type="textWrapping"/>
        <w:t xml:space="preserve"/>
        <w:br w:type="textWrapping"/>
        <w:t xml:space="preserve"/>
        <w:br w:type="textWrapping"/>
        <w:t xml:space="preserve"/>
        <w:br w:type="textWrapping"/>
        <w:t xml:space="preserve"/>
        <w:br w:type="textWrapping"/>
        <w:t xml:space="preserve"/>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 Milgram, S. (1974). Obedience to authority: An experimental view. New York, NY: Harper &amp; Row.</w:t>
        <w:br w:type="textWrapping"/>
        <w:t xml:space="preserve"/>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 Pula, B. (2014). The statehood generation: Continuities and ruptures in Kosovo's political elite. Nationalities Papers, 42(4), 715–732. </w:t>
        <w:br w:type="textWrapping"/>
        <w:t xml:space="preserve"/>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