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 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br w:type="textWrapping"/>
        <w:t xml:space="preserve"/>
        <w:br w:type="textWrapping"/>
        <w:t xml:space="preserve"/>
        <w:br w:type="textWrapping"/>
        <w:t xml:space="preserve"/>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 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 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 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 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 Në këtë kontekst, exit-i merr kuptimin e ruajtjes së integritetit kur “zëri”</w:t>
        <w:br w:type="textWrapping"/>
        <w:t xml:space="preserve"/>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mbështetet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realizohet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synon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synon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përdoret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përdoret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përdoret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përfshin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mundëson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synon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përdoren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mbështetet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përdoret një qasje kërkimore me metoda të përziera, e konceptuar si një proces i integruar ku të dhënat sasiore dhe cilësore ndërveprojnë në mënyrë sekuenciale dhe interpretuese. Qasja që zbatohet është sekuenciale e integruar, ku faza sasiore përdoret për të identifikuar modelet kryesore të perceptimit publik, ndërsa faza cilësore shërben për të thelluar kuptimin e këtyre modeleve në kontekstin politik dhe mediatik. Kjo formë përputhet me qasjen e përshkruar nga Creswell &amp; Plano Clark (2017, pp. 5-12), të cilët theksojnë se integrimi i të dhënave krijon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bazohet në një pyetësor të strukturuar, i ndërtuar për të matur perceptimet e qytetarëve mbi legjitimitetin politik, besimin publik, ndikimin e mediave dhe përvojën e komunikimit me institucionet. Pyetësori përfshin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përfshin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mbështetet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përfshin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mundëson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mundëson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krijon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përfshin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mundëson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përfshin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mundëson krahasime analitike ndërmjet aktorëve dhe periudhave. Përfshirja e periudhës 1999-2024 synon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shërben si instrumenti i katërt dhe funksionon si mekanizëm lidhës mes të dhënave sasiore dhe cilësore. Struktura e kodimit përfshin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përdoret jo vetëm si mjet organizimi, por si instrument analitik që mundëson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siguron mbledhje të të dhënave nga perspektiva të ndryshme; qytetare, institucionale dhe mediale dhe krijon një bazë të integruar për analizën ndërthurëse që paraqitet në kapitujt vijues. Këto instrumente nuk funksionojnë si elemente të izoluara, por si pjesë e një arkitekture kërkimore që synon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përdoren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shërben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mblidhen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mblidhen, kategorizohen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identifikon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mbështetet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përdoren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përdoret për të lidhur gjetjet sasiore me interpretimin cilësor dhe diskursiv, por ky integrim nuk synon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mbështetet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REFERENCAT</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br w:type="textWrapping"/>
        <w:t xml:space="preserve">Hermann, M. G. (2003). Assessing leadership style: A trait analysis. In J. M. Post (Ed.), The psychological assessment of political leaders (pp. 178–212). Ann Arbor, MI: University of Michigan Press.</w:t>
        <w:br w:type="textWrapping"/>
        <w:t xml:space="preserve">McClelland, D. C. (1987). Human motivation. Cambridge: Cambridge University Press.</w:t>
        <w:br w:type="textWrapping"/>
        <w:t xml:space="preserve">Mondak, J. J. (2010). Personality and the foundations of political behavior. New York, NY: Cambridge University Press.</w:t>
        <w:br w:type="textWrapping"/>
        <w:t xml:space="preserve">Winter, D. G. (1996). Personality and political leadership. In M. Hermann (Ed.), Political psychology (pp. 27–61). San Francisco, CA: Jossey-Bass.</w:t>
        <w:br w:type="textWrapping"/>
        <w:t xml:space="preserve">Winter, D. G. (2003). Personality and political behavior. In D. O. Sears, L. Huddy, &amp; R. Jervis (Eds.), Oxford handbook of political psychology (pp. 110–145). New York, NY: Oxford University Press.</w:t>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w:t>
        <w:br w:type="textWrapping"/>
        <w:t xml:space="preserve">Milgram, S. (1974). Obedience to authority: An experimental view. New York, NY: Harper &amp; Row.</w:t>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br w:type="textWrapping"/>
        <w:t xml:space="preserve">Pula, B. (2014). The statehood generation: Continuities and ruptures in Kosovo's political elite. Nationalities Papers, 42(4), 715–732. </w:t>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
        <w:br w:type="textWrapping"/>
        <w:t xml:space="preserve"/>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jj7c6msywhi" w:id="27"/>
      <w:bookmarkEnd w:id="27"/>
      <w:r w:rsidDel="00000000" w:rsidR="00000000" w:rsidRPr="00000000">
        <w:rPr>
          <w:rFonts w:ascii="Times New Roman" w:cs="Times New Roman" w:eastAsia="Times New Roman" w:hAnsi="Times New Roman"/>
          <w:b w:val="0"/>
          <w:bCs w:val="0"/>
          <w:sz w:val="24"/>
          <w:szCs w:val="24"/>
          <w:rtl w:val="0"/>
        </w:rPr>
        <w:t xml:space="preserve">5.4</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