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MIRËNJOHJE DHE FALËNDERIME</w:t>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w:t>
        <w:br w:type="textWrapping"/>
        <w:t xml:space="preserve"/>
        <w:br w:type="textWrapping"/>
        <w:t xml:space="preserve"/>
        <w:br w:type="textWrapping"/>
        <w:t xml:space="preserve">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w:t>
        <w:br w:type="textWrapping"/>
        <w:t xml:space="preserve">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w:t>
      </w:r>
      <w:r w:rsidDel="00000000" w:rsidR="00000000" w:rsidRPr="00000000">
        <w:rPr>
          <w:rFonts w:ascii="Times New Roman" w:cs="Times New Roman" w:eastAsia="Times New Roman" w:hAnsi="Times New Roman"/>
          <w:b w:val="0"/>
          <w:bCs w:val="0"/>
          <w:color w:val="000000"/>
          <w:sz w:val="24"/>
          <w:szCs w:val="24"/>
          <w:rtl w:val="0"/>
        </w:rPr>
        <w:br w:type="textWrapping"/>
        <w:t xml:space="preserve">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Verifikimi i rasteve mbështetet në tre kategori burimesh që përputhen me parimin e triangulimit (Denzin, 1978):</w:t>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w:t>
        <w:br w:type="textWrapping"/>
        <w:t xml:space="preserve">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w:t>
        <w:br w:type="textWrapping"/>
        <w:t xml:space="preserve">Në këtë kontekst, exit-i merr kuptimin e ruajtjes së integritetit kur “zëri”</w:t>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w:t>
        <w:br w:type="textWrapping"/>
        <w:t xml:space="preserve">Variablat e pavarur: Format e komunikimit politik (tradicional / digjital) dhe perceptimi mbi ndikimin e mediave sociale në komunikimin politik.</w:t>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Hyrja</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KAPITULLI V: METODOLOGJIA E HULUMTIMIT</w:t>
        <w:br w:type="textWrapping"/>
        <w:t xml:space="preserve">5.0</w:t>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2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2">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923">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9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9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Mfemale = 3.83, Mmale = 3.27). Other results remain at the descriptive level, without reaching the threshold of statistical significance.</w:t>
      </w:r>
    </w:p>
    <w:p w:rsidR="00000000" w:rsidDel="00000000" w:rsidP="00000000" w:rsidRDefault="00000000" w:rsidRPr="00000000" w14:paraId="000009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927">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political leadership, legitimacy, leader-mass relationship, Kosovo, political communication, mixed methods, ANOVA.</w:t>
      </w:r>
    </w:p>
    <w:p w:rsidR="00000000" w:rsidDel="00000000" w:rsidP="00000000" w:rsidRDefault="00000000" w:rsidRPr="00000000" w14:paraId="00000928">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92B">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92C">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92D">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Mfemra = 3.83, Mmeshkuj = 3.27). Rezultate të tjera mbeten në nivel deskriptiv, pa kaluar pragun e domethënies statistikore.</w:t>
      </w:r>
    </w:p>
    <w:p w:rsidR="00000000" w:rsidDel="00000000" w:rsidP="00000000" w:rsidRDefault="00000000" w:rsidRPr="00000000" w14:paraId="0000092E">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92F">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 lidership politik, legjitimiteti, marrëdhënia lider–masë, Kosovë, komunikim politik, metoda të kombinuara, ANOVA.</w:t>
      </w:r>
    </w:p>
    <w:p w:rsidR="00000000" w:rsidDel="00000000" w:rsidP="00000000" w:rsidRDefault="00000000" w:rsidRPr="00000000" w14:paraId="00000930">
      <w:pPr>
        <w:spacing w:line="360" w:lineRule="auto"/>
        <w:jc w:val="left"/>
        <w:rPr>
          <w:rFonts w:ascii="Times New Roman" w:cs="Times New Roman" w:eastAsia="Times New Roman" w:hAnsi="Times New Roman"/>
          <w:sz w:val="24"/>
          <w:szCs w:val="24"/>
        </w:rPr>
      </w:pPr>
      <w:r w:rsidDel="00000000" w:rsidR="00000000" w:rsidRPr="00000000">
        <w:rPr>
          <w:rtl w:val="0"/>
        </w:rPr>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