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MIRËNJOHJE DHE FALËNDERIME</w:t>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w:t>
        <w:br w:type="textWrapping"/>
        <w:t xml:space="preserve">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w:t>
        <w:br w:type="textWrapping"/>
        <w:t xml:space="preserve">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w:t>
        <w:br w:type="textWrapping"/>
        <w:t xml:space="preserve">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w:t>
        <w:br w:type="textWrapping"/>
        <w:t xml:space="preserve">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w:t>
        <w:br w:type="textWrapping"/>
        <w:t xml:space="preserve">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w:t>
        <w:br w:type="textWrapping"/>
        <w:t xml:space="preserve">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w:t>
        <w:br w:type="textWrapping"/>
        <w:t xml:space="preserve">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w:t>
      </w:r>
      <w:r w:rsidDel="00000000" w:rsidR="00000000" w:rsidRPr="00000000">
        <w:rPr>
          <w:rFonts w:ascii="Times New Roman" w:cs="Times New Roman" w:eastAsia="Times New Roman" w:hAnsi="Times New Roman"/>
          <w:b w:val="0"/>
          <w:bCs w:val="0"/>
          <w:color w:val="000000"/>
          <w:sz w:val="24"/>
          <w:szCs w:val="24"/>
          <w:rtl w:val="0"/>
        </w:rPr>
        <w:br w:type="textWrapping"/>
        <w:t xml:space="preserve">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 (Eco, 2015; Todorov, 1990).</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w:t>
        <w:br w:type="textWrapping"/>
        <w:t xml:space="preserve">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Verifikimi i rasteve mbështetet në tre kategori burimesh që përputhen me parimin e triangulimit (Denzin, 1978):</w:t>
        <w:br w:type="textWrapping"/>
        <w:t xml:space="preserve">(1) raporte ndërkombëtare si OSCE dhe International Crisis Group, që ofrojnë evidencë institucionale (OSCE Mission in Kosovo, 2004);</w:t>
        <w:br w:type="textWrapping"/>
        <w:t xml:space="preserve">(2) literaturë akademike që shpjegon kornizën teorike (Clark, 2000; Pula, 2014; Visoka, 2011); dhe</w:t>
        <w:br w:type="textWrapping"/>
        <w:t xml:space="preserve">(3) raporte të shoqërisë civile si KDI dhe BIRN, që japin të dhëna empirike mbi transparencën dhe performancën politike (KDI, 2022).</w:t>
        <w:br w:type="textWrapping"/>
        <w:t xml:space="preserve">Ky kombinim siguron balancë ndërmjet neutralitetit institucional, interpretimit teorik dhe evidencës në terren, duke krijuar një bazë të verifikueshme për analizën krahasuese.</w:t>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w:t>
        <w:br w:type="textWrapping"/>
        <w:t xml:space="preserve">Ndërkaq, Albin Kurti paraqitet si figurë që mbështetet te mobilizimi qytetar dhe retorika anti-establishment. Kjo strategji i dha atij një avantazh elektoral domethënës, por duket se u shoqërua edhe me debate mbi ndjeshmërinë institucionale (KDI, 2018).</w:t>
        <w:br w:type="textWrapping"/>
        <w:t xml:space="preserve">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w:t>
        <w:br w:type="textWrapping"/>
        <w:t xml:space="preserve">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w:t>
        <w:br w:type="textWrapping"/>
        <w:t xml:space="preserve">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w:t>
        <w:br w:type="textWrapping"/>
        <w:t xml:space="preserve">Kurti, përkundrazi, e artikuloi diskursin mbi drejtësinë sociale, sovranitetin dhe barazinë gjinore, duke e ndërtuar legjitimitetin mbi simbolet e protestës dhe përfshirjes (KDI &amp; UN Women, 2022, pp. 10-14) (NDI, 2021, pp. 3-6).</w:t>
        <w:br w:type="textWrapping"/>
        <w:t xml:space="preserve">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w:t>
        <w:br w:type="textWrapping"/>
        <w:t xml:space="preserve">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w:t>
        <w:br w:type="textWrapping"/>
        <w:t xml:space="preserve">Në këtë kontekst, exit-i merr kuptimin e ruajtjes së integritetit kur “zëri”</w:t>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w:t>
        <w:br w:type="textWrapping"/>
        <w:t xml:space="preserve">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w:t>
        <w:br w:type="textWrapping"/>
        <w:t xml:space="preserve">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w:t>
        <w:br w:type="textWrapping"/>
        <w:t xml:space="preserve">Variablat e pavarur: Format e komunikimit politik (tradicional / digjital) dhe perceptimi mbi ndikimin e mediave sociale në komunikimin politik.</w:t>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Hyrja</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KAPITULLI V: METODOLOGJIA E HULUMTIMIT</w:t>
        <w:br w:type="textWrapping"/>
        <w:t xml:space="preserve">5.0</w:t>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2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2">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923">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9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9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Mfemale = 3.83, Mmale = 3.27). Other results remain at the descriptive level, without reaching the threshold of statistical significance.</w:t>
      </w:r>
    </w:p>
    <w:p w:rsidR="00000000" w:rsidDel="00000000" w:rsidP="00000000" w:rsidRDefault="00000000" w:rsidRPr="00000000" w14:paraId="000009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927">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political leadership, legitimacy, leader-mass relationship, Kosovo, political communication, mixed methods, ANOVA.</w:t>
      </w:r>
    </w:p>
    <w:p w:rsidR="00000000" w:rsidDel="00000000" w:rsidP="00000000" w:rsidRDefault="00000000" w:rsidRPr="00000000" w14:paraId="00000928">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92B">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92C">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92D">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Mfemra = 3.83, Mmeshkuj = 3.27). Rezultate të tjera mbeten në nivel deskriptiv, pa kaluar pragun e domethënies statistikore.</w:t>
      </w:r>
    </w:p>
    <w:p w:rsidR="00000000" w:rsidDel="00000000" w:rsidP="00000000" w:rsidRDefault="00000000" w:rsidRPr="00000000" w14:paraId="0000092E">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92F">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 lidership politik, legjitimiteti, marrëdhënia lider–masë, Kosovë, komunikim politik, metoda të kombinuara, ANOVA.</w:t>
      </w:r>
    </w:p>
    <w:p w:rsidR="00000000" w:rsidDel="00000000" w:rsidP="00000000" w:rsidRDefault="00000000" w:rsidRPr="00000000" w14:paraId="00000930">
      <w:pPr>
        <w:spacing w:line="360" w:lineRule="auto"/>
        <w:jc w:val="left"/>
        <w:rPr>
          <w:rFonts w:ascii="Times New Roman" w:cs="Times New Roman" w:eastAsia="Times New Roman" w:hAnsi="Times New Roman"/>
          <w:sz w:val="24"/>
          <w:szCs w:val="24"/>
        </w:rPr>
      </w:pPr>
      <w:r w:rsidDel="00000000" w:rsidR="00000000" w:rsidRPr="00000000">
        <w:rPr>
          <w:rtl w:val="0"/>
        </w:rPr>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