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A4CE" w14:textId="77777777" w:rsidR="000F5F0B" w:rsidRDefault="000F5F0B">
      <w:pPr>
        <w:spacing w:after="60"/>
        <w:jc w:val="center"/>
        <w:rPr>
          <w:rFonts w:ascii="Times New Roman" w:hAnsi="Times New Roman" w:cs="Times New Roman"/>
          <w:b/>
          <w:bCs/>
          <w:sz w:val="32"/>
          <w:szCs w:val="32"/>
        </w:rPr>
      </w:pPr>
      <w:r w:rsidRPr="000F5F0B">
        <w:rPr>
          <w:rFonts w:ascii="Times New Roman" w:hAnsi="Times New Roman" w:cs="Times New Roman"/>
          <w:b/>
          <w:bCs/>
          <w:sz w:val="32"/>
          <w:szCs w:val="32"/>
        </w:rPr>
        <w:t>Operationalizing GIS and Machine Learning across Contrasting Cropping Systems</w:t>
      </w:r>
    </w:p>
    <w:p w14:paraId="60300104" w14:textId="77777777" w:rsidR="00A45A65" w:rsidRPr="00B7693E" w:rsidRDefault="00A45A65" w:rsidP="00A45A65">
      <w:pPr>
        <w:pStyle w:val="BodyText"/>
        <w:jc w:val="center"/>
        <w:rPr>
          <w:rFonts w:ascii="Times New Roman" w:hAnsi="Times New Roman" w:cs="Times New Roman"/>
          <w:b/>
          <w:sz w:val="22"/>
          <w:szCs w:val="22"/>
        </w:rPr>
      </w:pPr>
      <w:r>
        <w:rPr>
          <w:rFonts w:ascii="Times New Roman" w:hAnsi="Times New Roman" w:cs="Times New Roman"/>
          <w:b/>
        </w:rPr>
        <w:t>Naziru Halilu</w:t>
      </w:r>
      <w:r>
        <w:rPr>
          <w:rFonts w:ascii="Times New Roman" w:hAnsi="Times New Roman" w:cs="Times New Roman"/>
          <w:b/>
          <w:vertAlign w:val="superscript"/>
        </w:rPr>
        <w:t>1,2,3</w:t>
      </w:r>
      <w:r>
        <w:rPr>
          <w:rFonts w:ascii="Times New Roman" w:hAnsi="Times New Roman" w:cs="Times New Roman"/>
          <w:b/>
          <w:bCs/>
        </w:rPr>
        <w:t>*</w:t>
      </w:r>
      <w:r>
        <w:rPr>
          <w:rFonts w:ascii="Times New Roman" w:hAnsi="Times New Roman" w:cs="Times New Roman"/>
          <w:b/>
          <w:sz w:val="22"/>
          <w:szCs w:val="22"/>
        </w:rPr>
        <w:t xml:space="preserve"> Juwairiyyah Sulaiman</w:t>
      </w:r>
      <w:r>
        <w:rPr>
          <w:rFonts w:ascii="Times New Roman" w:hAnsi="Times New Roman" w:cs="Times New Roman"/>
          <w:b/>
          <w:sz w:val="22"/>
          <w:szCs w:val="22"/>
          <w:vertAlign w:val="superscript"/>
        </w:rPr>
        <w:t>4</w:t>
      </w:r>
    </w:p>
    <w:p w14:paraId="2CA3E234" w14:textId="77777777" w:rsidR="00A45A65" w:rsidRPr="00515E6A" w:rsidRDefault="00A45A65" w:rsidP="00A45A65">
      <w:pPr>
        <w:jc w:val="center"/>
        <w:rPr>
          <w:rFonts w:ascii="Times New Roman" w:hAnsi="Times New Roman" w:cs="Times New Roman"/>
          <w:i/>
          <w:iCs/>
          <w:sz w:val="20"/>
          <w:szCs w:val="20"/>
        </w:rPr>
      </w:pPr>
      <w:r>
        <w:rPr>
          <w:rFonts w:ascii="Times New Roman" w:hAnsi="Times New Roman" w:cs="Times New Roman"/>
          <w:i/>
          <w:iCs/>
          <w:sz w:val="20"/>
          <w:szCs w:val="20"/>
          <w:vertAlign w:val="superscript"/>
        </w:rPr>
        <w:t>1</w:t>
      </w:r>
      <w:r>
        <w:rPr>
          <w:rFonts w:ascii="Times New Roman" w:hAnsi="Times New Roman" w:cs="Times New Roman"/>
          <w:i/>
          <w:iCs/>
          <w:sz w:val="20"/>
          <w:szCs w:val="20"/>
        </w:rPr>
        <w:t xml:space="preserve"> Public University of Navarre, 31006 Pamplona, Spain</w:t>
      </w:r>
    </w:p>
    <w:p w14:paraId="2629A003" w14:textId="77777777" w:rsidR="00A45A65" w:rsidRPr="00515E6A" w:rsidRDefault="00A45A65" w:rsidP="00A45A65">
      <w:pPr>
        <w:jc w:val="center"/>
        <w:rPr>
          <w:rFonts w:ascii="Times New Roman" w:hAnsi="Times New Roman" w:cs="Times New Roman"/>
          <w:i/>
          <w:iCs/>
          <w:sz w:val="20"/>
          <w:szCs w:val="20"/>
        </w:rPr>
      </w:pPr>
      <w:r>
        <w:rPr>
          <w:rFonts w:ascii="Times New Roman" w:hAnsi="Times New Roman" w:cs="Times New Roman"/>
          <w:i/>
          <w:iCs/>
          <w:sz w:val="20"/>
          <w:szCs w:val="20"/>
          <w:vertAlign w:val="superscript"/>
        </w:rPr>
        <w:t>2</w:t>
      </w:r>
      <w:r>
        <w:rPr>
          <w:rFonts w:ascii="Times New Roman" w:hAnsi="Times New Roman" w:cs="Times New Roman"/>
          <w:i/>
          <w:iCs/>
          <w:sz w:val="20"/>
          <w:szCs w:val="20"/>
        </w:rPr>
        <w:t xml:space="preserve"> Agricultural University of Athens, 118 55 Athens, Greece</w:t>
      </w:r>
    </w:p>
    <w:p w14:paraId="25EC52A2" w14:textId="77777777" w:rsidR="00A45A65" w:rsidRPr="00515E6A" w:rsidRDefault="00A45A65" w:rsidP="00A45A65">
      <w:pPr>
        <w:jc w:val="center"/>
        <w:rPr>
          <w:rFonts w:ascii="Times New Roman" w:hAnsi="Times New Roman" w:cs="Times New Roman"/>
          <w:i/>
          <w:iCs/>
          <w:sz w:val="20"/>
          <w:szCs w:val="20"/>
          <w:lang w:val="pt-BR"/>
        </w:rPr>
      </w:pPr>
      <w:r>
        <w:rPr>
          <w:rFonts w:ascii="Times New Roman" w:hAnsi="Times New Roman" w:cs="Times New Roman"/>
          <w:i/>
          <w:iCs/>
          <w:sz w:val="20"/>
          <w:szCs w:val="20"/>
          <w:vertAlign w:val="superscript"/>
          <w:lang w:val="pt-BR"/>
        </w:rPr>
        <w:t>3</w:t>
      </w:r>
      <w:r>
        <w:rPr>
          <w:rFonts w:ascii="Times New Roman" w:hAnsi="Times New Roman" w:cs="Times New Roman"/>
          <w:i/>
          <w:iCs/>
          <w:sz w:val="20"/>
          <w:szCs w:val="20"/>
          <w:lang w:val="pt-BR"/>
        </w:rPr>
        <w:t xml:space="preserve"> University of Trás-os-Montes e Alto Douro, 5000-801 Vila Real, Portugal</w:t>
      </w:r>
    </w:p>
    <w:p w14:paraId="762AC586" w14:textId="77777777" w:rsidR="00A45A65" w:rsidRPr="000F1F73" w:rsidRDefault="00A45A65" w:rsidP="00A45A65">
      <w:pPr>
        <w:pStyle w:val="BodyText"/>
        <w:spacing w:before="0" w:after="0"/>
        <w:jc w:val="center"/>
        <w:rPr>
          <w:i/>
          <w:iCs/>
          <w:sz w:val="20"/>
          <w:szCs w:val="20"/>
        </w:rPr>
      </w:pPr>
      <w:r>
        <w:rPr>
          <w:i/>
          <w:iCs/>
          <w:sz w:val="20"/>
          <w:szCs w:val="20"/>
          <w:vertAlign w:val="superscript"/>
        </w:rPr>
        <w:t>4</w:t>
      </w:r>
      <w:r>
        <w:rPr>
          <w:i/>
          <w:iCs/>
          <w:sz w:val="20"/>
          <w:szCs w:val="20"/>
        </w:rPr>
        <w:t xml:space="preserve"> </w:t>
      </w:r>
      <w:r>
        <w:rPr>
          <w:rFonts w:ascii="Times New Roman" w:hAnsi="Times New Roman" w:cs="Times New Roman"/>
          <w:i/>
          <w:iCs/>
          <w:sz w:val="20"/>
          <w:szCs w:val="20"/>
        </w:rPr>
        <w:t xml:space="preserve">Federal University </w:t>
      </w:r>
      <w:proofErr w:type="spellStart"/>
      <w:r>
        <w:rPr>
          <w:rFonts w:ascii="Times New Roman" w:hAnsi="Times New Roman" w:cs="Times New Roman"/>
          <w:i/>
          <w:iCs/>
          <w:sz w:val="20"/>
          <w:szCs w:val="20"/>
        </w:rPr>
        <w:t>Dutse</w:t>
      </w:r>
      <w:proofErr w:type="spellEnd"/>
      <w:r>
        <w:rPr>
          <w:rFonts w:ascii="Times New Roman" w:hAnsi="Times New Roman" w:cs="Times New Roman"/>
          <w:i/>
          <w:iCs/>
          <w:sz w:val="20"/>
          <w:szCs w:val="20"/>
        </w:rPr>
        <w:t>, 720221, Nigeria</w:t>
      </w:r>
    </w:p>
    <w:p w14:paraId="4B51919E" w14:textId="77777777" w:rsidR="00ED74D0" w:rsidRPr="0079167A" w:rsidRDefault="00000000">
      <w:pPr>
        <w:pStyle w:val="Heading1"/>
        <w:spacing w:before="320" w:after="160"/>
        <w:rPr>
          <w:rFonts w:ascii="Times New Roman" w:hAnsi="Times New Roman" w:cs="Times New Roman"/>
          <w:color w:val="auto"/>
        </w:rPr>
      </w:pPr>
      <w:r w:rsidRPr="0079167A">
        <w:rPr>
          <w:rFonts w:ascii="Times New Roman" w:hAnsi="Times New Roman" w:cs="Times New Roman"/>
          <w:color w:val="auto"/>
        </w:rPr>
        <w:t>Abstract</w:t>
      </w:r>
    </w:p>
    <w:p w14:paraId="134C40D4" w14:textId="4E1CC672" w:rsidR="00ED74D0" w:rsidRPr="000F5F0B" w:rsidRDefault="00000000">
      <w:pPr>
        <w:spacing w:after="160"/>
        <w:jc w:val="both"/>
        <w:rPr>
          <w:rFonts w:ascii="Times New Roman" w:hAnsi="Times New Roman" w:cs="Times New Roman"/>
        </w:rPr>
      </w:pPr>
      <w:r w:rsidRPr="0079167A">
        <w:rPr>
          <w:rFonts w:ascii="Times New Roman" w:hAnsi="Times New Roman" w:cs="Times New Roman"/>
        </w:rPr>
        <w:t>Fragmented, farm</w:t>
      </w:r>
      <w:r w:rsidRPr="000F5F0B">
        <w:rPr>
          <w:rFonts w:ascii="Times New Roman" w:hAnsi="Times New Roman" w:cs="Times New Roman"/>
        </w:rPr>
        <w:t xml:space="preserve">-scale precision-agriculture case studies are common in training and consultancy settings but are rarely </w:t>
      </w:r>
      <w:proofErr w:type="spellStart"/>
      <w:r w:rsidRPr="000F5F0B">
        <w:rPr>
          <w:rFonts w:ascii="Times New Roman" w:hAnsi="Times New Roman" w:cs="Times New Roman"/>
        </w:rPr>
        <w:t>synthesised</w:t>
      </w:r>
      <w:proofErr w:type="spellEnd"/>
      <w:r w:rsidRPr="000F5F0B">
        <w:rPr>
          <w:rFonts w:ascii="Times New Roman" w:hAnsi="Times New Roman" w:cs="Times New Roman"/>
        </w:rPr>
        <w:t xml:space="preserve"> into a single comparative analysis across cropping systems. This study integrates three independent Geographic Information System (GIS) and remote-sensing field campaigns conducted in northern and central Portugal into one comparative framework: (</w:t>
      </w:r>
      <w:proofErr w:type="spellStart"/>
      <w:r w:rsidRPr="000F5F0B">
        <w:rPr>
          <w:rFonts w:ascii="Times New Roman" w:hAnsi="Times New Roman" w:cs="Times New Roman"/>
        </w:rPr>
        <w:t>i</w:t>
      </w:r>
      <w:proofErr w:type="spellEnd"/>
      <w:r w:rsidRPr="000F5F0B">
        <w:rPr>
          <w:rFonts w:ascii="Times New Roman" w:hAnsi="Times New Roman" w:cs="Times New Roman"/>
        </w:rPr>
        <w:t>) spatial fertility mapping and variable-rate prescription for a maize (</w:t>
      </w:r>
      <w:r w:rsidRPr="000F5F0B">
        <w:rPr>
          <w:rFonts w:ascii="Times New Roman" w:hAnsi="Times New Roman" w:cs="Times New Roman"/>
          <w:i/>
          <w:iCs/>
        </w:rPr>
        <w:t>Zea mays</w:t>
      </w:r>
      <w:r w:rsidRPr="000F5F0B">
        <w:rPr>
          <w:rFonts w:ascii="Times New Roman" w:hAnsi="Times New Roman" w:cs="Times New Roman"/>
        </w:rPr>
        <w:t xml:space="preserve"> L.) field in Coimbra (16.85 ha); (ii) GIS-based monitoring of the European grapevine moth (</w:t>
      </w:r>
      <w:proofErr w:type="spellStart"/>
      <w:r w:rsidRPr="000F5F0B">
        <w:rPr>
          <w:rFonts w:ascii="Times New Roman" w:hAnsi="Times New Roman" w:cs="Times New Roman"/>
          <w:i/>
          <w:iCs/>
        </w:rPr>
        <w:t>Lobesia</w:t>
      </w:r>
      <w:proofErr w:type="spellEnd"/>
      <w:r w:rsidRPr="000F5F0B">
        <w:rPr>
          <w:rFonts w:ascii="Times New Roman" w:hAnsi="Times New Roman" w:cs="Times New Roman"/>
          <w:i/>
          <w:iCs/>
        </w:rPr>
        <w:t xml:space="preserve"> </w:t>
      </w:r>
      <w:proofErr w:type="spellStart"/>
      <w:r w:rsidRPr="000F5F0B">
        <w:rPr>
          <w:rFonts w:ascii="Times New Roman" w:hAnsi="Times New Roman" w:cs="Times New Roman"/>
          <w:i/>
          <w:iCs/>
        </w:rPr>
        <w:t>botrana</w:t>
      </w:r>
      <w:proofErr w:type="spellEnd"/>
      <w:r w:rsidRPr="000F5F0B">
        <w:rPr>
          <w:rFonts w:ascii="Times New Roman" w:hAnsi="Times New Roman" w:cs="Times New Roman"/>
        </w:rPr>
        <w:t xml:space="preserve">) across three generations at Quinta da Senhora da Graça, Douro Region (42.97 ha); and (iii) Brix-based ripening and harvest-date prediction integrated with </w:t>
      </w:r>
      <w:proofErr w:type="spellStart"/>
      <w:r w:rsidRPr="000F5F0B">
        <w:rPr>
          <w:rFonts w:ascii="Times New Roman" w:hAnsi="Times New Roman" w:cs="Times New Roman"/>
        </w:rPr>
        <w:t>Normalised</w:t>
      </w:r>
      <w:proofErr w:type="spellEnd"/>
      <w:r w:rsidRPr="000F5F0B">
        <w:rPr>
          <w:rFonts w:ascii="Times New Roman" w:hAnsi="Times New Roman" w:cs="Times New Roman"/>
        </w:rPr>
        <w:t xml:space="preserve"> Difference Vegetation Index (NDVI) monitoring at Quinta de Nossa Senhora de Lurdes, Vila Real (6 ha). Across the three sites, Inverse Distance Weighting (IDW) interpolation, Thiessen/Voronoi tessellation, and multispectral vegetation indices were used to convert point-sampled field and laboratory measurements into continuous management surfaces. In the maize system, corn yield correlated strongly with deep soil-water content (r = 0.972) and potassium oxide (r = 0.751), and a quadratic yield–</w:t>
      </w:r>
      <w:proofErr w:type="spellStart"/>
      <w:r w:rsidRPr="000F5F0B">
        <w:rPr>
          <w:rFonts w:ascii="Times New Roman" w:hAnsi="Times New Roman" w:cs="Times New Roman"/>
        </w:rPr>
        <w:t>fertiliser</w:t>
      </w:r>
      <w:proofErr w:type="spellEnd"/>
      <w:r w:rsidRPr="000F5F0B">
        <w:rPr>
          <w:rFonts w:ascii="Times New Roman" w:hAnsi="Times New Roman" w:cs="Times New Roman"/>
        </w:rPr>
        <w:t xml:space="preserve"> regression (R² = 0.995) supported a variable-rate nitrogen–phosphorus–potassium (NPK) and liming </w:t>
      </w:r>
      <w:proofErr w:type="spellStart"/>
      <w:r w:rsidRPr="000F5F0B">
        <w:rPr>
          <w:rFonts w:ascii="Times New Roman" w:hAnsi="Times New Roman" w:cs="Times New Roman"/>
        </w:rPr>
        <w:t>programme</w:t>
      </w:r>
      <w:proofErr w:type="spellEnd"/>
      <w:r w:rsidRPr="000F5F0B">
        <w:rPr>
          <w:rFonts w:ascii="Times New Roman" w:hAnsi="Times New Roman" w:cs="Times New Roman"/>
        </w:rPr>
        <w:t xml:space="preserve"> that reduced total lime demand by 2.69 t relative to uniform application. In the vineyard pest system, pheromone-trap captures showed a consistent three-generation spatial pattern, with early-season infestation concentrated at forest-edge refugia and a second-generation surge (trap counts 16–18) driving the principal within-season damage peak. In the ripening-prediction system, a logarithmic Brix–Julian-day regression (R² = 0.978) forecast harvest maturity (25.5–27 ºBx) around 13 September, and an in-sample NDVI–Brix regression explained 88% of variance (R² = 0.880). To test whether these empirical approaches could be improved upon, the Brix dataset (68 georeferenced points × 5 dates) was further </w:t>
      </w:r>
      <w:proofErr w:type="spellStart"/>
      <w:r w:rsidRPr="000F5F0B">
        <w:rPr>
          <w:rFonts w:ascii="Times New Roman" w:hAnsi="Times New Roman" w:cs="Times New Roman"/>
        </w:rPr>
        <w:t>analysed</w:t>
      </w:r>
      <w:proofErr w:type="spellEnd"/>
      <w:r w:rsidRPr="000F5F0B">
        <w:rPr>
          <w:rFonts w:ascii="Times New Roman" w:hAnsi="Times New Roman" w:cs="Times New Roman"/>
        </w:rPr>
        <w:t xml:space="preserve"> using a hybrid machine-learning regression-kriging framework (Random Forest and Gradient Boosting trend models with kriged-residual correction), rigorously evaluated using spatially grouped cross-validation. Under this stricter validation, predictive skill fell to R² = 0.538 for IDW and R² = 0.520 for Random Forest, with the machine-learning and hybrid regression-kriging models failing to outperform the simple IDW baseline at this sampling density</w:t>
      </w:r>
      <w:r w:rsidR="000F5F0B">
        <w:rPr>
          <w:rFonts w:ascii="Times New Roman" w:hAnsi="Times New Roman" w:cs="Times New Roman"/>
        </w:rPr>
        <w:t xml:space="preserve"> </w:t>
      </w:r>
      <w:r w:rsidRPr="000F5F0B">
        <w:rPr>
          <w:rFonts w:ascii="Times New Roman" w:hAnsi="Times New Roman" w:cs="Times New Roman"/>
        </w:rPr>
        <w:t>a transparent, cross-validated finding that both benchmarks the real-world reliability of the original in-sample statistics and identifies the sampling density and covariate strength needed before hybrid regression-kriging is likely to add value in this system. Considered together, the three case studies demonstrate that low-cost, field-deployable GIS/remote-sensing workflows can support site-specific decision-making across structurally different agricultural systems (annual arable, perennial pest management, and perennial ripening forecasting), while also revealing shared methodological constraints</w:t>
      </w:r>
      <w:r w:rsidR="000F5F0B">
        <w:rPr>
          <w:rFonts w:ascii="Times New Roman" w:hAnsi="Times New Roman" w:cs="Times New Roman"/>
        </w:rPr>
        <w:t xml:space="preserve"> </w:t>
      </w:r>
      <w:r w:rsidRPr="000F5F0B">
        <w:rPr>
          <w:rFonts w:ascii="Times New Roman" w:hAnsi="Times New Roman" w:cs="Times New Roman"/>
        </w:rPr>
        <w:t>principally limited replication, single-season sampling, and modest sampling density relative to what geostatistical and machine-learning methods require that should guide the design of larger, multi-season precision-agriculture trials.</w:t>
      </w:r>
    </w:p>
    <w:p w14:paraId="6F5FC41A" w14:textId="6328EB57" w:rsidR="00ED74D0" w:rsidRDefault="00000000">
      <w:pPr>
        <w:spacing w:after="160"/>
        <w:jc w:val="both"/>
        <w:rPr>
          <w:rFonts w:ascii="Times New Roman" w:hAnsi="Times New Roman" w:cs="Times New Roman"/>
          <w:b/>
          <w:bCs/>
        </w:rPr>
      </w:pPr>
      <w:r w:rsidRPr="0079167A">
        <w:rPr>
          <w:rFonts w:ascii="Times New Roman" w:hAnsi="Times New Roman" w:cs="Times New Roman"/>
          <w:b/>
          <w:bCs/>
        </w:rPr>
        <w:t>Keywords: Precision agriculture; Geographic Information Systems; remote sensing;</w:t>
      </w:r>
      <w:r w:rsidR="000F5F0B" w:rsidRPr="0079167A">
        <w:rPr>
          <w:rFonts w:ascii="Times New Roman" w:hAnsi="Times New Roman" w:cs="Times New Roman"/>
          <w:b/>
          <w:bCs/>
        </w:rPr>
        <w:t xml:space="preserve"> </w:t>
      </w:r>
      <w:r w:rsidRPr="0079167A">
        <w:rPr>
          <w:rFonts w:ascii="Times New Roman" w:hAnsi="Times New Roman" w:cs="Times New Roman"/>
          <w:b/>
          <w:bCs/>
        </w:rPr>
        <w:t xml:space="preserve">variable-rate </w:t>
      </w:r>
    </w:p>
    <w:p w14:paraId="0FE3C9F2" w14:textId="5416C0FA" w:rsidR="005F228D" w:rsidRPr="0079167A" w:rsidRDefault="005F228D">
      <w:pPr>
        <w:spacing w:after="160"/>
        <w:jc w:val="both"/>
        <w:rPr>
          <w:rFonts w:ascii="Times New Roman" w:hAnsi="Times New Roman" w:cs="Times New Roman"/>
          <w:b/>
          <w:bCs/>
        </w:rPr>
      </w:pPr>
      <w:r>
        <w:rPr>
          <w:rFonts w:ascii="Times New Roman" w:hAnsi="Times New Roman" w:cs="Times New Roman"/>
          <w:b/>
          <w:bCs/>
        </w:rPr>
        <w:t>Corresponding A</w:t>
      </w:r>
      <w:r w:rsidR="002A118F">
        <w:rPr>
          <w:rFonts w:ascii="Times New Roman" w:hAnsi="Times New Roman" w:cs="Times New Roman"/>
          <w:b/>
          <w:bCs/>
        </w:rPr>
        <w:t xml:space="preserve">uthor: </w:t>
      </w:r>
      <w:hyperlink r:id="rId6" w:history="1">
        <w:r w:rsidR="002A118F" w:rsidRPr="009D13F3">
          <w:rPr>
            <w:rStyle w:val="Hyperlink"/>
            <w:rFonts w:ascii="Times New Roman" w:hAnsi="Times New Roman" w:cs="Times New Roman"/>
            <w:b/>
            <w:bCs/>
          </w:rPr>
          <w:t>halilunaziru73@gmail.com</w:t>
        </w:r>
      </w:hyperlink>
      <w:r w:rsidR="002A118F">
        <w:rPr>
          <w:rFonts w:ascii="Times New Roman" w:hAnsi="Times New Roman" w:cs="Times New Roman"/>
          <w:b/>
          <w:bCs/>
        </w:rPr>
        <w:t>/</w:t>
      </w:r>
      <w:hyperlink r:id="rId7" w:history="1">
        <w:r w:rsidR="009D13F3" w:rsidRPr="009D13F3">
          <w:rPr>
            <w:rStyle w:val="Hyperlink"/>
            <w:rFonts w:ascii="Times New Roman" w:hAnsi="Times New Roman" w:cs="Times New Roman"/>
            <w:b/>
            <w:bCs/>
          </w:rPr>
          <w:t>halilu.175366@e.unavarra.es</w:t>
        </w:r>
      </w:hyperlink>
    </w:p>
    <w:p w14:paraId="5E03DB43" w14:textId="77777777" w:rsidR="000F5F0B" w:rsidRDefault="000F5F0B">
      <w:pPr>
        <w:pStyle w:val="Heading1"/>
        <w:spacing w:before="320" w:after="160"/>
        <w:rPr>
          <w:rFonts w:ascii="Times New Roman" w:hAnsi="Times New Roman" w:cs="Times New Roman"/>
        </w:rPr>
      </w:pPr>
    </w:p>
    <w:p w14:paraId="53D58AEE" w14:textId="62CDD73D" w:rsidR="00ED74D0" w:rsidRPr="000F5F0B" w:rsidRDefault="00000000" w:rsidP="000F5F0B">
      <w:pPr>
        <w:pStyle w:val="Heading1"/>
        <w:spacing w:before="320" w:after="160"/>
        <w:rPr>
          <w:rFonts w:ascii="Times New Roman" w:hAnsi="Times New Roman" w:cs="Times New Roman"/>
          <w:color w:val="auto"/>
        </w:rPr>
      </w:pPr>
      <w:r w:rsidRPr="000F5F0B">
        <w:rPr>
          <w:rFonts w:ascii="Times New Roman" w:hAnsi="Times New Roman" w:cs="Times New Roman"/>
          <w:color w:val="auto"/>
        </w:rPr>
        <w:lastRenderedPageBreak/>
        <w:t>Nomenclature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ED74D0" w:rsidRPr="000F5F0B" w14:paraId="01511C5C" w14:textId="77777777">
        <w:tblPrEx>
          <w:tblCellMar>
            <w:top w:w="0" w:type="dxa"/>
            <w:bottom w:w="0" w:type="dxa"/>
          </w:tblCellMar>
        </w:tblPrEx>
        <w:tc>
          <w:tcPr>
            <w:tcW w:w="3000" w:type="dxa"/>
            <w:shd w:val="clear" w:color="auto" w:fill="D9D9D9"/>
          </w:tcPr>
          <w:p w14:paraId="423FB55C"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Symbol</w:t>
            </w:r>
          </w:p>
        </w:tc>
        <w:tc>
          <w:tcPr>
            <w:tcW w:w="6350" w:type="dxa"/>
            <w:shd w:val="clear" w:color="auto" w:fill="D9D9D9"/>
          </w:tcPr>
          <w:p w14:paraId="211D6FA7"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Meaning</w:t>
            </w:r>
          </w:p>
        </w:tc>
      </w:tr>
      <w:tr w:rsidR="00ED74D0" w:rsidRPr="000F5F0B" w14:paraId="5E0A09FC" w14:textId="77777777">
        <w:tblPrEx>
          <w:tblCellMar>
            <w:top w:w="0" w:type="dxa"/>
            <w:bottom w:w="0" w:type="dxa"/>
          </w:tblCellMar>
        </w:tblPrEx>
        <w:tc>
          <w:tcPr>
            <w:tcW w:w="3000" w:type="dxa"/>
          </w:tcPr>
          <w:p w14:paraId="1FB99BD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Z(s⁰), Ẑ(s⁰)</w:t>
            </w:r>
          </w:p>
        </w:tc>
        <w:tc>
          <w:tcPr>
            <w:tcW w:w="6350" w:type="dxa"/>
          </w:tcPr>
          <w:p w14:paraId="2E9D27B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Observed / interpolated value of the target variable at location s⁰</w:t>
            </w:r>
          </w:p>
        </w:tc>
      </w:tr>
      <w:tr w:rsidR="00ED74D0" w:rsidRPr="000F5F0B" w14:paraId="4B596767" w14:textId="77777777">
        <w:tblPrEx>
          <w:tblCellMar>
            <w:top w:w="0" w:type="dxa"/>
            <w:bottom w:w="0" w:type="dxa"/>
          </w:tblCellMar>
        </w:tblPrEx>
        <w:tc>
          <w:tcPr>
            <w:tcW w:w="3000" w:type="dxa"/>
          </w:tcPr>
          <w:p w14:paraId="422DF0F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dᵢ, p</w:t>
            </w:r>
          </w:p>
        </w:tc>
        <w:tc>
          <w:tcPr>
            <w:tcW w:w="6350" w:type="dxa"/>
          </w:tcPr>
          <w:p w14:paraId="7781D871"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 xml:space="preserve">Distance to sample </w:t>
            </w:r>
            <w:proofErr w:type="spellStart"/>
            <w:r w:rsidRPr="000F5F0B">
              <w:rPr>
                <w:rFonts w:ascii="Times New Roman" w:hAnsi="Times New Roman" w:cs="Times New Roman"/>
                <w:sz w:val="20"/>
                <w:szCs w:val="20"/>
              </w:rPr>
              <w:t>i</w:t>
            </w:r>
            <w:proofErr w:type="spellEnd"/>
            <w:r w:rsidRPr="000F5F0B">
              <w:rPr>
                <w:rFonts w:ascii="Times New Roman" w:hAnsi="Times New Roman" w:cs="Times New Roman"/>
                <w:sz w:val="20"/>
                <w:szCs w:val="20"/>
              </w:rPr>
              <w:t>; IDW distance-decay power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w:t>
            </w:r>
          </w:p>
        </w:tc>
      </w:tr>
      <w:tr w:rsidR="00ED74D0" w:rsidRPr="000F5F0B" w14:paraId="4309122A" w14:textId="77777777">
        <w:tblPrEx>
          <w:tblCellMar>
            <w:top w:w="0" w:type="dxa"/>
            <w:bottom w:w="0" w:type="dxa"/>
          </w:tblCellMar>
        </w:tblPrEx>
        <w:tc>
          <w:tcPr>
            <w:tcW w:w="3000" w:type="dxa"/>
          </w:tcPr>
          <w:p w14:paraId="3FE0BA1A" w14:textId="77777777" w:rsidR="00ED74D0" w:rsidRPr="000F5F0B" w:rsidRDefault="00000000">
            <w:pPr>
              <w:rPr>
                <w:rFonts w:ascii="Times New Roman" w:hAnsi="Times New Roman" w:cs="Times New Roman"/>
              </w:rPr>
            </w:pPr>
            <w:proofErr w:type="spellStart"/>
            <w:r w:rsidRPr="000F5F0B">
              <w:rPr>
                <w:rFonts w:ascii="Times New Roman" w:hAnsi="Times New Roman" w:cs="Times New Roman"/>
                <w:sz w:val="20"/>
                <w:szCs w:val="20"/>
              </w:rPr>
              <w:t>ρNIR</w:t>
            </w:r>
            <w:proofErr w:type="spellEnd"/>
            <w:r w:rsidRPr="000F5F0B">
              <w:rPr>
                <w:rFonts w:ascii="Times New Roman" w:hAnsi="Times New Roman" w:cs="Times New Roman"/>
                <w:sz w:val="20"/>
                <w:szCs w:val="20"/>
              </w:rPr>
              <w:t xml:space="preserve">, </w:t>
            </w:r>
            <w:proofErr w:type="spellStart"/>
            <w:r w:rsidRPr="000F5F0B">
              <w:rPr>
                <w:rFonts w:ascii="Times New Roman" w:hAnsi="Times New Roman" w:cs="Times New Roman"/>
                <w:sz w:val="20"/>
                <w:szCs w:val="20"/>
              </w:rPr>
              <w:t>ρRED</w:t>
            </w:r>
            <w:proofErr w:type="spellEnd"/>
          </w:p>
        </w:tc>
        <w:tc>
          <w:tcPr>
            <w:tcW w:w="6350" w:type="dxa"/>
          </w:tcPr>
          <w:p w14:paraId="2B504F9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Near-infrared and red-band surface reflectance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2)</w:t>
            </w:r>
          </w:p>
        </w:tc>
      </w:tr>
      <w:tr w:rsidR="00ED74D0" w:rsidRPr="000F5F0B" w14:paraId="5AC7B0CF" w14:textId="77777777">
        <w:tblPrEx>
          <w:tblCellMar>
            <w:top w:w="0" w:type="dxa"/>
            <w:bottom w:w="0" w:type="dxa"/>
          </w:tblCellMar>
        </w:tblPrEx>
        <w:tc>
          <w:tcPr>
            <w:tcW w:w="3000" w:type="dxa"/>
          </w:tcPr>
          <w:p w14:paraId="4E0AC0B4" w14:textId="77777777" w:rsidR="00ED74D0" w:rsidRPr="000F5F0B" w:rsidRDefault="00000000">
            <w:pPr>
              <w:rPr>
                <w:rFonts w:ascii="Times New Roman" w:hAnsi="Times New Roman" w:cs="Times New Roman"/>
              </w:rPr>
            </w:pPr>
            <w:proofErr w:type="spellStart"/>
            <w:r w:rsidRPr="000F5F0B">
              <w:rPr>
                <w:rFonts w:ascii="Times New Roman" w:hAnsi="Times New Roman" w:cs="Times New Roman"/>
                <w:sz w:val="20"/>
                <w:szCs w:val="20"/>
              </w:rPr>
              <w:t>ρhaze</w:t>
            </w:r>
            <w:proofErr w:type="spellEnd"/>
          </w:p>
        </w:tc>
        <w:tc>
          <w:tcPr>
            <w:tcW w:w="6350" w:type="dxa"/>
          </w:tcPr>
          <w:p w14:paraId="0D8FA55E"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Dark-object (minimum) reflectance used for atmospheric correction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3)</w:t>
            </w:r>
          </w:p>
        </w:tc>
      </w:tr>
      <w:tr w:rsidR="00ED74D0" w:rsidRPr="000F5F0B" w14:paraId="47B3D62A" w14:textId="77777777">
        <w:tblPrEx>
          <w:tblCellMar>
            <w:top w:w="0" w:type="dxa"/>
            <w:bottom w:w="0" w:type="dxa"/>
          </w:tblCellMar>
        </w:tblPrEx>
        <w:tc>
          <w:tcPr>
            <w:tcW w:w="3000" w:type="dxa"/>
          </w:tcPr>
          <w:p w14:paraId="39D6CEB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 R²</w:t>
            </w:r>
          </w:p>
        </w:tc>
        <w:tc>
          <w:tcPr>
            <w:tcW w:w="6350" w:type="dxa"/>
          </w:tcPr>
          <w:p w14:paraId="00C604D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Pearson correlation coefficient; coefficient of determination (</w:t>
            </w:r>
            <w:proofErr w:type="spellStart"/>
            <w:r w:rsidRPr="000F5F0B">
              <w:rPr>
                <w:rFonts w:ascii="Times New Roman" w:hAnsi="Times New Roman" w:cs="Times New Roman"/>
                <w:sz w:val="20"/>
                <w:szCs w:val="20"/>
              </w:rPr>
              <w:t>Eqns</w:t>
            </w:r>
            <w:proofErr w:type="spellEnd"/>
            <w:r w:rsidRPr="000F5F0B">
              <w:rPr>
                <w:rFonts w:ascii="Times New Roman" w:hAnsi="Times New Roman" w:cs="Times New Roman"/>
                <w:sz w:val="20"/>
                <w:szCs w:val="20"/>
              </w:rPr>
              <w:t xml:space="preserve"> 4, 19)</w:t>
            </w:r>
          </w:p>
        </w:tc>
      </w:tr>
      <w:tr w:rsidR="00ED74D0" w:rsidRPr="000F5F0B" w14:paraId="4C2FB9D9" w14:textId="77777777">
        <w:tblPrEx>
          <w:tblCellMar>
            <w:top w:w="0" w:type="dxa"/>
            <w:bottom w:w="0" w:type="dxa"/>
          </w:tblCellMar>
        </w:tblPrEx>
        <w:tc>
          <w:tcPr>
            <w:tcW w:w="3000" w:type="dxa"/>
          </w:tcPr>
          <w:p w14:paraId="592BD5FC"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β₀, β₁, β₂ / γ₀, γ₁, γ₂</w:t>
            </w:r>
          </w:p>
        </w:tc>
        <w:tc>
          <w:tcPr>
            <w:tcW w:w="6350" w:type="dxa"/>
          </w:tcPr>
          <w:p w14:paraId="01BD09D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Quadratic regression coefficients, lime and NPK models (</w:t>
            </w:r>
            <w:proofErr w:type="spellStart"/>
            <w:r w:rsidRPr="000F5F0B">
              <w:rPr>
                <w:rFonts w:ascii="Times New Roman" w:hAnsi="Times New Roman" w:cs="Times New Roman"/>
                <w:sz w:val="20"/>
                <w:szCs w:val="20"/>
              </w:rPr>
              <w:t>Eqns</w:t>
            </w:r>
            <w:proofErr w:type="spellEnd"/>
            <w:r w:rsidRPr="000F5F0B">
              <w:rPr>
                <w:rFonts w:ascii="Times New Roman" w:hAnsi="Times New Roman" w:cs="Times New Roman"/>
                <w:sz w:val="20"/>
                <w:szCs w:val="20"/>
              </w:rPr>
              <w:t xml:space="preserve"> 5, 6)</w:t>
            </w:r>
          </w:p>
        </w:tc>
      </w:tr>
      <w:tr w:rsidR="00ED74D0" w:rsidRPr="000F5F0B" w14:paraId="556D0246" w14:textId="77777777">
        <w:tblPrEx>
          <w:tblCellMar>
            <w:top w:w="0" w:type="dxa"/>
            <w:bottom w:w="0" w:type="dxa"/>
          </w:tblCellMar>
        </w:tblPrEx>
        <w:tc>
          <w:tcPr>
            <w:tcW w:w="3000" w:type="dxa"/>
          </w:tcPr>
          <w:p w14:paraId="5DF9A8E0" w14:textId="77777777" w:rsidR="00ED74D0" w:rsidRPr="000F5F0B" w:rsidRDefault="00000000">
            <w:pPr>
              <w:rPr>
                <w:rFonts w:ascii="Times New Roman" w:hAnsi="Times New Roman" w:cs="Times New Roman"/>
              </w:rPr>
            </w:pPr>
            <w:proofErr w:type="spellStart"/>
            <w:r w:rsidRPr="000F5F0B">
              <w:rPr>
                <w:rFonts w:ascii="Times New Roman" w:hAnsi="Times New Roman" w:cs="Times New Roman"/>
                <w:sz w:val="20"/>
                <w:szCs w:val="20"/>
              </w:rPr>
              <w:t>f̂RF</w:t>
            </w:r>
            <w:proofErr w:type="spellEnd"/>
            <w:r w:rsidRPr="000F5F0B">
              <w:rPr>
                <w:rFonts w:ascii="Times New Roman" w:hAnsi="Times New Roman" w:cs="Times New Roman"/>
                <w:sz w:val="20"/>
                <w:szCs w:val="20"/>
              </w:rPr>
              <w:t>(x), Tᵇ(x)</w:t>
            </w:r>
          </w:p>
        </w:tc>
        <w:tc>
          <w:tcPr>
            <w:tcW w:w="6350" w:type="dxa"/>
          </w:tcPr>
          <w:p w14:paraId="4DD0918F"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Random Forest ensemble prediction; individual tree prediction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7)</w:t>
            </w:r>
          </w:p>
        </w:tc>
      </w:tr>
      <w:tr w:rsidR="00ED74D0" w:rsidRPr="000F5F0B" w14:paraId="2CB2380B" w14:textId="77777777">
        <w:tblPrEx>
          <w:tblCellMar>
            <w:top w:w="0" w:type="dxa"/>
            <w:bottom w:w="0" w:type="dxa"/>
          </w:tblCellMar>
        </w:tblPrEx>
        <w:tc>
          <w:tcPr>
            <w:tcW w:w="3000" w:type="dxa"/>
          </w:tcPr>
          <w:p w14:paraId="51FD23C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Fm(x), hₘ, ν</w:t>
            </w:r>
          </w:p>
        </w:tc>
        <w:tc>
          <w:tcPr>
            <w:tcW w:w="6350" w:type="dxa"/>
          </w:tcPr>
          <w:p w14:paraId="775255C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Gradient Boosting ensemble at stage m; stage learner; learning rate (</w:t>
            </w:r>
            <w:proofErr w:type="spellStart"/>
            <w:r w:rsidRPr="000F5F0B">
              <w:rPr>
                <w:rFonts w:ascii="Times New Roman" w:hAnsi="Times New Roman" w:cs="Times New Roman"/>
                <w:sz w:val="20"/>
                <w:szCs w:val="20"/>
              </w:rPr>
              <w:t>Eqns</w:t>
            </w:r>
            <w:proofErr w:type="spellEnd"/>
            <w:r w:rsidRPr="000F5F0B">
              <w:rPr>
                <w:rFonts w:ascii="Times New Roman" w:hAnsi="Times New Roman" w:cs="Times New Roman"/>
                <w:sz w:val="20"/>
                <w:szCs w:val="20"/>
              </w:rPr>
              <w:t xml:space="preserve"> 8, 9)</w:t>
            </w:r>
          </w:p>
        </w:tc>
      </w:tr>
      <w:tr w:rsidR="00ED74D0" w:rsidRPr="000F5F0B" w14:paraId="39E42BC6" w14:textId="77777777">
        <w:tblPrEx>
          <w:tblCellMar>
            <w:top w:w="0" w:type="dxa"/>
            <w:bottom w:w="0" w:type="dxa"/>
          </w:tblCellMar>
        </w:tblPrEx>
        <w:tc>
          <w:tcPr>
            <w:tcW w:w="3000" w:type="dxa"/>
          </w:tcPr>
          <w:p w14:paraId="4C1CDC08"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hⱼ, wⱼₖ, bⱼ, φ</w:t>
            </w:r>
          </w:p>
        </w:tc>
        <w:tc>
          <w:tcPr>
            <w:tcW w:w="6350" w:type="dxa"/>
          </w:tcPr>
          <w:p w14:paraId="0A31F72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 xml:space="preserve">MLP hidden-unit activation, weights, bias, </w:t>
            </w:r>
            <w:proofErr w:type="spellStart"/>
            <w:r w:rsidRPr="000F5F0B">
              <w:rPr>
                <w:rFonts w:ascii="Times New Roman" w:hAnsi="Times New Roman" w:cs="Times New Roman"/>
                <w:sz w:val="20"/>
                <w:szCs w:val="20"/>
              </w:rPr>
              <w:t>ReLU</w:t>
            </w:r>
            <w:proofErr w:type="spellEnd"/>
            <w:r w:rsidRPr="000F5F0B">
              <w:rPr>
                <w:rFonts w:ascii="Times New Roman" w:hAnsi="Times New Roman" w:cs="Times New Roman"/>
                <w:sz w:val="20"/>
                <w:szCs w:val="20"/>
              </w:rPr>
              <w:t xml:space="preserve"> function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10)</w:t>
            </w:r>
          </w:p>
        </w:tc>
      </w:tr>
      <w:tr w:rsidR="00ED74D0" w:rsidRPr="000F5F0B" w14:paraId="626390E2" w14:textId="77777777">
        <w:tblPrEx>
          <w:tblCellMar>
            <w:top w:w="0" w:type="dxa"/>
            <w:bottom w:w="0" w:type="dxa"/>
          </w:tblCellMar>
        </w:tblPrEx>
        <w:tc>
          <w:tcPr>
            <w:tcW w:w="3000" w:type="dxa"/>
          </w:tcPr>
          <w:p w14:paraId="01702E24" w14:textId="77777777" w:rsidR="00ED74D0" w:rsidRPr="000F5F0B" w:rsidRDefault="00000000">
            <w:pPr>
              <w:rPr>
                <w:rFonts w:ascii="Times New Roman" w:hAnsi="Times New Roman" w:cs="Times New Roman"/>
              </w:rPr>
            </w:pPr>
            <w:proofErr w:type="spellStart"/>
            <w:r w:rsidRPr="000F5F0B">
              <w:rPr>
                <w:rFonts w:ascii="Times New Roman" w:hAnsi="Times New Roman" w:cs="Times New Roman"/>
                <w:sz w:val="20"/>
                <w:szCs w:val="20"/>
              </w:rPr>
              <w:t>f̂stack</w:t>
            </w:r>
            <w:proofErr w:type="spellEnd"/>
            <w:r w:rsidRPr="000F5F0B">
              <w:rPr>
                <w:rFonts w:ascii="Times New Roman" w:hAnsi="Times New Roman" w:cs="Times New Roman"/>
                <w:sz w:val="20"/>
                <w:szCs w:val="20"/>
              </w:rPr>
              <w:t>, α₀–α₃</w:t>
            </w:r>
          </w:p>
        </w:tc>
        <w:tc>
          <w:tcPr>
            <w:tcW w:w="6350" w:type="dxa"/>
          </w:tcPr>
          <w:p w14:paraId="47A6BB1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Stacking-ensemble meta-model prediction and meta-coefficients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11)</w:t>
            </w:r>
          </w:p>
        </w:tc>
      </w:tr>
      <w:tr w:rsidR="00ED74D0" w:rsidRPr="000F5F0B" w14:paraId="52189FF6" w14:textId="77777777">
        <w:tblPrEx>
          <w:tblCellMar>
            <w:top w:w="0" w:type="dxa"/>
            <w:bottom w:w="0" w:type="dxa"/>
          </w:tblCellMar>
        </w:tblPrEx>
        <w:tc>
          <w:tcPr>
            <w:tcW w:w="3000" w:type="dxa"/>
          </w:tcPr>
          <w:p w14:paraId="20BA104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m(s), e(s)</w:t>
            </w:r>
          </w:p>
        </w:tc>
        <w:tc>
          <w:tcPr>
            <w:tcW w:w="6350" w:type="dxa"/>
          </w:tcPr>
          <w:p w14:paraId="1D0E8BDF"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Regression-kriging trend and residual components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12)</w:t>
            </w:r>
          </w:p>
        </w:tc>
      </w:tr>
      <w:tr w:rsidR="00ED74D0" w:rsidRPr="000F5F0B" w14:paraId="428F4DBC" w14:textId="77777777">
        <w:tblPrEx>
          <w:tblCellMar>
            <w:top w:w="0" w:type="dxa"/>
            <w:bottom w:w="0" w:type="dxa"/>
          </w:tblCellMar>
        </w:tblPrEx>
        <w:tc>
          <w:tcPr>
            <w:tcW w:w="3000" w:type="dxa"/>
          </w:tcPr>
          <w:p w14:paraId="15BD71D1"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γ(h), c₀, c, a</w:t>
            </w:r>
          </w:p>
        </w:tc>
        <w:tc>
          <w:tcPr>
            <w:tcW w:w="6350" w:type="dxa"/>
          </w:tcPr>
          <w:p w14:paraId="1FC4236A" w14:textId="77777777" w:rsidR="00ED74D0" w:rsidRPr="000F5F0B" w:rsidRDefault="00000000">
            <w:pPr>
              <w:rPr>
                <w:rFonts w:ascii="Times New Roman" w:hAnsi="Times New Roman" w:cs="Times New Roman"/>
              </w:rPr>
            </w:pPr>
            <w:proofErr w:type="spellStart"/>
            <w:r w:rsidRPr="000F5F0B">
              <w:rPr>
                <w:rFonts w:ascii="Times New Roman" w:hAnsi="Times New Roman" w:cs="Times New Roman"/>
                <w:sz w:val="20"/>
                <w:szCs w:val="20"/>
              </w:rPr>
              <w:t>Semivariance</w:t>
            </w:r>
            <w:proofErr w:type="spellEnd"/>
            <w:r w:rsidRPr="000F5F0B">
              <w:rPr>
                <w:rFonts w:ascii="Times New Roman" w:hAnsi="Times New Roman" w:cs="Times New Roman"/>
                <w:sz w:val="20"/>
                <w:szCs w:val="20"/>
              </w:rPr>
              <w:t xml:space="preserve"> at lag h; nugget; partial sill; range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13)</w:t>
            </w:r>
          </w:p>
        </w:tc>
      </w:tr>
      <w:tr w:rsidR="00ED74D0" w:rsidRPr="000F5F0B" w14:paraId="7BCDBE8C" w14:textId="77777777">
        <w:tblPrEx>
          <w:tblCellMar>
            <w:top w:w="0" w:type="dxa"/>
            <w:bottom w:w="0" w:type="dxa"/>
          </w:tblCellMar>
        </w:tblPrEx>
        <w:tc>
          <w:tcPr>
            <w:tcW w:w="3000" w:type="dxa"/>
          </w:tcPr>
          <w:p w14:paraId="0EA5EFEE"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λⱼ, μ</w:t>
            </w:r>
          </w:p>
        </w:tc>
        <w:tc>
          <w:tcPr>
            <w:tcW w:w="6350" w:type="dxa"/>
          </w:tcPr>
          <w:p w14:paraId="0EF22DA5"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Kriging weights; Lagrange multiplier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14)</w:t>
            </w:r>
          </w:p>
        </w:tc>
      </w:tr>
      <w:tr w:rsidR="00ED74D0" w:rsidRPr="000F5F0B" w14:paraId="381CAE45" w14:textId="77777777">
        <w:tblPrEx>
          <w:tblCellMar>
            <w:top w:w="0" w:type="dxa"/>
            <w:bottom w:w="0" w:type="dxa"/>
          </w:tblCellMar>
        </w:tblPrEx>
        <w:tc>
          <w:tcPr>
            <w:tcW w:w="3000" w:type="dxa"/>
          </w:tcPr>
          <w:p w14:paraId="1F13F62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I, wᵢⱼ, S₀, z̄</w:t>
            </w:r>
          </w:p>
        </w:tc>
        <w:tc>
          <w:tcPr>
            <w:tcW w:w="6350" w:type="dxa"/>
          </w:tcPr>
          <w:p w14:paraId="5BD5E771"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Moran's I statistic, spatial weight, weight sum, sample mean (</w:t>
            </w:r>
            <w:proofErr w:type="spellStart"/>
            <w:r w:rsidRPr="000F5F0B">
              <w:rPr>
                <w:rFonts w:ascii="Times New Roman" w:hAnsi="Times New Roman" w:cs="Times New Roman"/>
                <w:sz w:val="20"/>
                <w:szCs w:val="20"/>
              </w:rPr>
              <w:t>Eqn</w:t>
            </w:r>
            <w:proofErr w:type="spellEnd"/>
            <w:r w:rsidRPr="000F5F0B">
              <w:rPr>
                <w:rFonts w:ascii="Times New Roman" w:hAnsi="Times New Roman" w:cs="Times New Roman"/>
                <w:sz w:val="20"/>
                <w:szCs w:val="20"/>
              </w:rPr>
              <w:t xml:space="preserve"> 16)</w:t>
            </w:r>
          </w:p>
        </w:tc>
      </w:tr>
      <w:tr w:rsidR="00ED74D0" w:rsidRPr="000F5F0B" w14:paraId="58D75FD8" w14:textId="77777777">
        <w:tblPrEx>
          <w:tblCellMar>
            <w:top w:w="0" w:type="dxa"/>
            <w:bottom w:w="0" w:type="dxa"/>
          </w:tblCellMar>
        </w:tblPrEx>
        <w:tc>
          <w:tcPr>
            <w:tcW w:w="3000" w:type="dxa"/>
          </w:tcPr>
          <w:p w14:paraId="3F566D3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RMSE, MAE</w:t>
            </w:r>
          </w:p>
        </w:tc>
        <w:tc>
          <w:tcPr>
            <w:tcW w:w="6350" w:type="dxa"/>
          </w:tcPr>
          <w:p w14:paraId="71A8191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Root-mean-square error; mean absolute error (</w:t>
            </w:r>
            <w:proofErr w:type="spellStart"/>
            <w:r w:rsidRPr="000F5F0B">
              <w:rPr>
                <w:rFonts w:ascii="Times New Roman" w:hAnsi="Times New Roman" w:cs="Times New Roman"/>
                <w:sz w:val="20"/>
                <w:szCs w:val="20"/>
              </w:rPr>
              <w:t>Eqns</w:t>
            </w:r>
            <w:proofErr w:type="spellEnd"/>
            <w:r w:rsidRPr="000F5F0B">
              <w:rPr>
                <w:rFonts w:ascii="Times New Roman" w:hAnsi="Times New Roman" w:cs="Times New Roman"/>
                <w:sz w:val="20"/>
                <w:szCs w:val="20"/>
              </w:rPr>
              <w:t xml:space="preserve"> 17, 18)</w:t>
            </w:r>
          </w:p>
        </w:tc>
      </w:tr>
      <w:tr w:rsidR="00ED74D0" w:rsidRPr="000F5F0B" w14:paraId="7D6FF7D0" w14:textId="77777777">
        <w:tblPrEx>
          <w:tblCellMar>
            <w:top w:w="0" w:type="dxa"/>
            <w:bottom w:w="0" w:type="dxa"/>
          </w:tblCellMar>
        </w:tblPrEx>
        <w:tc>
          <w:tcPr>
            <w:tcW w:w="3000" w:type="dxa"/>
          </w:tcPr>
          <w:p w14:paraId="5984CF3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yᵢ, ŷᵢ, ȳ</w:t>
            </w:r>
          </w:p>
        </w:tc>
        <w:tc>
          <w:tcPr>
            <w:tcW w:w="6350" w:type="dxa"/>
          </w:tcPr>
          <w:p w14:paraId="570F34F8"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Observed value; predicted value; mean observed value (</w:t>
            </w:r>
            <w:proofErr w:type="spellStart"/>
            <w:r w:rsidRPr="000F5F0B">
              <w:rPr>
                <w:rFonts w:ascii="Times New Roman" w:hAnsi="Times New Roman" w:cs="Times New Roman"/>
                <w:sz w:val="20"/>
                <w:szCs w:val="20"/>
              </w:rPr>
              <w:t>Eqns</w:t>
            </w:r>
            <w:proofErr w:type="spellEnd"/>
            <w:r w:rsidRPr="000F5F0B">
              <w:rPr>
                <w:rFonts w:ascii="Times New Roman" w:hAnsi="Times New Roman" w:cs="Times New Roman"/>
                <w:sz w:val="20"/>
                <w:szCs w:val="20"/>
              </w:rPr>
              <w:t xml:space="preserve"> 17–19)</w:t>
            </w:r>
          </w:p>
        </w:tc>
      </w:tr>
    </w:tbl>
    <w:p w14:paraId="4B82F214" w14:textId="77777777" w:rsidR="00ED74D0" w:rsidRPr="000F5F0B" w:rsidRDefault="00000000">
      <w:pPr>
        <w:spacing w:after="220"/>
        <w:jc w:val="both"/>
        <w:rPr>
          <w:rFonts w:ascii="Times New Roman" w:hAnsi="Times New Roman" w:cs="Times New Roman"/>
        </w:rPr>
      </w:pPr>
      <w:r w:rsidRPr="000F5F0B">
        <w:rPr>
          <w:rFonts w:ascii="Times New Roman" w:hAnsi="Times New Roman" w:cs="Times New Roman"/>
        </w:rPr>
        <w:t>Table 0. Nomenclature for the principal mathematical symbols used in Section 2 (Materials and Methods).</w:t>
      </w:r>
    </w:p>
    <w:p w14:paraId="3A31F083" w14:textId="77777777" w:rsidR="000F5F0B" w:rsidRDefault="000F5F0B">
      <w:pPr>
        <w:pStyle w:val="Heading1"/>
        <w:spacing w:before="320" w:after="160"/>
        <w:rPr>
          <w:rFonts w:ascii="Times New Roman" w:hAnsi="Times New Roman" w:cs="Times New Roman"/>
        </w:rPr>
        <w:sectPr w:rsidR="000F5F0B">
          <w:pgSz w:w="12240" w:h="15840"/>
          <w:pgMar w:top="1440" w:right="1440" w:bottom="1440" w:left="1440" w:header="708" w:footer="708" w:gutter="0"/>
          <w:cols w:space="720"/>
          <w:docGrid w:linePitch="360"/>
        </w:sectPr>
      </w:pPr>
    </w:p>
    <w:p w14:paraId="798DCB7E" w14:textId="77777777" w:rsidR="00ED74D0" w:rsidRPr="0079167A" w:rsidRDefault="00000000">
      <w:pPr>
        <w:pStyle w:val="Heading1"/>
        <w:spacing w:before="320" w:after="160"/>
        <w:rPr>
          <w:rFonts w:ascii="Times New Roman" w:hAnsi="Times New Roman" w:cs="Times New Roman"/>
          <w:color w:val="auto"/>
        </w:rPr>
      </w:pPr>
      <w:r w:rsidRPr="0079167A">
        <w:rPr>
          <w:rFonts w:ascii="Times New Roman" w:hAnsi="Times New Roman" w:cs="Times New Roman"/>
          <w:color w:val="auto"/>
        </w:rPr>
        <w:t>1. Introduction</w:t>
      </w:r>
    </w:p>
    <w:p w14:paraId="4FC4A5FF" w14:textId="77777777"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1.1 Precision Agriculture and GIS in Diversified Cropping Systems</w:t>
      </w:r>
    </w:p>
    <w:p w14:paraId="4620FFFA"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Precision agriculture (PA) rests on the principle that agricultural fields and farms are spatially heterogeneous, and that yield, quality, and pest pressure can be managed more efficiently when inputs and interventions are targeted to that heterogeneity rather than applied uniformly. Geographic Information Systems (GIS), together with satellite, aerial, and proximal remote sensing, provide the primary means of converting point-sampled agronomic, edaphic, and phytosanitary observations into continuous, spatially explicit management surfaces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"chuvieco2020"</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Chuvieco</w:t>
      </w:r>
      <w:proofErr w:type="spellEnd"/>
      <w:r w:rsidRPr="000F5F0B">
        <w:rPr>
          <w:rStyle w:val="Hyperlink"/>
          <w:rFonts w:ascii="Times New Roman" w:hAnsi="Times New Roman" w:cs="Times New Roman"/>
        </w:rPr>
        <w:t>, 2020</w:t>
      </w:r>
      <w:r w:rsidRPr="000F5F0B">
        <w:rPr>
          <w:rFonts w:ascii="Times New Roman" w:hAnsi="Times New Roman" w:cs="Times New Roman"/>
        </w:rPr>
        <w:fldChar w:fldCharType="end"/>
      </w:r>
      <w:r w:rsidRPr="000F5F0B">
        <w:rPr>
          <w:rFonts w:ascii="Times New Roman" w:hAnsi="Times New Roman" w:cs="Times New Roman"/>
        </w:rPr>
        <w:t xml:space="preserve">; </w:t>
      </w:r>
      <w:hyperlink w:anchor="jensen2015" w:history="1">
        <w:r w:rsidRPr="000F5F0B">
          <w:rPr>
            <w:rStyle w:val="Hyperlink"/>
            <w:rFonts w:ascii="Times New Roman" w:hAnsi="Times New Roman" w:cs="Times New Roman"/>
          </w:rPr>
          <w:t>Jensen, 2015</w:t>
        </w:r>
      </w:hyperlink>
      <w:r w:rsidRPr="000F5F0B">
        <w:rPr>
          <w:rFonts w:ascii="Times New Roman" w:hAnsi="Times New Roman" w:cs="Times New Roman"/>
        </w:rPr>
        <w:t xml:space="preserve">; </w:t>
      </w:r>
      <w:hyperlink w:anchor="lillesand2015" w:history="1">
        <w:r w:rsidRPr="000F5F0B">
          <w:rPr>
            <w:rStyle w:val="Hyperlink"/>
            <w:rFonts w:ascii="Times New Roman" w:hAnsi="Times New Roman" w:cs="Times New Roman"/>
          </w:rPr>
          <w:t>Lillesand et al., 2015</w:t>
        </w:r>
      </w:hyperlink>
      <w:r w:rsidRPr="000F5F0B">
        <w:rPr>
          <w:rFonts w:ascii="Times New Roman" w:hAnsi="Times New Roman" w:cs="Times New Roman"/>
        </w:rPr>
        <w:t>). Satellite platforms such as the Landsat series have underpinned this transformation for four decades, offering multispectral, moderate-resolution imagery whose radiometric and atmospheric correction protocols are now well established (</w:t>
      </w:r>
      <w:hyperlink w:anchor="chavez1988" w:history="1">
        <w:r w:rsidRPr="000F5F0B">
          <w:rPr>
            <w:rStyle w:val="Hyperlink"/>
            <w:rFonts w:ascii="Times New Roman" w:hAnsi="Times New Roman" w:cs="Times New Roman"/>
          </w:rPr>
          <w:t>Chavez, 1988</w:t>
        </w:r>
      </w:hyperlink>
      <w:r w:rsidRPr="000F5F0B">
        <w:rPr>
          <w:rFonts w:ascii="Times New Roman" w:hAnsi="Times New Roman" w:cs="Times New Roman"/>
        </w:rPr>
        <w:t xml:space="preserve">; </w:t>
      </w:r>
      <w:hyperlink w:anchor="chavez1996" w:history="1">
        <w:r w:rsidRPr="000F5F0B">
          <w:rPr>
            <w:rStyle w:val="Hyperlink"/>
            <w:rFonts w:ascii="Times New Roman" w:hAnsi="Times New Roman" w:cs="Times New Roman"/>
          </w:rPr>
          <w:t>Chavez, 1996</w:t>
        </w:r>
      </w:hyperlink>
      <w:r w:rsidRPr="000F5F0B">
        <w:rPr>
          <w:rFonts w:ascii="Times New Roman" w:hAnsi="Times New Roman" w:cs="Times New Roman"/>
        </w:rPr>
        <w:t xml:space="preserve">; </w:t>
      </w:r>
      <w:hyperlink w:anchor="roy2014" w:history="1">
        <w:r w:rsidRPr="000F5F0B">
          <w:rPr>
            <w:rStyle w:val="Hyperlink"/>
            <w:rFonts w:ascii="Times New Roman" w:hAnsi="Times New Roman" w:cs="Times New Roman"/>
          </w:rPr>
          <w:t>Roy et al., 2014</w:t>
        </w:r>
      </w:hyperlink>
      <w:r w:rsidRPr="000F5F0B">
        <w:rPr>
          <w:rFonts w:ascii="Times New Roman" w:hAnsi="Times New Roman" w:cs="Times New Roman"/>
        </w:rPr>
        <w:t xml:space="preserve">; </w:t>
      </w:r>
      <w:hyperlink w:anchor="usgs2023" w:history="1">
        <w:r w:rsidRPr="000F5F0B">
          <w:rPr>
            <w:rStyle w:val="Hyperlink"/>
            <w:rFonts w:ascii="Times New Roman" w:hAnsi="Times New Roman" w:cs="Times New Roman"/>
          </w:rPr>
          <w:t>USGS, 2023</w:t>
        </w:r>
      </w:hyperlink>
      <w:r w:rsidRPr="000F5F0B">
        <w:rPr>
          <w:rFonts w:ascii="Times New Roman" w:hAnsi="Times New Roman" w:cs="Times New Roman"/>
        </w:rPr>
        <w:t xml:space="preserve">; </w:t>
      </w:r>
      <w:hyperlink w:anchor="nasa2023" w:history="1">
        <w:r w:rsidRPr="000F5F0B">
          <w:rPr>
            <w:rStyle w:val="Hyperlink"/>
            <w:rFonts w:ascii="Times New Roman" w:hAnsi="Times New Roman" w:cs="Times New Roman"/>
          </w:rPr>
          <w:t>NASA, 2023</w:t>
        </w:r>
      </w:hyperlink>
      <w:r w:rsidRPr="000F5F0B">
        <w:rPr>
          <w:rFonts w:ascii="Times New Roman" w:hAnsi="Times New Roman" w:cs="Times New Roman"/>
        </w:rPr>
        <w:t xml:space="preserve">). Vegetation indices derived from such imagery, most notably the </w:t>
      </w:r>
      <w:proofErr w:type="spellStart"/>
      <w:r w:rsidRPr="000F5F0B">
        <w:rPr>
          <w:rFonts w:ascii="Times New Roman" w:hAnsi="Times New Roman" w:cs="Times New Roman"/>
        </w:rPr>
        <w:t>Normalised</w:t>
      </w:r>
      <w:proofErr w:type="spellEnd"/>
      <w:r w:rsidRPr="000F5F0B">
        <w:rPr>
          <w:rFonts w:ascii="Times New Roman" w:hAnsi="Times New Roman" w:cs="Times New Roman"/>
        </w:rPr>
        <w:t xml:space="preserve"> Difference Vegetation Index (NDVI), remain the standard proxy for canopy </w:t>
      </w:r>
      <w:proofErr w:type="spellStart"/>
      <w:r w:rsidRPr="000F5F0B">
        <w:rPr>
          <w:rFonts w:ascii="Times New Roman" w:hAnsi="Times New Roman" w:cs="Times New Roman"/>
        </w:rPr>
        <w:t>vigour</w:t>
      </w:r>
      <w:proofErr w:type="spellEnd"/>
      <w:r w:rsidRPr="000F5F0B">
        <w:rPr>
          <w:rFonts w:ascii="Times New Roman" w:hAnsi="Times New Roman" w:cs="Times New Roman"/>
        </w:rPr>
        <w:t>, biomass, and, by extension, crop physiological status (</w:t>
      </w:r>
      <w:hyperlink w:anchor="rouse1974" w:history="1">
        <w:r w:rsidRPr="000F5F0B">
          <w:rPr>
            <w:rStyle w:val="Hyperlink"/>
            <w:rFonts w:ascii="Times New Roman" w:hAnsi="Times New Roman" w:cs="Times New Roman"/>
          </w:rPr>
          <w:t xml:space="preserve">Rouse et al., </w:t>
        </w:r>
        <w:r w:rsidRPr="000F5F0B">
          <w:rPr>
            <w:rStyle w:val="Hyperlink"/>
            <w:rFonts w:ascii="Times New Roman" w:hAnsi="Times New Roman" w:cs="Times New Roman"/>
          </w:rPr>
          <w:t>1974</w:t>
        </w:r>
      </w:hyperlink>
      <w:r w:rsidRPr="000F5F0B">
        <w:rPr>
          <w:rFonts w:ascii="Times New Roman" w:hAnsi="Times New Roman" w:cs="Times New Roman"/>
        </w:rPr>
        <w:t>), and have been used successfully to estimate maize yield variability from multispectral and hyperspectral platforms (</w:t>
      </w:r>
      <w:hyperlink w:anchor="burglewski2024" w:history="1">
        <w:r w:rsidRPr="000F5F0B">
          <w:rPr>
            <w:rStyle w:val="Hyperlink"/>
            <w:rFonts w:ascii="Times New Roman" w:hAnsi="Times New Roman" w:cs="Times New Roman"/>
          </w:rPr>
          <w:t>Burglewski et al., 2024</w:t>
        </w:r>
      </w:hyperlink>
      <w:r w:rsidRPr="000F5F0B">
        <w:rPr>
          <w:rFonts w:ascii="Times New Roman" w:hAnsi="Times New Roman" w:cs="Times New Roman"/>
        </w:rPr>
        <w:t>).</w:t>
      </w:r>
    </w:p>
    <w:p w14:paraId="7B08F993"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Viticulture has been an especially active domain for precision-agriculture research because grape quality, and therefore wine value, is disproportionately sensitive to small-scale spatial variation in terrain, microclimate, and vine </w:t>
      </w:r>
      <w:proofErr w:type="spellStart"/>
      <w:r w:rsidRPr="000F5F0B">
        <w:rPr>
          <w:rFonts w:ascii="Times New Roman" w:hAnsi="Times New Roman" w:cs="Times New Roman"/>
        </w:rPr>
        <w:t>vigour</w:t>
      </w:r>
      <w:proofErr w:type="spellEnd"/>
      <w:r w:rsidRPr="000F5F0B">
        <w:rPr>
          <w:rFonts w:ascii="Times New Roman" w:hAnsi="Times New Roman" w:cs="Times New Roman"/>
        </w:rPr>
        <w:t xml:space="preserve">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"matese2015a"</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Matese</w:t>
      </w:r>
      <w:proofErr w:type="spellEnd"/>
      <w:r w:rsidRPr="000F5F0B">
        <w:rPr>
          <w:rStyle w:val="Hyperlink"/>
          <w:rFonts w:ascii="Times New Roman" w:hAnsi="Times New Roman" w:cs="Times New Roman"/>
        </w:rPr>
        <w:t xml:space="preserve"> and Di Gennaro, 2015</w:t>
      </w:r>
      <w:r w:rsidRPr="000F5F0B">
        <w:rPr>
          <w:rFonts w:ascii="Times New Roman" w:hAnsi="Times New Roman" w:cs="Times New Roman"/>
        </w:rPr>
        <w:fldChar w:fldCharType="end"/>
      </w:r>
      <w:r w:rsidRPr="000F5F0B">
        <w:rPr>
          <w:rFonts w:ascii="Times New Roman" w:hAnsi="Times New Roman" w:cs="Times New Roman"/>
        </w:rPr>
        <w:t xml:space="preserve">). In steep, terraced landscapes such as the Douro Demarcated Region of northern Portugal, terrain-driven heterogeneity in thermal regime, hydric balance, and soil depth is pronounced enough to define distinct viticultural terroirs within a few hundred </w:t>
      </w:r>
      <w:proofErr w:type="spellStart"/>
      <w:r w:rsidRPr="000F5F0B">
        <w:rPr>
          <w:rFonts w:ascii="Times New Roman" w:hAnsi="Times New Roman" w:cs="Times New Roman"/>
        </w:rPr>
        <w:t>metres</w:t>
      </w:r>
      <w:proofErr w:type="spellEnd"/>
      <w:r w:rsidRPr="000F5F0B">
        <w:rPr>
          <w:rFonts w:ascii="Times New Roman" w:hAnsi="Times New Roman" w:cs="Times New Roman"/>
        </w:rPr>
        <w:t xml:space="preserve"> (</w:t>
      </w:r>
      <w:hyperlink w:anchor="fraga2018" w:history="1">
        <w:r w:rsidRPr="000F5F0B">
          <w:rPr>
            <w:rStyle w:val="Hyperlink"/>
            <w:rFonts w:ascii="Times New Roman" w:hAnsi="Times New Roman" w:cs="Times New Roman"/>
          </w:rPr>
          <w:t>Fraga et al., 2018</w:t>
        </w:r>
      </w:hyperlink>
      <w:r w:rsidRPr="000F5F0B">
        <w:rPr>
          <w:rFonts w:ascii="Times New Roman" w:hAnsi="Times New Roman" w:cs="Times New Roman"/>
        </w:rPr>
        <w:t>), and unmanned aerial, satellite, and proximal sensing platforms have each been benchmarked for their ability to resolve this variability at the scale of individual parcels or rows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"matese2015b"</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Matese</w:t>
      </w:r>
      <w:proofErr w:type="spellEnd"/>
      <w:r w:rsidRPr="000F5F0B">
        <w:rPr>
          <w:rStyle w:val="Hyperlink"/>
          <w:rFonts w:ascii="Times New Roman" w:hAnsi="Times New Roman" w:cs="Times New Roman"/>
        </w:rPr>
        <w:t xml:space="preserve"> et al., 2015</w:t>
      </w:r>
      <w:r w:rsidRPr="000F5F0B">
        <w:rPr>
          <w:rFonts w:ascii="Times New Roman" w:hAnsi="Times New Roman" w:cs="Times New Roman"/>
        </w:rPr>
        <w:fldChar w:fldCharType="end"/>
      </w:r>
      <w:r w:rsidRPr="000F5F0B">
        <w:rPr>
          <w:rFonts w:ascii="Times New Roman" w:hAnsi="Times New Roman" w:cs="Times New Roman"/>
        </w:rPr>
        <w:t xml:space="preserve">). Pest management is a further application domain in which spatial monitoring has direct economic consequences: the European grapevine moth, </w:t>
      </w:r>
      <w:proofErr w:type="spellStart"/>
      <w:r w:rsidRPr="000F5F0B">
        <w:rPr>
          <w:rFonts w:ascii="Times New Roman" w:hAnsi="Times New Roman" w:cs="Times New Roman"/>
          <w:i/>
          <w:iCs/>
        </w:rPr>
        <w:t>Lobesia</w:t>
      </w:r>
      <w:proofErr w:type="spellEnd"/>
      <w:r w:rsidRPr="000F5F0B">
        <w:rPr>
          <w:rFonts w:ascii="Times New Roman" w:hAnsi="Times New Roman" w:cs="Times New Roman"/>
          <w:i/>
          <w:iCs/>
        </w:rPr>
        <w:t xml:space="preserve"> </w:t>
      </w:r>
      <w:proofErr w:type="spellStart"/>
      <w:r w:rsidRPr="000F5F0B">
        <w:rPr>
          <w:rFonts w:ascii="Times New Roman" w:hAnsi="Times New Roman" w:cs="Times New Roman"/>
          <w:i/>
          <w:iCs/>
        </w:rPr>
        <w:t>botrana</w:t>
      </w:r>
      <w:proofErr w:type="spellEnd"/>
      <w:r w:rsidRPr="000F5F0B">
        <w:rPr>
          <w:rFonts w:ascii="Times New Roman" w:hAnsi="Times New Roman" w:cs="Times New Roman"/>
        </w:rPr>
        <w:t xml:space="preserve"> (Denis &amp; Schiffermüller) (Lepidoptera: </w:t>
      </w:r>
      <w:proofErr w:type="spellStart"/>
      <w:r w:rsidRPr="000F5F0B">
        <w:rPr>
          <w:rFonts w:ascii="Times New Roman" w:hAnsi="Times New Roman" w:cs="Times New Roman"/>
        </w:rPr>
        <w:t>Tortricidae</w:t>
      </w:r>
      <w:proofErr w:type="spellEnd"/>
      <w:r w:rsidRPr="000F5F0B">
        <w:rPr>
          <w:rFonts w:ascii="Times New Roman" w:hAnsi="Times New Roman" w:cs="Times New Roman"/>
        </w:rPr>
        <w:t xml:space="preserve">), is one of the most economically damaging vineyard pests across the Mediterranean basin, and pheromone-based mating disruption and trap-network monitoring are now the principal non-chemical control </w:t>
      </w:r>
      <w:r w:rsidRPr="000F5F0B">
        <w:rPr>
          <w:rFonts w:ascii="Times New Roman" w:hAnsi="Times New Roman" w:cs="Times New Roman"/>
        </w:rPr>
        <w:lastRenderedPageBreak/>
        <w:t>strategy in commercial viticulture (</w:t>
      </w:r>
      <w:hyperlink w:anchor="benelli2023" w:history="1">
        <w:r w:rsidRPr="000F5F0B">
          <w:rPr>
            <w:rStyle w:val="Hyperlink"/>
            <w:rFonts w:ascii="Times New Roman" w:hAnsi="Times New Roman" w:cs="Times New Roman"/>
          </w:rPr>
          <w:t>Benelli et al., 2023</w:t>
        </w:r>
      </w:hyperlink>
      <w:r w:rsidRPr="000F5F0B">
        <w:rPr>
          <w:rFonts w:ascii="Times New Roman" w:hAnsi="Times New Roman" w:cs="Times New Roman"/>
        </w:rPr>
        <w:t xml:space="preserve">; </w:t>
      </w:r>
      <w:hyperlink w:anchor="ricciardi2024" w:history="1">
        <w:r w:rsidRPr="000F5F0B">
          <w:rPr>
            <w:rStyle w:val="Hyperlink"/>
            <w:rFonts w:ascii="Times New Roman" w:hAnsi="Times New Roman" w:cs="Times New Roman"/>
          </w:rPr>
          <w:t>Ricciardi et al., 2024</w:t>
        </w:r>
      </w:hyperlink>
      <w:r w:rsidRPr="000F5F0B">
        <w:rPr>
          <w:rFonts w:ascii="Times New Roman" w:hAnsi="Times New Roman" w:cs="Times New Roman"/>
        </w:rPr>
        <w:t>).</w:t>
      </w:r>
    </w:p>
    <w:p w14:paraId="225B81DA" w14:textId="3397216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A methodological thread common to all three domains is spatial interpolation: converting a finite set of point observations</w:t>
      </w:r>
      <w:r w:rsidR="000F5F0B">
        <w:rPr>
          <w:rFonts w:ascii="Times New Roman" w:hAnsi="Times New Roman" w:cs="Times New Roman"/>
        </w:rPr>
        <w:t xml:space="preserve"> </w:t>
      </w:r>
      <w:r w:rsidRPr="000F5F0B">
        <w:rPr>
          <w:rFonts w:ascii="Times New Roman" w:hAnsi="Times New Roman" w:cs="Times New Roman"/>
        </w:rPr>
        <w:t>soil samples, Brix readings, or trap counts</w:t>
      </w:r>
      <w:r w:rsidR="000F5F0B">
        <w:rPr>
          <w:rFonts w:ascii="Times New Roman" w:hAnsi="Times New Roman" w:cs="Times New Roman"/>
        </w:rPr>
        <w:t xml:space="preserve"> </w:t>
      </w:r>
      <w:r w:rsidRPr="000F5F0B">
        <w:rPr>
          <w:rFonts w:ascii="Times New Roman" w:hAnsi="Times New Roman" w:cs="Times New Roman"/>
        </w:rPr>
        <w:t>into a continuous surface suitable for zoning or prescription mapping. Inverse Distance Weighting (IDW) and Thiessen (Voronoi) polygons remain the most widely deployed deterministic interpolators in applied precision-agriculture workflows because they require no distributional assumptions and are computationally inexpensive relative to geostatistical alternatives such as kriging (</w:t>
      </w:r>
      <w:hyperlink w:anchor="wong2017" w:history="1">
        <w:r w:rsidRPr="000F5F0B">
          <w:rPr>
            <w:rStyle w:val="Hyperlink"/>
            <w:rFonts w:ascii="Times New Roman" w:hAnsi="Times New Roman" w:cs="Times New Roman"/>
          </w:rPr>
          <w:t>Wong, 2017</w:t>
        </w:r>
      </w:hyperlink>
      <w:r w:rsidRPr="000F5F0B">
        <w:rPr>
          <w:rFonts w:ascii="Times New Roman" w:hAnsi="Times New Roman" w:cs="Times New Roman"/>
        </w:rPr>
        <w:t xml:space="preserve">;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 xml:space="preserve">; </w:t>
      </w:r>
      <w:hyperlink w:anchor="webster2001" w:history="1">
        <w:r w:rsidRPr="000F5F0B">
          <w:rPr>
            <w:rStyle w:val="Hyperlink"/>
            <w:rFonts w:ascii="Times New Roman" w:hAnsi="Times New Roman" w:cs="Times New Roman"/>
          </w:rPr>
          <w:t>Webster and Oliver, 2001</w:t>
        </w:r>
      </w:hyperlink>
      <w:r w:rsidRPr="000F5F0B">
        <w:rPr>
          <w:rFonts w:ascii="Times New Roman" w:hAnsi="Times New Roman" w:cs="Times New Roman"/>
        </w:rPr>
        <w:t>), although comparative studies indicate that interpolator choice can materially affect the resulting management-zone boundaries, particularly at the modest sample sizes typical of single-farm field campaigns (</w:t>
      </w:r>
      <w:hyperlink w:anchor="shaddad2016" w:history="1">
        <w:r w:rsidRPr="000F5F0B">
          <w:rPr>
            <w:rStyle w:val="Hyperlink"/>
            <w:rFonts w:ascii="Times New Roman" w:hAnsi="Times New Roman" w:cs="Times New Roman"/>
          </w:rPr>
          <w:t>Shaddad et al., 2016</w:t>
        </w:r>
      </w:hyperlink>
      <w:r w:rsidRPr="000F5F0B">
        <w:rPr>
          <w:rFonts w:ascii="Times New Roman" w:hAnsi="Times New Roman" w:cs="Times New Roman"/>
        </w:rPr>
        <w:t xml:space="preserve">; </w:t>
      </w:r>
      <w:hyperlink w:anchor="sekulic2020" w:history="1">
        <w:r w:rsidRPr="000F5F0B">
          <w:rPr>
            <w:rStyle w:val="Hyperlink"/>
            <w:rFonts w:ascii="Times New Roman" w:hAnsi="Times New Roman" w:cs="Times New Roman"/>
          </w:rPr>
          <w:t>Sekulić et al., 2020</w:t>
        </w:r>
      </w:hyperlink>
      <w:r w:rsidRPr="000F5F0B">
        <w:rPr>
          <w:rFonts w:ascii="Times New Roman" w:hAnsi="Times New Roman" w:cs="Times New Roman"/>
        </w:rPr>
        <w:t>).</w:t>
      </w:r>
    </w:p>
    <w:p w14:paraId="2B914F01" w14:textId="77777777"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1.2 Machine Learning and Artificial Intelligence in Precision Agriculture</w:t>
      </w:r>
    </w:p>
    <w:p w14:paraId="0090A5CB" w14:textId="7D659C56"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Beyond deterministic interpolation and simple parametric regression, the past decade has seen rapid growth in the application of machine learning and artificial intelligence (AI) to precision-agriculture problems spanning crop-yield prediction, disease and pest detection, water management, and soil property mapping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 Ensemble tree-based learners</w:t>
      </w:r>
      <w:r w:rsidR="000F5F0B">
        <w:rPr>
          <w:rFonts w:ascii="Times New Roman" w:hAnsi="Times New Roman" w:cs="Times New Roman"/>
        </w:rPr>
        <w:t xml:space="preserve"> </w:t>
      </w:r>
      <w:r w:rsidRPr="000F5F0B">
        <w:rPr>
          <w:rFonts w:ascii="Times New Roman" w:hAnsi="Times New Roman" w:cs="Times New Roman"/>
        </w:rPr>
        <w:t>particularly Random Forest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"breiman2001"</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Breiman</w:t>
      </w:r>
      <w:proofErr w:type="spellEnd"/>
      <w:r w:rsidRPr="000F5F0B">
        <w:rPr>
          <w:rStyle w:val="Hyperlink"/>
          <w:rFonts w:ascii="Times New Roman" w:hAnsi="Times New Roman" w:cs="Times New Roman"/>
        </w:rPr>
        <w:t>, 2001</w:t>
      </w:r>
      <w:r w:rsidRPr="000F5F0B">
        <w:rPr>
          <w:rFonts w:ascii="Times New Roman" w:hAnsi="Times New Roman" w:cs="Times New Roman"/>
        </w:rPr>
        <w:fldChar w:fldCharType="end"/>
      </w:r>
      <w:r w:rsidRPr="000F5F0B">
        <w:rPr>
          <w:rFonts w:ascii="Times New Roman" w:hAnsi="Times New Roman" w:cs="Times New Roman"/>
        </w:rPr>
        <w:t xml:space="preserve">) and gradient-boosted decision trees, of which </w:t>
      </w:r>
      <w:proofErr w:type="spellStart"/>
      <w:r w:rsidRPr="000F5F0B">
        <w:rPr>
          <w:rFonts w:ascii="Times New Roman" w:hAnsi="Times New Roman" w:cs="Times New Roman"/>
        </w:rPr>
        <w:t>XGBoost</w:t>
      </w:r>
      <w:proofErr w:type="spellEnd"/>
      <w:r w:rsidRPr="000F5F0B">
        <w:rPr>
          <w:rFonts w:ascii="Times New Roman" w:hAnsi="Times New Roman" w:cs="Times New Roman"/>
        </w:rPr>
        <w:t xml:space="preserve"> is the most widely adopted implementation (</w:t>
      </w:r>
      <w:hyperlink w:anchor="friedman2001" w:history="1">
        <w:r w:rsidRPr="000F5F0B">
          <w:rPr>
            <w:rStyle w:val="Hyperlink"/>
            <w:rFonts w:ascii="Times New Roman" w:hAnsi="Times New Roman" w:cs="Times New Roman"/>
          </w:rPr>
          <w:t>Friedman, 2001</w:t>
        </w:r>
      </w:hyperlink>
      <w:r w:rsidRPr="000F5F0B">
        <w:rPr>
          <w:rFonts w:ascii="Times New Roman" w:hAnsi="Times New Roman" w:cs="Times New Roman"/>
        </w:rPr>
        <w:t xml:space="preserve">; </w:t>
      </w:r>
      <w:hyperlink w:anchor="chenguestrin2016" w:history="1">
        <w:r w:rsidRPr="000F5F0B">
          <w:rPr>
            <w:rStyle w:val="Hyperlink"/>
            <w:rFonts w:ascii="Times New Roman" w:hAnsi="Times New Roman" w:cs="Times New Roman"/>
          </w:rPr>
          <w:t>Chen and Guestrin, 2016</w:t>
        </w:r>
      </w:hyperlink>
      <w:r w:rsidRPr="000F5F0B">
        <w:rPr>
          <w:rFonts w:ascii="Times New Roman" w:hAnsi="Times New Roman" w:cs="Times New Roman"/>
        </w:rPr>
        <w:t>)</w:t>
      </w:r>
      <w:r w:rsidR="000F5F0B">
        <w:rPr>
          <w:rFonts w:ascii="Times New Roman" w:hAnsi="Times New Roman" w:cs="Times New Roman"/>
        </w:rPr>
        <w:t xml:space="preserve"> </w:t>
      </w:r>
      <w:r w:rsidRPr="000F5F0B">
        <w:rPr>
          <w:rFonts w:ascii="Times New Roman" w:hAnsi="Times New Roman" w:cs="Times New Roman"/>
        </w:rPr>
        <w:t xml:space="preserve">have become the de facto standard for structured, tabular agricultural datasets because they handle non-linear covariate interactions natively, require comparatively little hyperparameter tuning, and degrade gracefully on the small-to-moderate sample sizes typical of farm-scale field campaigns. A systematic review of machine-learning approaches specifically for crop-yield prediction and nitrogen-status estimation found that ensemble and kernel methods consistently outperformed simple linear models when auxiliary remote-sensing covariates were available, but also </w:t>
      </w:r>
      <w:proofErr w:type="spellStart"/>
      <w:r w:rsidRPr="000F5F0B">
        <w:rPr>
          <w:rFonts w:ascii="Times New Roman" w:hAnsi="Times New Roman" w:cs="Times New Roman"/>
        </w:rPr>
        <w:t>emphasised</w:t>
      </w:r>
      <w:proofErr w:type="spellEnd"/>
      <w:r w:rsidRPr="000F5F0B">
        <w:rPr>
          <w:rFonts w:ascii="Times New Roman" w:hAnsi="Times New Roman" w:cs="Times New Roman"/>
        </w:rPr>
        <w:t xml:space="preserve"> that reported </w:t>
      </w:r>
      <w:r w:rsidRPr="000F5F0B">
        <w:rPr>
          <w:rFonts w:ascii="Times New Roman" w:hAnsi="Times New Roman" w:cs="Times New Roman"/>
        </w:rPr>
        <w:t>performance gains are highly sensitive to sample size and to whether validation is performed on genuinely held-out data rather than in-sample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"chlingaryan2018"</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Chlingaryan</w:t>
      </w:r>
      <w:proofErr w:type="spellEnd"/>
      <w:r w:rsidRPr="000F5F0B">
        <w:rPr>
          <w:rStyle w:val="Hyperlink"/>
          <w:rFonts w:ascii="Times New Roman" w:hAnsi="Times New Roman" w:cs="Times New Roman"/>
        </w:rPr>
        <w:t xml:space="preserve"> et al., 2018</w:t>
      </w:r>
      <w:r w:rsidRPr="000F5F0B">
        <w:rPr>
          <w:rFonts w:ascii="Times New Roman" w:hAnsi="Times New Roman" w:cs="Times New Roman"/>
        </w:rPr>
        <w:fldChar w:fldCharType="end"/>
      </w:r>
      <w:r w:rsidRPr="000F5F0B">
        <w:rPr>
          <w:rFonts w:ascii="Times New Roman" w:hAnsi="Times New Roman" w:cs="Times New Roman"/>
        </w:rPr>
        <w:t>)</w:t>
      </w:r>
      <w:r w:rsidR="000F5F0B">
        <w:rPr>
          <w:rFonts w:ascii="Times New Roman" w:hAnsi="Times New Roman" w:cs="Times New Roman"/>
        </w:rPr>
        <w:t xml:space="preserve"> </w:t>
      </w:r>
      <w:r w:rsidRPr="000F5F0B">
        <w:rPr>
          <w:rFonts w:ascii="Times New Roman" w:hAnsi="Times New Roman" w:cs="Times New Roman"/>
        </w:rPr>
        <w:t>a caution directly relevant to the cross-validated machine-learning analysis undertaken in this study (Sections 2.5, 3.4, 4.4).</w:t>
      </w:r>
    </w:p>
    <w:p w14:paraId="7A747ECB" w14:textId="1BE61E1E" w:rsidR="0079167A" w:rsidRDefault="00000000" w:rsidP="004922AD">
      <w:pPr>
        <w:spacing w:after="160"/>
        <w:jc w:val="both"/>
        <w:rPr>
          <w:rFonts w:ascii="Times New Roman" w:hAnsi="Times New Roman" w:cs="Times New Roman"/>
        </w:rPr>
      </w:pPr>
      <w:r w:rsidRPr="000F5F0B">
        <w:rPr>
          <w:rFonts w:ascii="Times New Roman" w:hAnsi="Times New Roman" w:cs="Times New Roman"/>
        </w:rPr>
        <w:t xml:space="preserve">A parallel and, for spatial prediction problems specifically, highly relevant development is the fusion of machine learning with classical </w:t>
      </w:r>
      <w:proofErr w:type="spellStart"/>
      <w:r w:rsidRPr="000F5F0B">
        <w:rPr>
          <w:rFonts w:ascii="Times New Roman" w:hAnsi="Times New Roman" w:cs="Times New Roman"/>
        </w:rPr>
        <w:t>geostatistics</w:t>
      </w:r>
      <w:proofErr w:type="spellEnd"/>
      <w:r w:rsidRPr="000F5F0B">
        <w:rPr>
          <w:rFonts w:ascii="Times New Roman" w:hAnsi="Times New Roman" w:cs="Times New Roman"/>
        </w:rPr>
        <w:t xml:space="preserve"> through regression-kriging (RK), in which a regression or machine-learning model supplies the deterministic trend and the (assumed spatially correlated) residuals are subsequently kriged and added back to the trend prediction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Because RK explicitly separates a covariate-driven trend from a spatially structured residual, its expected benefit over either component in isolation depends on the strength of spatial autocorrelation remaining in the residuals after the trend is removed</w:t>
      </w:r>
      <w:r w:rsidR="000F5F0B">
        <w:rPr>
          <w:rFonts w:ascii="Times New Roman" w:hAnsi="Times New Roman" w:cs="Times New Roman"/>
        </w:rPr>
        <w:t xml:space="preserve"> </w:t>
      </w:r>
      <w:r w:rsidRPr="000F5F0B">
        <w:rPr>
          <w:rFonts w:ascii="Times New Roman" w:hAnsi="Times New Roman" w:cs="Times New Roman"/>
        </w:rPr>
        <w:t xml:space="preserve">a property that can, and in this study is, tested directly and quantitatively using Moran's </w:t>
      </w:r>
      <w:r w:rsidRPr="000F5F0B">
        <w:rPr>
          <w:rFonts w:ascii="Times New Roman" w:hAnsi="Times New Roman" w:cs="Times New Roman"/>
          <w:i/>
          <w:iCs/>
        </w:rPr>
        <w:t>I</w:t>
      </w:r>
      <w:r w:rsidRPr="000F5F0B">
        <w:rPr>
          <w:rFonts w:ascii="Times New Roman" w:hAnsi="Times New Roman" w:cs="Times New Roman"/>
        </w:rPr>
        <w:t xml:space="preserve"> (</w:t>
      </w:r>
      <w:hyperlink w:anchor="moran1950" w:history="1">
        <w:r w:rsidRPr="000F5F0B">
          <w:rPr>
            <w:rStyle w:val="Hyperlink"/>
            <w:rFonts w:ascii="Times New Roman" w:hAnsi="Times New Roman" w:cs="Times New Roman"/>
          </w:rPr>
          <w:t>Moran, 1950</w:t>
        </w:r>
      </w:hyperlink>
      <w:r w:rsidRPr="000F5F0B">
        <w:rPr>
          <w:rFonts w:ascii="Times New Roman" w:hAnsi="Times New Roman" w:cs="Times New Roman"/>
        </w:rPr>
        <w:t>) rather than assumed. Artificial neural networks, and specifically the Multi-Layer Perceptron (MLP), represent a further, structurally distinct class of non-linear regressor increasingly used in agricultural applications where sample sizes are sufficiently large to estimate their weight matrices reliably; stacked-</w:t>
      </w:r>
      <w:proofErr w:type="spellStart"/>
      <w:r w:rsidRPr="000F5F0B">
        <w:rPr>
          <w:rFonts w:ascii="Times New Roman" w:hAnsi="Times New Roman" w:cs="Times New Roman"/>
        </w:rPr>
        <w:t>generalisation</w:t>
      </w:r>
      <w:proofErr w:type="spellEnd"/>
      <w:r w:rsidRPr="000F5F0B">
        <w:rPr>
          <w:rFonts w:ascii="Times New Roman" w:hAnsi="Times New Roman" w:cs="Times New Roman"/>
        </w:rPr>
        <w:t xml:space="preserve"> (“stacking”) ensembles, which combine the predictions of structurally different base learners through a second-stage meta-model, have likewise been proposed as a way to recover complementary strengths across model families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 This study implements and rigorously benchmarks all of these approaches</w:t>
      </w:r>
      <w:r w:rsidR="000F5F0B">
        <w:rPr>
          <w:rFonts w:ascii="Times New Roman" w:hAnsi="Times New Roman" w:cs="Times New Roman"/>
        </w:rPr>
        <w:t xml:space="preserve"> </w:t>
      </w:r>
      <w:r w:rsidRPr="000F5F0B">
        <w:rPr>
          <w:rFonts w:ascii="Times New Roman" w:hAnsi="Times New Roman" w:cs="Times New Roman"/>
        </w:rPr>
        <w:t>Random Forest, Gradient Boosting, an MLP neural network, a stacking ensemble, and hybrid regression-kriging built on each tree-ensemble trend model</w:t>
      </w:r>
      <w:r w:rsidR="000F5F0B">
        <w:rPr>
          <w:rFonts w:ascii="Times New Roman" w:hAnsi="Times New Roman" w:cs="Times New Roman"/>
        </w:rPr>
        <w:t xml:space="preserve"> </w:t>
      </w:r>
      <w:r w:rsidRPr="000F5F0B">
        <w:rPr>
          <w:rFonts w:ascii="Times New Roman" w:hAnsi="Times New Roman" w:cs="Times New Roman"/>
        </w:rPr>
        <w:t>against the simple IDW baseline for the Brix/ripening-prediction case study, reporting cross-validated performance transparently rather than selectively (Sections 2.5, 3.4, 4.4).</w:t>
      </w:r>
    </w:p>
    <w:p w14:paraId="384E9A46" w14:textId="068A15D7"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1.3 Rationale for an Integrated, Multi-System Analysis</w:t>
      </w:r>
    </w:p>
    <w:p w14:paraId="3A8152C9" w14:textId="0657DF8D" w:rsidR="00ED74D0" w:rsidRPr="0079167A" w:rsidRDefault="00000000">
      <w:pPr>
        <w:spacing w:after="160"/>
        <w:jc w:val="both"/>
        <w:rPr>
          <w:rFonts w:ascii="Times New Roman" w:hAnsi="Times New Roman" w:cs="Times New Roman"/>
        </w:rPr>
      </w:pPr>
      <w:r w:rsidRPr="000F5F0B">
        <w:rPr>
          <w:rFonts w:ascii="Times New Roman" w:hAnsi="Times New Roman" w:cs="Times New Roman"/>
        </w:rPr>
        <w:t xml:space="preserve">Despite the shared methodological toolkit described above, precision-agriculture </w:t>
      </w:r>
      <w:r w:rsidRPr="000F5F0B">
        <w:rPr>
          <w:rFonts w:ascii="Times New Roman" w:hAnsi="Times New Roman" w:cs="Times New Roman"/>
        </w:rPr>
        <w:lastRenderedPageBreak/>
        <w:t>evaluations are typically reported as single-crop, single-site case studies, which makes it difficult to assess whether the practical value and the limitations of GIS/remote-sensing workflows are crop-specific or transfer across cropping systems. This study addresses that gap by bringing together three independent field campaigns</w:t>
      </w:r>
      <w:r w:rsidR="000F5F0B">
        <w:rPr>
          <w:rFonts w:ascii="Times New Roman" w:hAnsi="Times New Roman" w:cs="Times New Roman"/>
        </w:rPr>
        <w:t xml:space="preserve"> </w:t>
      </w:r>
      <w:r w:rsidRPr="0079167A">
        <w:rPr>
          <w:rFonts w:ascii="Times New Roman" w:hAnsi="Times New Roman" w:cs="Times New Roman"/>
        </w:rPr>
        <w:t>spanning an annual arable crop (maize), a perennial pest-management problem (grapevine moth), and a perennial fruit-ripening forecast (Brix/alcohol prediction)</w:t>
      </w:r>
      <w:r w:rsidR="000F5F0B" w:rsidRPr="0079167A">
        <w:rPr>
          <w:rFonts w:ascii="Times New Roman" w:hAnsi="Times New Roman" w:cs="Times New Roman"/>
        </w:rPr>
        <w:t xml:space="preserve"> </w:t>
      </w:r>
      <w:r w:rsidRPr="0079167A">
        <w:rPr>
          <w:rFonts w:ascii="Times New Roman" w:hAnsi="Times New Roman" w:cs="Times New Roman"/>
        </w:rPr>
        <w:t>conducted across three farms in central and northern Portugal, under a common GIS/remote-sensing analytical framework. Rather than treating the three studies as unrelated technical exercises, we ask, across the pooled evidence: (</w:t>
      </w:r>
      <w:proofErr w:type="spellStart"/>
      <w:r w:rsidRPr="0079167A">
        <w:rPr>
          <w:rFonts w:ascii="Times New Roman" w:hAnsi="Times New Roman" w:cs="Times New Roman"/>
        </w:rPr>
        <w:t>i</w:t>
      </w:r>
      <w:proofErr w:type="spellEnd"/>
      <w:r w:rsidRPr="0079167A">
        <w:rPr>
          <w:rFonts w:ascii="Times New Roman" w:hAnsi="Times New Roman" w:cs="Times New Roman"/>
        </w:rPr>
        <w:t>) which spatial interpolation and remote-sensing approaches proved most informative in each system; (ii) how consistent the strength of environment–response relationships was across systems (correlation and regression coefficients for yield, pest incidence, and ripening); and (iii) what shared constraints</w:t>
      </w:r>
      <w:r w:rsidR="000F5F0B" w:rsidRPr="0079167A">
        <w:rPr>
          <w:rFonts w:ascii="Times New Roman" w:hAnsi="Times New Roman" w:cs="Times New Roman"/>
        </w:rPr>
        <w:t xml:space="preserve"> </w:t>
      </w:r>
      <w:r w:rsidRPr="0079167A">
        <w:rPr>
          <w:rFonts w:ascii="Times New Roman" w:hAnsi="Times New Roman" w:cs="Times New Roman"/>
        </w:rPr>
        <w:t>sample size, single-season sampling, interpolator choice</w:t>
      </w:r>
      <w:r w:rsidR="000F5F0B" w:rsidRPr="0079167A">
        <w:rPr>
          <w:rFonts w:ascii="Times New Roman" w:hAnsi="Times New Roman" w:cs="Times New Roman"/>
        </w:rPr>
        <w:t xml:space="preserve"> </w:t>
      </w:r>
      <w:r w:rsidRPr="0079167A">
        <w:rPr>
          <w:rFonts w:ascii="Times New Roman" w:hAnsi="Times New Roman" w:cs="Times New Roman"/>
        </w:rPr>
        <w:t xml:space="preserve">limit </w:t>
      </w:r>
      <w:proofErr w:type="spellStart"/>
      <w:r w:rsidRPr="0079167A">
        <w:rPr>
          <w:rFonts w:ascii="Times New Roman" w:hAnsi="Times New Roman" w:cs="Times New Roman"/>
        </w:rPr>
        <w:t>generalisation</w:t>
      </w:r>
      <w:proofErr w:type="spellEnd"/>
      <w:r w:rsidRPr="0079167A">
        <w:rPr>
          <w:rFonts w:ascii="Times New Roman" w:hAnsi="Times New Roman" w:cs="Times New Roman"/>
        </w:rPr>
        <w:t>, and how these should shape the design of larger precision-agriculture trials.</w:t>
      </w:r>
    </w:p>
    <w:p w14:paraId="0E51BD51" w14:textId="77777777"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1.4 Objectives</w:t>
      </w:r>
    </w:p>
    <w:p w14:paraId="70D88D29" w14:textId="77777777" w:rsidR="00ED74D0" w:rsidRPr="0079167A" w:rsidRDefault="00000000">
      <w:pPr>
        <w:spacing w:after="160"/>
        <w:jc w:val="both"/>
        <w:rPr>
          <w:rFonts w:ascii="Times New Roman" w:hAnsi="Times New Roman" w:cs="Times New Roman"/>
        </w:rPr>
      </w:pPr>
      <w:r w:rsidRPr="0079167A">
        <w:rPr>
          <w:rFonts w:ascii="Times New Roman" w:hAnsi="Times New Roman" w:cs="Times New Roman"/>
        </w:rPr>
        <w:t>The specific objectives of this study are to: (</w:t>
      </w:r>
      <w:proofErr w:type="spellStart"/>
      <w:r w:rsidRPr="0079167A">
        <w:rPr>
          <w:rFonts w:ascii="Times New Roman" w:hAnsi="Times New Roman" w:cs="Times New Roman"/>
        </w:rPr>
        <w:t>i</w:t>
      </w:r>
      <w:proofErr w:type="spellEnd"/>
      <w:r w:rsidRPr="0079167A">
        <w:rPr>
          <w:rFonts w:ascii="Times New Roman" w:hAnsi="Times New Roman" w:cs="Times New Roman"/>
        </w:rPr>
        <w:t xml:space="preserve">) </w:t>
      </w:r>
      <w:proofErr w:type="spellStart"/>
      <w:r w:rsidRPr="0079167A">
        <w:rPr>
          <w:rFonts w:ascii="Times New Roman" w:hAnsi="Times New Roman" w:cs="Times New Roman"/>
        </w:rPr>
        <w:t>characterise</w:t>
      </w:r>
      <w:proofErr w:type="spellEnd"/>
      <w:r w:rsidRPr="0079167A">
        <w:rPr>
          <w:rFonts w:ascii="Times New Roman" w:hAnsi="Times New Roman" w:cs="Times New Roman"/>
        </w:rPr>
        <w:t xml:space="preserve"> the three study sites geospatially, using digital cartography, land-use mapping, and terrain analysis; (ii) quantify the relationships between soil, water, and topographic variables and, respectively, maize yield, </w:t>
      </w:r>
      <w:r w:rsidRPr="0079167A">
        <w:rPr>
          <w:rFonts w:ascii="Times New Roman" w:hAnsi="Times New Roman" w:cs="Times New Roman"/>
          <w:i/>
          <w:iCs/>
        </w:rPr>
        <w:t xml:space="preserve">L. </w:t>
      </w:r>
      <w:proofErr w:type="spellStart"/>
      <w:r w:rsidRPr="0079167A">
        <w:rPr>
          <w:rFonts w:ascii="Times New Roman" w:hAnsi="Times New Roman" w:cs="Times New Roman"/>
          <w:i/>
          <w:iCs/>
        </w:rPr>
        <w:t>botrana</w:t>
      </w:r>
      <w:proofErr w:type="spellEnd"/>
      <w:r w:rsidRPr="0079167A">
        <w:rPr>
          <w:rFonts w:ascii="Times New Roman" w:hAnsi="Times New Roman" w:cs="Times New Roman"/>
        </w:rPr>
        <w:t xml:space="preserve"> capture intensity, and grape Brix accumulation; (iii) develop and evaluate spatial interpolation and regression models supporting variable-rate </w:t>
      </w:r>
      <w:proofErr w:type="spellStart"/>
      <w:r w:rsidRPr="0079167A">
        <w:rPr>
          <w:rFonts w:ascii="Times New Roman" w:hAnsi="Times New Roman" w:cs="Times New Roman"/>
        </w:rPr>
        <w:t>fertiliser</w:t>
      </w:r>
      <w:proofErr w:type="spellEnd"/>
      <w:r w:rsidRPr="0079167A">
        <w:rPr>
          <w:rFonts w:ascii="Times New Roman" w:hAnsi="Times New Roman" w:cs="Times New Roman"/>
        </w:rPr>
        <w:t xml:space="preserve">/lime prescription (maize), </w:t>
      </w:r>
      <w:proofErr w:type="spellStart"/>
      <w:r w:rsidRPr="0079167A">
        <w:rPr>
          <w:rFonts w:ascii="Times New Roman" w:hAnsi="Times New Roman" w:cs="Times New Roman"/>
        </w:rPr>
        <w:t>spatio</w:t>
      </w:r>
      <w:proofErr w:type="spellEnd"/>
      <w:r w:rsidRPr="0079167A">
        <w:rPr>
          <w:rFonts w:ascii="Times New Roman" w:hAnsi="Times New Roman" w:cs="Times New Roman"/>
        </w:rPr>
        <w:t xml:space="preserve">-temporal pest-risk mapping (vineyard moth), and NDVI-based harvest-date forecasting (Brix); (iv) implement and rigorously cross-validate a suite of machine-learning and hybrid regression-kriging models (Random Forest, Gradient Boosting, neural network, stacking ensemble) against the simple IDW baseline for the Brix case study, using spatial-autocorrelation diagnostics and permutation importance to explain, rather than merely report, the comparative result; and (v) </w:t>
      </w:r>
      <w:proofErr w:type="spellStart"/>
      <w:r w:rsidRPr="0079167A">
        <w:rPr>
          <w:rFonts w:ascii="Times New Roman" w:hAnsi="Times New Roman" w:cs="Times New Roman"/>
        </w:rPr>
        <w:t>synthesise</w:t>
      </w:r>
      <w:proofErr w:type="spellEnd"/>
      <w:r w:rsidRPr="0079167A">
        <w:rPr>
          <w:rFonts w:ascii="Times New Roman" w:hAnsi="Times New Roman" w:cs="Times New Roman"/>
        </w:rPr>
        <w:t xml:space="preserve"> the three case studies into a single </w:t>
      </w:r>
      <w:r w:rsidRPr="0079167A">
        <w:rPr>
          <w:rFonts w:ascii="Times New Roman" w:hAnsi="Times New Roman" w:cs="Times New Roman"/>
        </w:rPr>
        <w:t>discussion of the opportunities and current limitations of GIS/remote-sensing- and machine-learning-based precision agriculture across structurally different cropping systems.</w:t>
      </w:r>
    </w:p>
    <w:p w14:paraId="3EAC5BB3" w14:textId="77777777" w:rsidR="00ED74D0" w:rsidRPr="0079167A" w:rsidRDefault="00000000">
      <w:pPr>
        <w:pStyle w:val="Heading1"/>
        <w:spacing w:before="320" w:after="160"/>
        <w:rPr>
          <w:rFonts w:ascii="Times New Roman" w:hAnsi="Times New Roman" w:cs="Times New Roman"/>
          <w:color w:val="auto"/>
        </w:rPr>
      </w:pPr>
      <w:r w:rsidRPr="0079167A">
        <w:rPr>
          <w:rFonts w:ascii="Times New Roman" w:hAnsi="Times New Roman" w:cs="Times New Roman"/>
          <w:color w:val="auto"/>
        </w:rPr>
        <w:t>2. Materials and Methods</w:t>
      </w:r>
    </w:p>
    <w:p w14:paraId="7546BAF7" w14:textId="77777777"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2.1 Overview of Study Sites</w:t>
      </w:r>
    </w:p>
    <w:p w14:paraId="357F86E0" w14:textId="77777777" w:rsidR="00ED74D0" w:rsidRDefault="00000000">
      <w:pPr>
        <w:spacing w:after="160"/>
        <w:jc w:val="both"/>
        <w:rPr>
          <w:rFonts w:ascii="Times New Roman" w:hAnsi="Times New Roman" w:cs="Times New Roman"/>
        </w:rPr>
      </w:pPr>
      <w:r w:rsidRPr="000F5F0B">
        <w:rPr>
          <w:rFonts w:ascii="Times New Roman" w:hAnsi="Times New Roman" w:cs="Times New Roman"/>
        </w:rPr>
        <w:t>Three independent field campaigns, all conducted under the supervision of the same instructing team (</w:t>
      </w:r>
      <w:hyperlink w:anchor="aranha2026" w:history="1">
        <w:r w:rsidRPr="000F5F0B">
          <w:rPr>
            <w:rStyle w:val="Hyperlink"/>
            <w:rFonts w:ascii="Times New Roman" w:hAnsi="Times New Roman" w:cs="Times New Roman"/>
          </w:rPr>
          <w:t>Aranha, 2026</w:t>
        </w:r>
      </w:hyperlink>
      <w:r w:rsidRPr="000F5F0B">
        <w:rPr>
          <w:rFonts w:ascii="Times New Roman" w:hAnsi="Times New Roman" w:cs="Times New Roman"/>
        </w:rPr>
        <w:t>), form the basis of this integrated analysis (Table 1). Case Study I is a 16.85-ha maize (</w:t>
      </w:r>
      <w:r w:rsidRPr="000F5F0B">
        <w:rPr>
          <w:rFonts w:ascii="Times New Roman" w:hAnsi="Times New Roman" w:cs="Times New Roman"/>
          <w:i/>
          <w:iCs/>
        </w:rPr>
        <w:t>Zea mays</w:t>
      </w:r>
      <w:r w:rsidRPr="000F5F0B">
        <w:rPr>
          <w:rFonts w:ascii="Times New Roman" w:hAnsi="Times New Roman" w:cs="Times New Roman"/>
        </w:rPr>
        <w:t xml:space="preserve"> L.) production field within the Coimbra agricultural region, central Portugal, a Mediterranean-with-Atlantic-influence landscape of fertile alluvial soils associated with the Mondego River valley. Case Study II is the 42.97-ha Quinta da Senhora da Graça estate, on the right bank of the </w:t>
      </w:r>
      <w:proofErr w:type="spellStart"/>
      <w:r w:rsidRPr="000F5F0B">
        <w:rPr>
          <w:rFonts w:ascii="Times New Roman" w:hAnsi="Times New Roman" w:cs="Times New Roman"/>
        </w:rPr>
        <w:t>Corgo</w:t>
      </w:r>
      <w:proofErr w:type="spellEnd"/>
      <w:r w:rsidRPr="000F5F0B">
        <w:rPr>
          <w:rFonts w:ascii="Times New Roman" w:hAnsi="Times New Roman" w:cs="Times New Roman"/>
        </w:rPr>
        <w:t xml:space="preserve"> River near Peso da </w:t>
      </w:r>
      <w:proofErr w:type="spellStart"/>
      <w:r w:rsidRPr="000F5F0B">
        <w:rPr>
          <w:rFonts w:ascii="Times New Roman" w:hAnsi="Times New Roman" w:cs="Times New Roman"/>
        </w:rPr>
        <w:t>Régua</w:t>
      </w:r>
      <w:proofErr w:type="spellEnd"/>
      <w:r w:rsidRPr="000F5F0B">
        <w:rPr>
          <w:rFonts w:ascii="Times New Roman" w:hAnsi="Times New Roman" w:cs="Times New Roman"/>
        </w:rPr>
        <w:t>, within the Douro Demarcated Region, where viticulture is the dominant land use and terrain is steep and heterogeneous (slope 0–111%; altitude 61–400 m). Case Study III is the approximately 6-ha Quinta de Nossa Senhora de Lurdes vineyard in Vila Real, also within the Douro viticultural context, georeferenced in WGS84 UTM Zone 29N.</w:t>
      </w:r>
    </w:p>
    <w:p w14:paraId="303762E6" w14:textId="77777777" w:rsidR="004922AD" w:rsidRPr="000F5F0B" w:rsidRDefault="004922AD">
      <w:pPr>
        <w:spacing w:after="160"/>
        <w:jc w:val="both"/>
        <w:rPr>
          <w:rFonts w:ascii="Times New Roman" w:hAnsi="Times New Roman" w:cs="Times New Roman"/>
        </w:rPr>
      </w:pPr>
    </w:p>
    <w:p w14:paraId="3520BB81" w14:textId="77777777" w:rsidR="000F5F0B" w:rsidRDefault="000F5F0B">
      <w:pPr>
        <w:rPr>
          <w:rFonts w:ascii="Times New Roman" w:hAnsi="Times New Roman" w:cs="Times New Roman"/>
          <w:b/>
          <w:bCs/>
          <w:sz w:val="20"/>
          <w:szCs w:val="20"/>
        </w:rPr>
      </w:pPr>
    </w:p>
    <w:p w14:paraId="22ECCE60" w14:textId="77777777" w:rsidR="000F5F0B" w:rsidRDefault="000F5F0B">
      <w:pPr>
        <w:rPr>
          <w:rFonts w:ascii="Times New Roman" w:hAnsi="Times New Roman" w:cs="Times New Roman"/>
          <w:b/>
          <w:bCs/>
          <w:sz w:val="20"/>
          <w:szCs w:val="20"/>
        </w:rPr>
      </w:pPr>
    </w:p>
    <w:p w14:paraId="6CBA3909" w14:textId="77777777" w:rsidR="000F5F0B" w:rsidRDefault="000F5F0B">
      <w:pPr>
        <w:rPr>
          <w:rFonts w:ascii="Times New Roman" w:hAnsi="Times New Roman" w:cs="Times New Roman"/>
          <w:b/>
          <w:bCs/>
          <w:sz w:val="20"/>
          <w:szCs w:val="20"/>
        </w:rPr>
      </w:pPr>
    </w:p>
    <w:p w14:paraId="6F81249A" w14:textId="77777777" w:rsidR="000F5F0B" w:rsidRDefault="000F5F0B">
      <w:pPr>
        <w:rPr>
          <w:rFonts w:ascii="Times New Roman" w:hAnsi="Times New Roman" w:cs="Times New Roman"/>
          <w:b/>
          <w:bCs/>
          <w:sz w:val="20"/>
          <w:szCs w:val="20"/>
        </w:rPr>
      </w:pPr>
    </w:p>
    <w:p w14:paraId="0F534BD5" w14:textId="77777777" w:rsidR="000F5F0B" w:rsidRDefault="000F5F0B">
      <w:pPr>
        <w:rPr>
          <w:rFonts w:ascii="Times New Roman" w:hAnsi="Times New Roman" w:cs="Times New Roman"/>
          <w:b/>
          <w:bCs/>
          <w:sz w:val="20"/>
          <w:szCs w:val="20"/>
        </w:rPr>
      </w:pPr>
    </w:p>
    <w:p w14:paraId="162E85A3" w14:textId="77777777" w:rsidR="000F5F0B" w:rsidRDefault="000F5F0B">
      <w:pPr>
        <w:rPr>
          <w:rFonts w:ascii="Times New Roman" w:hAnsi="Times New Roman" w:cs="Times New Roman"/>
          <w:b/>
          <w:bCs/>
          <w:sz w:val="20"/>
          <w:szCs w:val="20"/>
        </w:rPr>
      </w:pPr>
    </w:p>
    <w:p w14:paraId="7B09A337" w14:textId="77777777" w:rsidR="000F5F0B" w:rsidRDefault="000F5F0B">
      <w:pPr>
        <w:rPr>
          <w:rFonts w:ascii="Times New Roman" w:hAnsi="Times New Roman" w:cs="Times New Roman"/>
          <w:b/>
          <w:bCs/>
          <w:sz w:val="20"/>
          <w:szCs w:val="20"/>
        </w:rPr>
      </w:pPr>
    </w:p>
    <w:p w14:paraId="6D9F8120" w14:textId="77777777" w:rsidR="000F5F0B" w:rsidRDefault="000F5F0B">
      <w:pPr>
        <w:rPr>
          <w:rFonts w:ascii="Times New Roman" w:hAnsi="Times New Roman" w:cs="Times New Roman"/>
          <w:b/>
          <w:bCs/>
          <w:sz w:val="20"/>
          <w:szCs w:val="20"/>
        </w:rPr>
      </w:pPr>
    </w:p>
    <w:p w14:paraId="28753C62" w14:textId="77777777" w:rsidR="000F5F0B" w:rsidRDefault="000F5F0B">
      <w:pPr>
        <w:rPr>
          <w:rFonts w:ascii="Times New Roman" w:hAnsi="Times New Roman" w:cs="Times New Roman"/>
          <w:b/>
          <w:bCs/>
          <w:sz w:val="20"/>
          <w:szCs w:val="20"/>
        </w:rPr>
      </w:pPr>
    </w:p>
    <w:p w14:paraId="1BD5EF61" w14:textId="77777777" w:rsidR="000F5F0B" w:rsidRDefault="000F5F0B">
      <w:pPr>
        <w:rPr>
          <w:rFonts w:ascii="Times New Roman" w:hAnsi="Times New Roman" w:cs="Times New Roman"/>
          <w:b/>
          <w:bCs/>
          <w:sz w:val="20"/>
          <w:szCs w:val="20"/>
        </w:rPr>
      </w:pPr>
    </w:p>
    <w:p w14:paraId="1BD9973C" w14:textId="77777777" w:rsidR="000F5F0B" w:rsidRDefault="000F5F0B">
      <w:pPr>
        <w:rPr>
          <w:rFonts w:ascii="Times New Roman" w:hAnsi="Times New Roman" w:cs="Times New Roman"/>
          <w:b/>
          <w:bCs/>
          <w:sz w:val="20"/>
          <w:szCs w:val="20"/>
        </w:rPr>
      </w:pPr>
    </w:p>
    <w:p w14:paraId="55CAA884" w14:textId="77777777" w:rsidR="000F5F0B" w:rsidRDefault="000F5F0B">
      <w:pPr>
        <w:rPr>
          <w:rFonts w:ascii="Times New Roman" w:hAnsi="Times New Roman" w:cs="Times New Roman"/>
          <w:b/>
          <w:bCs/>
          <w:sz w:val="20"/>
          <w:szCs w:val="20"/>
        </w:rPr>
      </w:pPr>
    </w:p>
    <w:p w14:paraId="1F25ED06" w14:textId="77777777" w:rsidR="000F5F0B" w:rsidRDefault="000F5F0B">
      <w:pPr>
        <w:rPr>
          <w:rFonts w:ascii="Times New Roman" w:hAnsi="Times New Roman" w:cs="Times New Roman"/>
          <w:b/>
          <w:bCs/>
          <w:sz w:val="20"/>
          <w:szCs w:val="20"/>
        </w:rPr>
      </w:pPr>
    </w:p>
    <w:p w14:paraId="402173F0" w14:textId="77777777" w:rsidR="000F5F0B" w:rsidRDefault="000F5F0B">
      <w:pPr>
        <w:rPr>
          <w:rFonts w:ascii="Times New Roman" w:hAnsi="Times New Roman" w:cs="Times New Roman"/>
          <w:b/>
          <w:bCs/>
          <w:sz w:val="20"/>
          <w:szCs w:val="20"/>
        </w:rPr>
      </w:pPr>
    </w:p>
    <w:p w14:paraId="14E5CB9D" w14:textId="77777777" w:rsidR="000F5F0B" w:rsidRDefault="000F5F0B">
      <w:pPr>
        <w:rPr>
          <w:rFonts w:ascii="Times New Roman" w:hAnsi="Times New Roman" w:cs="Times New Roman"/>
          <w:b/>
          <w:bCs/>
          <w:sz w:val="20"/>
          <w:szCs w:val="20"/>
        </w:rPr>
      </w:pPr>
    </w:p>
    <w:p w14:paraId="5D395C5D" w14:textId="77777777" w:rsidR="000F5F0B" w:rsidRDefault="000F5F0B">
      <w:pPr>
        <w:rPr>
          <w:rFonts w:ascii="Times New Roman" w:hAnsi="Times New Roman" w:cs="Times New Roman"/>
          <w:b/>
          <w:bCs/>
          <w:sz w:val="20"/>
          <w:szCs w:val="20"/>
        </w:rPr>
      </w:pPr>
    </w:p>
    <w:p w14:paraId="1D4645D1" w14:textId="77777777" w:rsidR="000F5F0B" w:rsidRDefault="000F5F0B">
      <w:pPr>
        <w:rPr>
          <w:rFonts w:ascii="Times New Roman" w:hAnsi="Times New Roman" w:cs="Times New Roman"/>
          <w:b/>
          <w:bCs/>
          <w:sz w:val="20"/>
          <w:szCs w:val="20"/>
        </w:rPr>
      </w:pPr>
    </w:p>
    <w:p w14:paraId="5C0932AC" w14:textId="77777777" w:rsidR="000F5F0B" w:rsidRDefault="000F5F0B">
      <w:pPr>
        <w:rPr>
          <w:rFonts w:ascii="Times New Roman" w:hAnsi="Times New Roman" w:cs="Times New Roman"/>
          <w:b/>
          <w:bCs/>
          <w:sz w:val="20"/>
          <w:szCs w:val="20"/>
        </w:rPr>
      </w:pPr>
    </w:p>
    <w:p w14:paraId="12E63715" w14:textId="77777777" w:rsidR="000F5F0B" w:rsidRDefault="000F5F0B">
      <w:pPr>
        <w:rPr>
          <w:rFonts w:ascii="Times New Roman" w:hAnsi="Times New Roman" w:cs="Times New Roman"/>
          <w:b/>
          <w:bCs/>
          <w:sz w:val="20"/>
          <w:szCs w:val="20"/>
        </w:rPr>
      </w:pPr>
    </w:p>
    <w:p w14:paraId="1F5C6D61" w14:textId="77777777" w:rsidR="000F5F0B" w:rsidRDefault="000F5F0B">
      <w:pPr>
        <w:rPr>
          <w:rFonts w:ascii="Times New Roman" w:hAnsi="Times New Roman" w:cs="Times New Roman"/>
          <w:b/>
          <w:bCs/>
          <w:sz w:val="20"/>
          <w:szCs w:val="20"/>
        </w:rPr>
      </w:pPr>
    </w:p>
    <w:p w14:paraId="28E4ABE1" w14:textId="77777777" w:rsidR="000F5F0B" w:rsidRDefault="000F5F0B">
      <w:pPr>
        <w:rPr>
          <w:rFonts w:ascii="Times New Roman" w:hAnsi="Times New Roman" w:cs="Times New Roman"/>
          <w:b/>
          <w:bCs/>
          <w:sz w:val="20"/>
          <w:szCs w:val="20"/>
        </w:rPr>
        <w:sectPr w:rsidR="000F5F0B" w:rsidSect="000F5F0B">
          <w:type w:val="continuous"/>
          <w:pgSz w:w="12240" w:h="15840"/>
          <w:pgMar w:top="1440" w:right="1440" w:bottom="1440" w:left="1440" w:header="708" w:footer="708" w:gutter="0"/>
          <w:cols w:num="2" w:space="720"/>
          <w:docGrid w:linePitch="360"/>
        </w:sectPr>
      </w:pPr>
    </w:p>
    <w:tbl>
      <w:tblPr>
        <w:tblStyle w:val="PlainTable2"/>
        <w:tblW w:w="9350" w:type="dxa"/>
        <w:tblLook w:val="0000" w:firstRow="0" w:lastRow="0" w:firstColumn="0" w:lastColumn="0" w:noHBand="0" w:noVBand="0"/>
      </w:tblPr>
      <w:tblGrid>
        <w:gridCol w:w="1525"/>
        <w:gridCol w:w="2610"/>
        <w:gridCol w:w="2700"/>
        <w:gridCol w:w="2515"/>
      </w:tblGrid>
      <w:tr w:rsidR="00ED74D0" w:rsidRPr="000F5F0B" w14:paraId="3F8E2176" w14:textId="77777777" w:rsidTr="00CC12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865FDA3"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lastRenderedPageBreak/>
              <w:t>Attribute</w:t>
            </w:r>
          </w:p>
        </w:tc>
        <w:tc>
          <w:tcPr>
            <w:cnfStyle w:val="000001000000" w:firstRow="0" w:lastRow="0" w:firstColumn="0" w:lastColumn="0" w:oddVBand="0" w:evenVBand="1" w:oddHBand="0" w:evenHBand="0" w:firstRowFirstColumn="0" w:firstRowLastColumn="0" w:lastRowFirstColumn="0" w:lastRowLastColumn="0"/>
            <w:tcW w:w="2610" w:type="dxa"/>
          </w:tcPr>
          <w:p w14:paraId="7BC0543E"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Case Study I – Maize (Coimbra)</w:t>
            </w:r>
          </w:p>
        </w:tc>
        <w:tc>
          <w:tcPr>
            <w:cnfStyle w:val="000010000000" w:firstRow="0" w:lastRow="0" w:firstColumn="0" w:lastColumn="0" w:oddVBand="1" w:evenVBand="0" w:oddHBand="0" w:evenHBand="0" w:firstRowFirstColumn="0" w:firstRowLastColumn="0" w:lastRowFirstColumn="0" w:lastRowLastColumn="0"/>
            <w:tcW w:w="2700" w:type="dxa"/>
          </w:tcPr>
          <w:p w14:paraId="1C6CBC72"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Case Study II – Vineyard Pest (Srª da Graça)</w:t>
            </w:r>
          </w:p>
        </w:tc>
        <w:tc>
          <w:tcPr>
            <w:cnfStyle w:val="000001000000" w:firstRow="0" w:lastRow="0" w:firstColumn="0" w:lastColumn="0" w:oddVBand="0" w:evenVBand="1" w:oddHBand="0" w:evenHBand="0" w:firstRowFirstColumn="0" w:firstRowLastColumn="0" w:lastRowFirstColumn="0" w:lastRowLastColumn="0"/>
            <w:tcW w:w="2515" w:type="dxa"/>
          </w:tcPr>
          <w:p w14:paraId="128626E0"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Case Study III – Grape Ripening (N.S. de Lurdes)</w:t>
            </w:r>
          </w:p>
        </w:tc>
      </w:tr>
      <w:tr w:rsidR="00ED74D0" w:rsidRPr="000F5F0B" w14:paraId="59CF5773" w14:textId="77777777" w:rsidTr="00CC1271">
        <w:tc>
          <w:tcPr>
            <w:cnfStyle w:val="000010000000" w:firstRow="0" w:lastRow="0" w:firstColumn="0" w:lastColumn="0" w:oddVBand="1" w:evenVBand="0" w:oddHBand="0" w:evenHBand="0" w:firstRowFirstColumn="0" w:firstRowLastColumn="0" w:lastRowFirstColumn="0" w:lastRowLastColumn="0"/>
            <w:tcW w:w="1525" w:type="dxa"/>
          </w:tcPr>
          <w:p w14:paraId="4AA68DA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Crop / target</w:t>
            </w:r>
          </w:p>
        </w:tc>
        <w:tc>
          <w:tcPr>
            <w:cnfStyle w:val="000001000000" w:firstRow="0" w:lastRow="0" w:firstColumn="0" w:lastColumn="0" w:oddVBand="0" w:evenVBand="1" w:oddHBand="0" w:evenHBand="0" w:firstRowFirstColumn="0" w:firstRowLastColumn="0" w:lastRowFirstColumn="0" w:lastRowLastColumn="0"/>
            <w:tcW w:w="2610" w:type="dxa"/>
          </w:tcPr>
          <w:p w14:paraId="7294F4B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Maize (Zea mays)</w:t>
            </w:r>
          </w:p>
        </w:tc>
        <w:tc>
          <w:tcPr>
            <w:cnfStyle w:val="000010000000" w:firstRow="0" w:lastRow="0" w:firstColumn="0" w:lastColumn="0" w:oddVBand="1" w:evenVBand="0" w:oddHBand="0" w:evenHBand="0" w:firstRowFirstColumn="0" w:firstRowLastColumn="0" w:lastRowFirstColumn="0" w:lastRowLastColumn="0"/>
            <w:tcW w:w="2700" w:type="dxa"/>
          </w:tcPr>
          <w:p w14:paraId="577D0165" w14:textId="41FC9FAB" w:rsidR="00ED74D0" w:rsidRPr="000F5F0B" w:rsidRDefault="00000000">
            <w:pPr>
              <w:rPr>
                <w:rFonts w:ascii="Times New Roman" w:hAnsi="Times New Roman" w:cs="Times New Roman"/>
                <w:lang w:val="pt-BR"/>
              </w:rPr>
            </w:pPr>
            <w:r w:rsidRPr="000F5F0B">
              <w:rPr>
                <w:rFonts w:ascii="Times New Roman" w:hAnsi="Times New Roman" w:cs="Times New Roman"/>
                <w:sz w:val="20"/>
                <w:szCs w:val="20"/>
                <w:lang w:val="pt-BR"/>
              </w:rPr>
              <w:t>Grapevine (Vitis vinifera)</w:t>
            </w:r>
            <w:r w:rsidR="000F5F0B">
              <w:rPr>
                <w:rFonts w:ascii="Times New Roman" w:hAnsi="Times New Roman" w:cs="Times New Roman"/>
                <w:sz w:val="20"/>
                <w:szCs w:val="20"/>
                <w:lang w:val="pt-BR"/>
              </w:rPr>
              <w:t xml:space="preserve"> </w:t>
            </w:r>
            <w:r w:rsidRPr="000F5F0B">
              <w:rPr>
                <w:rFonts w:ascii="Times New Roman" w:hAnsi="Times New Roman" w:cs="Times New Roman"/>
                <w:sz w:val="20"/>
                <w:szCs w:val="20"/>
                <w:lang w:val="pt-BR"/>
              </w:rPr>
              <w:t>Lobesia botrana</w:t>
            </w:r>
          </w:p>
        </w:tc>
        <w:tc>
          <w:tcPr>
            <w:cnfStyle w:val="000001000000" w:firstRow="0" w:lastRow="0" w:firstColumn="0" w:lastColumn="0" w:oddVBand="0" w:evenVBand="1" w:oddHBand="0" w:evenHBand="0" w:firstRowFirstColumn="0" w:firstRowLastColumn="0" w:lastRowFirstColumn="0" w:lastRowLastColumn="0"/>
            <w:tcW w:w="2515" w:type="dxa"/>
          </w:tcPr>
          <w:p w14:paraId="71AB75B3" w14:textId="1E3CADCB" w:rsidR="00ED74D0" w:rsidRPr="000F5F0B" w:rsidRDefault="00000000">
            <w:pPr>
              <w:rPr>
                <w:rFonts w:ascii="Times New Roman" w:hAnsi="Times New Roman" w:cs="Times New Roman"/>
              </w:rPr>
            </w:pPr>
            <w:r w:rsidRPr="000F5F0B">
              <w:rPr>
                <w:rFonts w:ascii="Times New Roman" w:hAnsi="Times New Roman" w:cs="Times New Roman"/>
                <w:sz w:val="20"/>
                <w:szCs w:val="20"/>
              </w:rPr>
              <w:t>Grapevine (Vitis vinifera)</w:t>
            </w:r>
            <w:r w:rsidR="000F5F0B">
              <w:rPr>
                <w:rFonts w:ascii="Times New Roman" w:hAnsi="Times New Roman" w:cs="Times New Roman"/>
                <w:sz w:val="20"/>
                <w:szCs w:val="20"/>
              </w:rPr>
              <w:t xml:space="preserve"> </w:t>
            </w:r>
            <w:r w:rsidRPr="000F5F0B">
              <w:rPr>
                <w:rFonts w:ascii="Times New Roman" w:hAnsi="Times New Roman" w:cs="Times New Roman"/>
                <w:sz w:val="20"/>
                <w:szCs w:val="20"/>
              </w:rPr>
              <w:t>Brix/ripening</w:t>
            </w:r>
          </w:p>
        </w:tc>
      </w:tr>
      <w:tr w:rsidR="00ED74D0" w:rsidRPr="000F5F0B" w14:paraId="3923A7A3" w14:textId="77777777" w:rsidTr="00CC12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025AC7B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Area</w:t>
            </w:r>
          </w:p>
        </w:tc>
        <w:tc>
          <w:tcPr>
            <w:cnfStyle w:val="000001000000" w:firstRow="0" w:lastRow="0" w:firstColumn="0" w:lastColumn="0" w:oddVBand="0" w:evenVBand="1" w:oddHBand="0" w:evenHBand="0" w:firstRowFirstColumn="0" w:firstRowLastColumn="0" w:lastRowFirstColumn="0" w:lastRowLastColumn="0"/>
            <w:tcW w:w="2610" w:type="dxa"/>
          </w:tcPr>
          <w:p w14:paraId="6FABC73C"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16.85 ha</w:t>
            </w:r>
          </w:p>
        </w:tc>
        <w:tc>
          <w:tcPr>
            <w:cnfStyle w:val="000010000000" w:firstRow="0" w:lastRow="0" w:firstColumn="0" w:lastColumn="0" w:oddVBand="1" w:evenVBand="0" w:oddHBand="0" w:evenHBand="0" w:firstRowFirstColumn="0" w:firstRowLastColumn="0" w:lastRowFirstColumn="0" w:lastRowLastColumn="0"/>
            <w:tcW w:w="2700" w:type="dxa"/>
          </w:tcPr>
          <w:p w14:paraId="2C074542"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42.97 ha</w:t>
            </w:r>
          </w:p>
        </w:tc>
        <w:tc>
          <w:tcPr>
            <w:cnfStyle w:val="000001000000" w:firstRow="0" w:lastRow="0" w:firstColumn="0" w:lastColumn="0" w:oddVBand="0" w:evenVBand="1" w:oddHBand="0" w:evenHBand="0" w:firstRowFirstColumn="0" w:firstRowLastColumn="0" w:lastRowFirstColumn="0" w:lastRowLastColumn="0"/>
            <w:tcW w:w="2515" w:type="dxa"/>
          </w:tcPr>
          <w:p w14:paraId="2DF8B424"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 6 ha</w:t>
            </w:r>
          </w:p>
        </w:tc>
      </w:tr>
      <w:tr w:rsidR="00ED74D0" w:rsidRPr="000F5F0B" w14:paraId="26E2D3AC" w14:textId="77777777" w:rsidTr="00CC1271">
        <w:tc>
          <w:tcPr>
            <w:cnfStyle w:val="000010000000" w:firstRow="0" w:lastRow="0" w:firstColumn="0" w:lastColumn="0" w:oddVBand="1" w:evenVBand="0" w:oddHBand="0" w:evenHBand="0" w:firstRowFirstColumn="0" w:firstRowLastColumn="0" w:lastRowFirstColumn="0" w:lastRowLastColumn="0"/>
            <w:tcW w:w="1525" w:type="dxa"/>
          </w:tcPr>
          <w:p w14:paraId="27E2FAE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Location</w:t>
            </w:r>
          </w:p>
        </w:tc>
        <w:tc>
          <w:tcPr>
            <w:cnfStyle w:val="000001000000" w:firstRow="0" w:lastRow="0" w:firstColumn="0" w:lastColumn="0" w:oddVBand="0" w:evenVBand="1" w:oddHBand="0" w:evenHBand="0" w:firstRowFirstColumn="0" w:firstRowLastColumn="0" w:lastRowFirstColumn="0" w:lastRowLastColumn="0"/>
            <w:tcW w:w="2610" w:type="dxa"/>
          </w:tcPr>
          <w:p w14:paraId="49C0057F"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Coimbra, Centro Region</w:t>
            </w:r>
          </w:p>
        </w:tc>
        <w:tc>
          <w:tcPr>
            <w:cnfStyle w:val="000010000000" w:firstRow="0" w:lastRow="0" w:firstColumn="0" w:lastColumn="0" w:oddVBand="1" w:evenVBand="0" w:oddHBand="0" w:evenHBand="0" w:firstRowFirstColumn="0" w:firstRowLastColumn="0" w:lastRowFirstColumn="0" w:lastRowLastColumn="0"/>
            <w:tcW w:w="2700" w:type="dxa"/>
          </w:tcPr>
          <w:p w14:paraId="669FBEF6" w14:textId="77777777" w:rsidR="00ED74D0" w:rsidRPr="000F5F0B" w:rsidRDefault="00000000">
            <w:pPr>
              <w:rPr>
                <w:rFonts w:ascii="Times New Roman" w:hAnsi="Times New Roman" w:cs="Times New Roman"/>
                <w:lang w:val="pt-BR"/>
              </w:rPr>
            </w:pPr>
            <w:r w:rsidRPr="000F5F0B">
              <w:rPr>
                <w:rFonts w:ascii="Times New Roman" w:hAnsi="Times New Roman" w:cs="Times New Roman"/>
                <w:sz w:val="20"/>
                <w:szCs w:val="20"/>
                <w:lang w:val="pt-BR"/>
              </w:rPr>
              <w:t>Peso da Régua, Douro DR</w:t>
            </w:r>
          </w:p>
        </w:tc>
        <w:tc>
          <w:tcPr>
            <w:cnfStyle w:val="000001000000" w:firstRow="0" w:lastRow="0" w:firstColumn="0" w:lastColumn="0" w:oddVBand="0" w:evenVBand="1" w:oddHBand="0" w:evenHBand="0" w:firstRowFirstColumn="0" w:firstRowLastColumn="0" w:lastRowFirstColumn="0" w:lastRowLastColumn="0"/>
            <w:tcW w:w="2515" w:type="dxa"/>
          </w:tcPr>
          <w:p w14:paraId="196DDDC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Vila Real, Douro context</w:t>
            </w:r>
          </w:p>
        </w:tc>
      </w:tr>
      <w:tr w:rsidR="00ED74D0" w:rsidRPr="000F5F0B" w14:paraId="7E11159B" w14:textId="77777777" w:rsidTr="00CC12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66DF2AEC"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Primary spatial method</w:t>
            </w:r>
          </w:p>
        </w:tc>
        <w:tc>
          <w:tcPr>
            <w:cnfStyle w:val="000001000000" w:firstRow="0" w:lastRow="0" w:firstColumn="0" w:lastColumn="0" w:oddVBand="0" w:evenVBand="1" w:oddHBand="0" w:evenHBand="0" w:firstRowFirstColumn="0" w:firstRowLastColumn="0" w:lastRowFirstColumn="0" w:lastRowLastColumn="0"/>
            <w:tcW w:w="2610" w:type="dxa"/>
          </w:tcPr>
          <w:p w14:paraId="1A7E9DD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IDW interpolation, Thiessen polygons</w:t>
            </w:r>
          </w:p>
        </w:tc>
        <w:tc>
          <w:tcPr>
            <w:cnfStyle w:val="000010000000" w:firstRow="0" w:lastRow="0" w:firstColumn="0" w:lastColumn="0" w:oddVBand="1" w:evenVBand="0" w:oddHBand="0" w:evenHBand="0" w:firstRowFirstColumn="0" w:firstRowLastColumn="0" w:lastRowFirstColumn="0" w:lastRowLastColumn="0"/>
            <w:tcW w:w="2700" w:type="dxa"/>
          </w:tcPr>
          <w:p w14:paraId="067A0F7C"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Georeferenced trap-count mapping</w:t>
            </w:r>
          </w:p>
        </w:tc>
        <w:tc>
          <w:tcPr>
            <w:cnfStyle w:val="000001000000" w:firstRow="0" w:lastRow="0" w:firstColumn="0" w:lastColumn="0" w:oddVBand="0" w:evenVBand="1" w:oddHBand="0" w:evenHBand="0" w:firstRowFirstColumn="0" w:firstRowLastColumn="0" w:lastRowFirstColumn="0" w:lastRowLastColumn="0"/>
            <w:tcW w:w="2515" w:type="dxa"/>
          </w:tcPr>
          <w:p w14:paraId="13B0BB6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IDW, Thiessen/Voronoi polygons</w:t>
            </w:r>
          </w:p>
        </w:tc>
      </w:tr>
      <w:tr w:rsidR="00ED74D0" w:rsidRPr="000F5F0B" w14:paraId="6079721D" w14:textId="77777777" w:rsidTr="00CC1271">
        <w:tc>
          <w:tcPr>
            <w:cnfStyle w:val="000010000000" w:firstRow="0" w:lastRow="0" w:firstColumn="0" w:lastColumn="0" w:oddVBand="1" w:evenVBand="0" w:oddHBand="0" w:evenHBand="0" w:firstRowFirstColumn="0" w:firstRowLastColumn="0" w:lastRowFirstColumn="0" w:lastRowLastColumn="0"/>
            <w:tcW w:w="1525" w:type="dxa"/>
          </w:tcPr>
          <w:p w14:paraId="7076E34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Remote sensing</w:t>
            </w:r>
          </w:p>
        </w:tc>
        <w:tc>
          <w:tcPr>
            <w:cnfStyle w:val="000001000000" w:firstRow="0" w:lastRow="0" w:firstColumn="0" w:lastColumn="0" w:oddVBand="0" w:evenVBand="1" w:oddHBand="0" w:evenHBand="0" w:firstRowFirstColumn="0" w:firstRowLastColumn="0" w:lastRowFirstColumn="0" w:lastRowLastColumn="0"/>
            <w:tcW w:w="2610" w:type="dxa"/>
          </w:tcPr>
          <w:p w14:paraId="1BFAF4E4"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Landsat multispectral NDVI (Feb/Jul/Oct)</w:t>
            </w:r>
          </w:p>
        </w:tc>
        <w:tc>
          <w:tcPr>
            <w:cnfStyle w:val="000010000000" w:firstRow="0" w:lastRow="0" w:firstColumn="0" w:lastColumn="0" w:oddVBand="1" w:evenVBand="0" w:oddHBand="0" w:evenHBand="0" w:firstRowFirstColumn="0" w:firstRowLastColumn="0" w:lastRowFirstColumn="0" w:lastRowLastColumn="0"/>
            <w:tcW w:w="2700" w:type="dxa"/>
          </w:tcPr>
          <w:p w14:paraId="0591824F"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Cartographic/DEM terrain analysis</w:t>
            </w:r>
          </w:p>
        </w:tc>
        <w:tc>
          <w:tcPr>
            <w:cnfStyle w:val="000001000000" w:firstRow="0" w:lastRow="0" w:firstColumn="0" w:lastColumn="0" w:oddVBand="0" w:evenVBand="1" w:oddHBand="0" w:evenHBand="0" w:firstRowFirstColumn="0" w:firstRowLastColumn="0" w:lastRowFirstColumn="0" w:lastRowLastColumn="0"/>
            <w:tcW w:w="2515" w:type="dxa"/>
          </w:tcPr>
          <w:p w14:paraId="3A40BC02"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NDVI, NIR orthophoto</w:t>
            </w:r>
          </w:p>
        </w:tc>
      </w:tr>
      <w:tr w:rsidR="00ED74D0" w:rsidRPr="000F5F0B" w14:paraId="5B1BAF8B" w14:textId="77777777" w:rsidTr="00CC12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2E1BB72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Primary output</w:t>
            </w:r>
          </w:p>
        </w:tc>
        <w:tc>
          <w:tcPr>
            <w:cnfStyle w:val="000001000000" w:firstRow="0" w:lastRow="0" w:firstColumn="0" w:lastColumn="0" w:oddVBand="0" w:evenVBand="1" w:oddHBand="0" w:evenHBand="0" w:firstRowFirstColumn="0" w:firstRowLastColumn="0" w:lastRowFirstColumn="0" w:lastRowLastColumn="0"/>
            <w:tcW w:w="2610" w:type="dxa"/>
          </w:tcPr>
          <w:p w14:paraId="784D126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Variable-rate NPK &amp; lime prescription maps</w:t>
            </w:r>
          </w:p>
        </w:tc>
        <w:tc>
          <w:tcPr>
            <w:cnfStyle w:val="000010000000" w:firstRow="0" w:lastRow="0" w:firstColumn="0" w:lastColumn="0" w:oddVBand="1" w:evenVBand="0" w:oddHBand="0" w:evenHBand="0" w:firstRowFirstColumn="0" w:firstRowLastColumn="0" w:lastRowFirstColumn="0" w:lastRowLastColumn="0"/>
            <w:tcW w:w="2700" w:type="dxa"/>
          </w:tcPr>
          <w:p w14:paraId="3FC6DF37" w14:textId="77777777" w:rsidR="00ED74D0" w:rsidRPr="000F5F0B" w:rsidRDefault="00000000">
            <w:pPr>
              <w:rPr>
                <w:rFonts w:ascii="Times New Roman" w:hAnsi="Times New Roman" w:cs="Times New Roman"/>
              </w:rPr>
            </w:pPr>
            <w:proofErr w:type="spellStart"/>
            <w:r w:rsidRPr="000F5F0B">
              <w:rPr>
                <w:rFonts w:ascii="Times New Roman" w:hAnsi="Times New Roman" w:cs="Times New Roman"/>
                <w:sz w:val="20"/>
                <w:szCs w:val="20"/>
              </w:rPr>
              <w:t>Spatio</w:t>
            </w:r>
            <w:proofErr w:type="spellEnd"/>
            <w:r w:rsidRPr="000F5F0B">
              <w:rPr>
                <w:rFonts w:ascii="Times New Roman" w:hAnsi="Times New Roman" w:cs="Times New Roman"/>
                <w:sz w:val="20"/>
                <w:szCs w:val="20"/>
              </w:rPr>
              <w:t>-temporal pest-risk maps</w:t>
            </w:r>
          </w:p>
        </w:tc>
        <w:tc>
          <w:tcPr>
            <w:cnfStyle w:val="000001000000" w:firstRow="0" w:lastRow="0" w:firstColumn="0" w:lastColumn="0" w:oddVBand="0" w:evenVBand="1" w:oddHBand="0" w:evenHBand="0" w:firstRowFirstColumn="0" w:firstRowLastColumn="0" w:lastRowFirstColumn="0" w:lastRowLastColumn="0"/>
            <w:tcW w:w="2515" w:type="dxa"/>
          </w:tcPr>
          <w:p w14:paraId="4B6E220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Harvest-date forecast, Brix zoning</w:t>
            </w:r>
          </w:p>
        </w:tc>
      </w:tr>
    </w:tbl>
    <w:p w14:paraId="06FF6AD9" w14:textId="77777777" w:rsidR="00580DA6" w:rsidRPr="00580DA6" w:rsidRDefault="00580DA6" w:rsidP="00580DA6">
      <w:pPr>
        <w:sectPr w:rsidR="00580DA6" w:rsidRPr="00580DA6" w:rsidSect="000F5F0B">
          <w:type w:val="continuous"/>
          <w:pgSz w:w="12240" w:h="15840"/>
          <w:pgMar w:top="1440" w:right="1440" w:bottom="1440" w:left="1440" w:header="708" w:footer="708" w:gutter="0"/>
          <w:cols w:space="720"/>
          <w:docGrid w:linePitch="360"/>
        </w:sectPr>
      </w:pPr>
    </w:p>
    <w:p w14:paraId="03FBE52C" w14:textId="7FF52F00"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2.2 Case Study I</w:t>
      </w:r>
      <w:r w:rsidR="000F5F0B" w:rsidRPr="0079167A">
        <w:rPr>
          <w:rFonts w:ascii="Times New Roman" w:hAnsi="Times New Roman" w:cs="Times New Roman"/>
          <w:color w:val="auto"/>
        </w:rPr>
        <w:t xml:space="preserve"> </w:t>
      </w:r>
      <w:r w:rsidRPr="0079167A">
        <w:rPr>
          <w:rFonts w:ascii="Times New Roman" w:hAnsi="Times New Roman" w:cs="Times New Roman"/>
          <w:color w:val="auto"/>
        </w:rPr>
        <w:t>Maize Precision Agriculture (Coimbra)</w:t>
      </w:r>
    </w:p>
    <w:p w14:paraId="71937590"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 xml:space="preserve">2.2.1 Geospatial </w:t>
      </w:r>
      <w:proofErr w:type="spellStart"/>
      <w:r w:rsidRPr="0079167A">
        <w:rPr>
          <w:rFonts w:ascii="Times New Roman" w:hAnsi="Times New Roman" w:cs="Times New Roman"/>
          <w:color w:val="auto"/>
        </w:rPr>
        <w:t>Characterisation</w:t>
      </w:r>
      <w:proofErr w:type="spellEnd"/>
      <w:r w:rsidRPr="0079167A">
        <w:rPr>
          <w:rFonts w:ascii="Times New Roman" w:hAnsi="Times New Roman" w:cs="Times New Roman"/>
          <w:color w:val="auto"/>
        </w:rPr>
        <w:t xml:space="preserve"> and Sampling Design</w:t>
      </w:r>
    </w:p>
    <w:p w14:paraId="41121870"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The field boundary, parcel geometry, and internal sampling grid were </w:t>
      </w:r>
      <w:proofErr w:type="spellStart"/>
      <w:r w:rsidRPr="000F5F0B">
        <w:rPr>
          <w:rFonts w:ascii="Times New Roman" w:hAnsi="Times New Roman" w:cs="Times New Roman"/>
        </w:rPr>
        <w:t>digitised</w:t>
      </w:r>
      <w:proofErr w:type="spellEnd"/>
      <w:r w:rsidRPr="000F5F0B">
        <w:rPr>
          <w:rFonts w:ascii="Times New Roman" w:hAnsi="Times New Roman" w:cs="Times New Roman"/>
        </w:rPr>
        <w:t xml:space="preserve"> in a GIS environment from cadastral and orthophoto sources (Figure 1). Soil samples were collected at fixed points distributed across the field and </w:t>
      </w:r>
      <w:proofErr w:type="spellStart"/>
      <w:r w:rsidRPr="000F5F0B">
        <w:rPr>
          <w:rFonts w:ascii="Times New Roman" w:hAnsi="Times New Roman" w:cs="Times New Roman"/>
        </w:rPr>
        <w:t>analysed</w:t>
      </w:r>
      <w:proofErr w:type="spellEnd"/>
      <w:r w:rsidRPr="000F5F0B">
        <w:rPr>
          <w:rFonts w:ascii="Times New Roman" w:hAnsi="Times New Roman" w:cs="Times New Roman"/>
        </w:rPr>
        <w:t xml:space="preserve"> for pH (H₂O), organic matter (OM, %), phosphorus pentoxide (P₂O₅), potassium oxide (K₂O), calcium oxide (CaO), and magnesium oxide (MgO). Surface and deep soil-water content were measured at the same points. Each soil sample was assigned an influence zone using Thiessen (Voronoi) polygon tessellation, and corn yield observations recorded across the field were subsequently joined to their enclosing polygon, allowing yield to be related to the nearest </w:t>
      </w:r>
      <w:proofErr w:type="spellStart"/>
      <w:r w:rsidRPr="000F5F0B">
        <w:rPr>
          <w:rFonts w:ascii="Times New Roman" w:hAnsi="Times New Roman" w:cs="Times New Roman"/>
        </w:rPr>
        <w:t>characterised</w:t>
      </w:r>
      <w:proofErr w:type="spellEnd"/>
      <w:r w:rsidRPr="000F5F0B">
        <w:rPr>
          <w:rFonts w:ascii="Times New Roman" w:hAnsi="Times New Roman" w:cs="Times New Roman"/>
        </w:rPr>
        <w:t xml:space="preserve"> soil sample.</w:t>
      </w:r>
    </w:p>
    <w:p w14:paraId="0FB2B777"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6E4055BB"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6B529C65" wp14:editId="5B46B185">
            <wp:extent cx="5762625"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476375"/>
                    </a:xfrm>
                    <a:prstGeom prst="rect">
                      <a:avLst/>
                    </a:prstGeom>
                  </pic:spPr>
                </pic:pic>
              </a:graphicData>
            </a:graphic>
          </wp:inline>
        </w:drawing>
      </w:r>
    </w:p>
    <w:p w14:paraId="3525C6FE"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 Study-area delineation for the Coimbra maize field: (A) field boundary and parcel context (</w:t>
      </w:r>
      <w:proofErr w:type="spellStart"/>
      <w:r w:rsidRPr="000F5F0B">
        <w:rPr>
          <w:rFonts w:ascii="Times New Roman" w:hAnsi="Times New Roman" w:cs="Times New Roman"/>
          <w:b/>
          <w:bCs/>
          <w:sz w:val="20"/>
          <w:szCs w:val="20"/>
        </w:rPr>
        <w:t>Corn_limits</w:t>
      </w:r>
      <w:proofErr w:type="spellEnd"/>
      <w:r w:rsidRPr="000F5F0B">
        <w:rPr>
          <w:rFonts w:ascii="Times New Roman" w:hAnsi="Times New Roman" w:cs="Times New Roman"/>
          <w:b/>
          <w:bCs/>
          <w:sz w:val="20"/>
          <w:szCs w:val="20"/>
        </w:rPr>
        <w:t>); (B) cadastral/orthophoto base map (</w:t>
      </w:r>
      <w:proofErr w:type="spellStart"/>
      <w:r w:rsidRPr="000F5F0B">
        <w:rPr>
          <w:rFonts w:ascii="Times New Roman" w:hAnsi="Times New Roman" w:cs="Times New Roman"/>
          <w:b/>
          <w:bCs/>
          <w:sz w:val="20"/>
          <w:szCs w:val="20"/>
        </w:rPr>
        <w:t>Corn_Coimbra</w:t>
      </w:r>
      <w:proofErr w:type="spellEnd"/>
      <w:r w:rsidRPr="000F5F0B">
        <w:rPr>
          <w:rFonts w:ascii="Times New Roman" w:hAnsi="Times New Roman" w:cs="Times New Roman"/>
          <w:b/>
          <w:bCs/>
          <w:sz w:val="20"/>
          <w:szCs w:val="20"/>
        </w:rPr>
        <w:t>); (C) internal sampling plot layout used for soil and yield data collection (</w:t>
      </w:r>
      <w:proofErr w:type="spellStart"/>
      <w:r w:rsidRPr="000F5F0B">
        <w:rPr>
          <w:rFonts w:ascii="Times New Roman" w:hAnsi="Times New Roman" w:cs="Times New Roman"/>
          <w:b/>
          <w:bCs/>
          <w:sz w:val="20"/>
          <w:szCs w:val="20"/>
        </w:rPr>
        <w:t>Corn_Plot</w:t>
      </w:r>
      <w:proofErr w:type="spellEnd"/>
      <w:r w:rsidRPr="000F5F0B">
        <w:rPr>
          <w:rFonts w:ascii="Times New Roman" w:hAnsi="Times New Roman" w:cs="Times New Roman"/>
          <w:b/>
          <w:bCs/>
          <w:sz w:val="20"/>
          <w:szCs w:val="20"/>
        </w:rPr>
        <w:t>).</w:t>
      </w:r>
    </w:p>
    <w:p w14:paraId="5634FF49"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054FD305"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2.2.2 Soil Fertility Mapping by Inverse Distance Weighting</w:t>
      </w:r>
    </w:p>
    <w:p w14:paraId="625F2B00"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Point-sampled soil pH, organic matter, and macronutrient oxide concentrations were </w:t>
      </w:r>
      <w:r w:rsidRPr="000F5F0B">
        <w:rPr>
          <w:rFonts w:ascii="Times New Roman" w:hAnsi="Times New Roman" w:cs="Times New Roman"/>
        </w:rPr>
        <w:t>interpolated across the field using Inverse Distance Weighting, in which the estimated value at an unsampled location is a distance-weighted average of surrounding samples (</w:t>
      </w:r>
      <w:hyperlink w:anchor="wong2017" w:history="1">
        <w:r w:rsidRPr="000F5F0B">
          <w:rPr>
            <w:rStyle w:val="Hyperlink"/>
            <w:rFonts w:ascii="Times New Roman" w:hAnsi="Times New Roman" w:cs="Times New Roman"/>
          </w:rPr>
          <w:t>Wong, 2017</w:t>
        </w:r>
      </w:hyperlink>
      <w:r w:rsidRPr="000F5F0B">
        <w:rPr>
          <w:rFonts w:ascii="Times New Roman" w:hAnsi="Times New Roman" w:cs="Times New Roman"/>
        </w:rPr>
        <w:t xml:space="preserve">), </w:t>
      </w:r>
      <w:proofErr w:type="spellStart"/>
      <w:r w:rsidRPr="000F5F0B">
        <w:rPr>
          <w:rFonts w:ascii="Times New Roman" w:hAnsi="Times New Roman" w:cs="Times New Roman"/>
        </w:rPr>
        <w:t>formalised</w:t>
      </w:r>
      <w:proofErr w:type="spellEnd"/>
      <w:r w:rsidRPr="000F5F0B">
        <w:rPr>
          <w:rFonts w:ascii="Times New Roman" w:hAnsi="Times New Roman" w:cs="Times New Roman"/>
        </w:rPr>
        <w:t xml:space="preserve"> as:</w:t>
      </w:r>
    </w:p>
    <w:p w14:paraId="0C01AF71"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78018413" w14:textId="68AF2776"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rPr>
        <w:tab/>
      </w:r>
      <w:r w:rsidRPr="000F5F0B">
        <w:rPr>
          <w:rFonts w:ascii="Times New Roman" w:hAnsi="Times New Roman" w:cs="Times New Roman"/>
          <w:i/>
          <w:iCs/>
          <w:lang w:val="pt-BR"/>
        </w:rPr>
        <w:t>Z</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perscript"/>
          <w:lang w:val="pt-BR"/>
        </w:rPr>
        <w:t>0</w:t>
      </w:r>
      <w:r w:rsidRPr="000F5F0B">
        <w:rPr>
          <w:rFonts w:ascii="Times New Roman" w:hAnsi="Times New Roman" w:cs="Times New Roman"/>
          <w:lang w:val="pt-BR"/>
        </w:rPr>
        <w:t xml:space="preserve">) = </w:t>
      </w:r>
      <w:r w:rsidRPr="000F5F0B">
        <w:rPr>
          <w:rFonts w:ascii="Times New Roman" w:hAnsi="Times New Roman" w:cs="Times New Roman"/>
          <w:i/>
          <w:iCs/>
        </w:rPr>
        <w:t>Σ</w:t>
      </w:r>
      <w:r w:rsidRPr="000F5F0B">
        <w:rPr>
          <w:rFonts w:ascii="Times New Roman" w:hAnsi="Times New Roman" w:cs="Times New Roman"/>
          <w:vertAlign w:val="subscript"/>
          <w:lang w:val="pt-BR"/>
        </w:rPr>
        <w:t>i=1</w:t>
      </w:r>
      <w:r w:rsidRPr="000F5F0B">
        <w:rPr>
          <w:rFonts w:ascii="Times New Roman" w:hAnsi="Times New Roman" w:cs="Times New Roman"/>
          <w:vertAlign w:val="superscript"/>
          <w:lang w:val="pt-BR"/>
        </w:rPr>
        <w:t>n</w:t>
      </w:r>
      <w:r w:rsidRPr="000F5F0B">
        <w:rPr>
          <w:rFonts w:ascii="Times New Roman" w:hAnsi="Times New Roman" w:cs="Times New Roman"/>
          <w:lang w:val="pt-BR"/>
        </w:rPr>
        <w:t xml:space="preserve"> [</w:t>
      </w:r>
      <w:r w:rsidRPr="000F5F0B">
        <w:rPr>
          <w:rFonts w:ascii="Times New Roman" w:hAnsi="Times New Roman" w:cs="Times New Roman"/>
          <w:i/>
          <w:iCs/>
          <w:lang w:val="pt-BR"/>
        </w:rPr>
        <w:t>w</w:t>
      </w:r>
      <w:r w:rsidRPr="000F5F0B">
        <w:rPr>
          <w:rFonts w:ascii="Times New Roman" w:hAnsi="Times New Roman" w:cs="Times New Roman"/>
          <w:vertAlign w:val="subscript"/>
          <w:lang w:val="pt-BR"/>
        </w:rPr>
        <w:t>i</w:t>
      </w:r>
      <w:r w:rsidRPr="000F5F0B">
        <w:rPr>
          <w:rFonts w:ascii="Times New Roman" w:hAnsi="Times New Roman" w:cs="Times New Roman"/>
          <w:i/>
          <w:iCs/>
          <w:lang w:val="pt-BR"/>
        </w:rPr>
        <w:t>Z</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rPr>
        <w:t>Σ</w:t>
      </w:r>
      <w:r w:rsidRPr="000F5F0B">
        <w:rPr>
          <w:rFonts w:ascii="Times New Roman" w:hAnsi="Times New Roman" w:cs="Times New Roman"/>
          <w:vertAlign w:val="subscript"/>
          <w:lang w:val="pt-BR"/>
        </w:rPr>
        <w:t>i=1</w:t>
      </w:r>
      <w:r w:rsidRPr="000F5F0B">
        <w:rPr>
          <w:rFonts w:ascii="Times New Roman" w:hAnsi="Times New Roman" w:cs="Times New Roman"/>
          <w:vertAlign w:val="superscript"/>
          <w:lang w:val="pt-BR"/>
        </w:rPr>
        <w:t>n</w:t>
      </w:r>
      <w:r w:rsidRPr="000F5F0B">
        <w:rPr>
          <w:rFonts w:ascii="Times New Roman" w:hAnsi="Times New Roman" w:cs="Times New Roman"/>
          <w:lang w:val="pt-BR"/>
        </w:rPr>
        <w:t xml:space="preserve"> </w:t>
      </w:r>
      <w:r w:rsidRPr="000F5F0B">
        <w:rPr>
          <w:rFonts w:ascii="Times New Roman" w:hAnsi="Times New Roman" w:cs="Times New Roman"/>
          <w:i/>
          <w:iCs/>
          <w:lang w:val="pt-BR"/>
        </w:rPr>
        <w:t>w</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000F5F0B">
        <w:rPr>
          <w:rFonts w:ascii="Times New Roman" w:hAnsi="Times New Roman" w:cs="Times New Roman"/>
          <w:lang w:val="pt-BR"/>
        </w:rPr>
        <w:t xml:space="preserve"> </w:t>
      </w:r>
      <w:r w:rsidRPr="000F5F0B">
        <w:rPr>
          <w:rFonts w:ascii="Times New Roman" w:hAnsi="Times New Roman" w:cs="Times New Roman"/>
          <w:i/>
          <w:iCs/>
          <w:lang w:val="pt-BR"/>
        </w:rPr>
        <w:t>w</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d</w:t>
      </w:r>
      <w:r w:rsidRPr="000F5F0B">
        <w:rPr>
          <w:rFonts w:ascii="Times New Roman" w:hAnsi="Times New Roman" w:cs="Times New Roman"/>
          <w:vertAlign w:val="subscript"/>
          <w:lang w:val="pt-BR"/>
        </w:rPr>
        <w:t>i</w:t>
      </w:r>
      <w:r w:rsidRPr="000F5F0B">
        <w:rPr>
          <w:rFonts w:ascii="Times New Roman" w:hAnsi="Times New Roman" w:cs="Times New Roman"/>
          <w:vertAlign w:val="superscript"/>
          <w:lang w:val="pt-BR"/>
        </w:rPr>
        <w:t>−p</w:t>
      </w:r>
      <w:r w:rsidRPr="000F5F0B">
        <w:rPr>
          <w:rFonts w:ascii="Times New Roman" w:hAnsi="Times New Roman" w:cs="Times New Roman"/>
          <w:lang w:val="pt-BR"/>
        </w:rPr>
        <w:tab/>
        <w:t>(1)</w:t>
      </w:r>
    </w:p>
    <w:p w14:paraId="37B43A2C" w14:textId="77777777" w:rsidR="00923BD4" w:rsidRDefault="00923BD4">
      <w:pPr>
        <w:spacing w:after="160"/>
        <w:jc w:val="both"/>
        <w:rPr>
          <w:rFonts w:ascii="Times New Roman" w:hAnsi="Times New Roman" w:cs="Times New Roman"/>
        </w:rPr>
        <w:sectPr w:rsidR="00923BD4" w:rsidSect="00923BD4">
          <w:type w:val="continuous"/>
          <w:pgSz w:w="12240" w:h="15840"/>
          <w:pgMar w:top="1440" w:right="1440" w:bottom="1440" w:left="1440" w:header="708" w:footer="708" w:gutter="0"/>
          <w:cols w:space="720"/>
          <w:docGrid w:linePitch="360"/>
        </w:sectPr>
      </w:pPr>
    </w:p>
    <w:p w14:paraId="6D34CE60"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r w:rsidRPr="000F5F0B">
        <w:rPr>
          <w:rFonts w:ascii="Times New Roman" w:hAnsi="Times New Roman" w:cs="Times New Roman"/>
          <w:i/>
          <w:iCs/>
        </w:rPr>
        <w:t>Z</w:t>
      </w:r>
      <w:r w:rsidRPr="000F5F0B">
        <w:rPr>
          <w:rFonts w:ascii="Times New Roman" w:hAnsi="Times New Roman" w:cs="Times New Roman"/>
        </w:rPr>
        <w:t>(</w:t>
      </w:r>
      <w:r w:rsidRPr="000F5F0B">
        <w:rPr>
          <w:rFonts w:ascii="Times New Roman" w:hAnsi="Times New Roman" w:cs="Times New Roman"/>
          <w:i/>
          <w:iCs/>
        </w:rPr>
        <w:t>s</w:t>
      </w:r>
      <w:r w:rsidRPr="000F5F0B">
        <w:rPr>
          <w:rFonts w:ascii="Times New Roman" w:hAnsi="Times New Roman" w:cs="Times New Roman"/>
          <w:vertAlign w:val="superscript"/>
        </w:rPr>
        <w:t>0</w:t>
      </w:r>
      <w:r w:rsidRPr="000F5F0B">
        <w:rPr>
          <w:rFonts w:ascii="Times New Roman" w:hAnsi="Times New Roman" w:cs="Times New Roman"/>
        </w:rPr>
        <w:t xml:space="preserve">) is the interpolated value at target location </w:t>
      </w:r>
      <w:r w:rsidRPr="000F5F0B">
        <w:rPr>
          <w:rFonts w:ascii="Times New Roman" w:hAnsi="Times New Roman" w:cs="Times New Roman"/>
          <w:i/>
          <w:iCs/>
        </w:rPr>
        <w:t>s</w:t>
      </w:r>
      <w:r w:rsidRPr="000F5F0B">
        <w:rPr>
          <w:rFonts w:ascii="Times New Roman" w:hAnsi="Times New Roman" w:cs="Times New Roman"/>
          <w:vertAlign w:val="superscript"/>
        </w:rPr>
        <w:t>0</w:t>
      </w:r>
      <w:r w:rsidRPr="000F5F0B">
        <w:rPr>
          <w:rFonts w:ascii="Times New Roman" w:hAnsi="Times New Roman" w:cs="Times New Roman"/>
        </w:rPr>
        <w:t xml:space="preserve">; </w:t>
      </w:r>
      <w:r w:rsidRPr="000F5F0B">
        <w:rPr>
          <w:rFonts w:ascii="Times New Roman" w:hAnsi="Times New Roman" w:cs="Times New Roman"/>
          <w:i/>
          <w:iCs/>
        </w:rPr>
        <w:t>Z</w:t>
      </w:r>
      <w:r w:rsidRPr="000F5F0B">
        <w:rPr>
          <w:rFonts w:ascii="Times New Roman" w:hAnsi="Times New Roman" w:cs="Times New Roman"/>
        </w:rPr>
        <w:t>(</w:t>
      </w:r>
      <w:proofErr w:type="spellStart"/>
      <w:r w:rsidRPr="000F5F0B">
        <w:rPr>
          <w:rFonts w:ascii="Times New Roman" w:hAnsi="Times New Roman" w:cs="Times New Roman"/>
          <w:i/>
          <w:iCs/>
        </w:rPr>
        <w:t>s</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is the observed value at sample location </w:t>
      </w:r>
      <w:proofErr w:type="spellStart"/>
      <w:r w:rsidRPr="000F5F0B">
        <w:rPr>
          <w:rFonts w:ascii="Times New Roman" w:hAnsi="Times New Roman" w:cs="Times New Roman"/>
          <w:i/>
          <w:iCs/>
        </w:rPr>
        <w:t>s</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w:t>
      </w:r>
      <w:r w:rsidRPr="000F5F0B">
        <w:rPr>
          <w:rFonts w:ascii="Times New Roman" w:hAnsi="Times New Roman" w:cs="Times New Roman"/>
          <w:i/>
          <w:iCs/>
        </w:rPr>
        <w:t>d</w:t>
      </w:r>
      <w:r w:rsidRPr="000F5F0B">
        <w:rPr>
          <w:rFonts w:ascii="Times New Roman" w:hAnsi="Times New Roman" w:cs="Times New Roman"/>
          <w:vertAlign w:val="subscript"/>
        </w:rPr>
        <w:t>i</w:t>
      </w:r>
      <w:r w:rsidRPr="000F5F0B">
        <w:rPr>
          <w:rFonts w:ascii="Times New Roman" w:hAnsi="Times New Roman" w:cs="Times New Roman"/>
        </w:rPr>
        <w:t xml:space="preserve"> is the Euclidean distance between </w:t>
      </w:r>
      <w:r w:rsidRPr="000F5F0B">
        <w:rPr>
          <w:rFonts w:ascii="Times New Roman" w:hAnsi="Times New Roman" w:cs="Times New Roman"/>
          <w:i/>
          <w:iCs/>
        </w:rPr>
        <w:t>s</w:t>
      </w:r>
      <w:r w:rsidRPr="000F5F0B">
        <w:rPr>
          <w:rFonts w:ascii="Times New Roman" w:hAnsi="Times New Roman" w:cs="Times New Roman"/>
          <w:vertAlign w:val="superscript"/>
        </w:rPr>
        <w:t>0</w:t>
      </w:r>
      <w:r w:rsidRPr="000F5F0B">
        <w:rPr>
          <w:rFonts w:ascii="Times New Roman" w:hAnsi="Times New Roman" w:cs="Times New Roman"/>
        </w:rPr>
        <w:t xml:space="preserve"> and </w:t>
      </w:r>
      <w:proofErr w:type="spellStart"/>
      <w:r w:rsidRPr="000F5F0B">
        <w:rPr>
          <w:rFonts w:ascii="Times New Roman" w:hAnsi="Times New Roman" w:cs="Times New Roman"/>
          <w:i/>
          <w:iCs/>
        </w:rPr>
        <w:t>s</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w:t>
      </w:r>
      <w:r w:rsidRPr="000F5F0B">
        <w:rPr>
          <w:rFonts w:ascii="Times New Roman" w:hAnsi="Times New Roman" w:cs="Times New Roman"/>
          <w:i/>
          <w:iCs/>
        </w:rPr>
        <w:t>p</w:t>
      </w:r>
      <w:r w:rsidRPr="000F5F0B">
        <w:rPr>
          <w:rFonts w:ascii="Times New Roman" w:hAnsi="Times New Roman" w:cs="Times New Roman"/>
        </w:rPr>
        <w:t xml:space="preserve"> is the distance-decay power (</w:t>
      </w:r>
      <w:r w:rsidRPr="000F5F0B">
        <w:rPr>
          <w:rFonts w:ascii="Times New Roman" w:hAnsi="Times New Roman" w:cs="Times New Roman"/>
          <w:i/>
          <w:iCs/>
        </w:rPr>
        <w:t>p</w:t>
      </w:r>
      <w:r w:rsidRPr="000F5F0B">
        <w:rPr>
          <w:rFonts w:ascii="Times New Roman" w:hAnsi="Times New Roman" w:cs="Times New Roman"/>
        </w:rPr>
        <w:t xml:space="preserve"> = 2 throughout this study, the conventional default); and </w:t>
      </w:r>
      <w:r w:rsidRPr="000F5F0B">
        <w:rPr>
          <w:rFonts w:ascii="Times New Roman" w:hAnsi="Times New Roman" w:cs="Times New Roman"/>
          <w:i/>
          <w:iCs/>
        </w:rPr>
        <w:t>n</w:t>
      </w:r>
      <w:r w:rsidRPr="000F5F0B">
        <w:rPr>
          <w:rFonts w:ascii="Times New Roman" w:hAnsi="Times New Roman" w:cs="Times New Roman"/>
        </w:rPr>
        <w:t xml:space="preserve"> is the number of sample points used in the </w:t>
      </w:r>
      <w:r w:rsidRPr="000F5F0B">
        <w:rPr>
          <w:rFonts w:ascii="Times New Roman" w:hAnsi="Times New Roman" w:cs="Times New Roman"/>
        </w:rPr>
        <w:t xml:space="preserve">local </w:t>
      </w:r>
      <w:proofErr w:type="spellStart"/>
      <w:r w:rsidRPr="000F5F0B">
        <w:rPr>
          <w:rFonts w:ascii="Times New Roman" w:hAnsi="Times New Roman" w:cs="Times New Roman"/>
        </w:rPr>
        <w:t>neighbourhood</w:t>
      </w:r>
      <w:proofErr w:type="spellEnd"/>
      <w:r w:rsidRPr="000F5F0B">
        <w:rPr>
          <w:rFonts w:ascii="Times New Roman" w:hAnsi="Times New Roman" w:cs="Times New Roman"/>
        </w:rPr>
        <w:t xml:space="preserve">. IDW was selected over geostatistical kriging because the sampling density available (Section 2.2.1) was below the density generally recommended for reliable </w:t>
      </w:r>
      <w:proofErr w:type="spellStart"/>
      <w:r w:rsidRPr="000F5F0B">
        <w:rPr>
          <w:rFonts w:ascii="Times New Roman" w:hAnsi="Times New Roman" w:cs="Times New Roman"/>
        </w:rPr>
        <w:t>semivariogram</w:t>
      </w:r>
      <w:proofErr w:type="spellEnd"/>
      <w:r w:rsidRPr="000F5F0B">
        <w:rPr>
          <w:rFonts w:ascii="Times New Roman" w:hAnsi="Times New Roman" w:cs="Times New Roman"/>
        </w:rPr>
        <w:t xml:space="preserve"> fitting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 xml:space="preserve">; </w:t>
      </w:r>
      <w:hyperlink w:anchor="shaddad2016" w:history="1">
        <w:r w:rsidRPr="000F5F0B">
          <w:rPr>
            <w:rStyle w:val="Hyperlink"/>
            <w:rFonts w:ascii="Times New Roman" w:hAnsi="Times New Roman" w:cs="Times New Roman"/>
          </w:rPr>
          <w:t>Shaddad et al., 2016</w:t>
        </w:r>
      </w:hyperlink>
      <w:r w:rsidRPr="000F5F0B">
        <w:rPr>
          <w:rFonts w:ascii="Times New Roman" w:hAnsi="Times New Roman" w:cs="Times New Roman"/>
        </w:rPr>
        <w:t xml:space="preserve">), consistent with common </w:t>
      </w:r>
      <w:r w:rsidRPr="000F5F0B">
        <w:rPr>
          <w:rFonts w:ascii="Times New Roman" w:hAnsi="Times New Roman" w:cs="Times New Roman"/>
        </w:rPr>
        <w:lastRenderedPageBreak/>
        <w:t>practice in single-season, farm-scale precision-agriculture mapping.</w:t>
      </w:r>
    </w:p>
    <w:p w14:paraId="4A32700E"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1DDE3449"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42152BA2" wp14:editId="6D6F50FC">
            <wp:extent cx="5495925" cy="3095625"/>
            <wp:effectExtent l="0" t="0" r="9525" b="9525"/>
            <wp:docPr id="1655601597" name="Picture 165560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95925" cy="3095625"/>
                    </a:xfrm>
                    <a:prstGeom prst="rect">
                      <a:avLst/>
                    </a:prstGeom>
                  </pic:spPr>
                </pic:pic>
              </a:graphicData>
            </a:graphic>
          </wp:inline>
        </w:drawing>
      </w:r>
    </w:p>
    <w:p w14:paraId="70888E49"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2. Inverse-distance-weighted interpolation surfaces for the Coimbra maize field: (A) general IDW interpolation framework; (B) soil organic matter; (C) potassium oxide (K₂O); (D) calcium oxide (CaO); (E) magnesium oxide (MgO); (F) soil pH (H₂O).</w:t>
      </w:r>
    </w:p>
    <w:p w14:paraId="182885B3"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41C78872"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2.2.3 Multispectral NDVI Monitoring</w:t>
      </w:r>
    </w:p>
    <w:p w14:paraId="1ECA560E"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NDVI surfaces were derived from Landsat-based multispectral reflectance for three dates </w:t>
      </w:r>
      <w:r w:rsidRPr="000F5F0B">
        <w:rPr>
          <w:rFonts w:ascii="Times New Roman" w:hAnsi="Times New Roman" w:cs="Times New Roman"/>
        </w:rPr>
        <w:t>(February, July, and October) spanning the growing season, following the standard band-ratio formulation (</w:t>
      </w:r>
      <w:hyperlink w:anchor="rouse1974" w:history="1">
        <w:r w:rsidRPr="000F5F0B">
          <w:rPr>
            <w:rStyle w:val="Hyperlink"/>
            <w:rFonts w:ascii="Times New Roman" w:hAnsi="Times New Roman" w:cs="Times New Roman"/>
          </w:rPr>
          <w:t>Rouse et al., 1974</w:t>
        </w:r>
      </w:hyperlink>
      <w:r w:rsidRPr="000F5F0B">
        <w:rPr>
          <w:rFonts w:ascii="Times New Roman" w:hAnsi="Times New Roman" w:cs="Times New Roman"/>
        </w:rPr>
        <w:t>):</w:t>
      </w:r>
    </w:p>
    <w:p w14:paraId="659DE417"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53542C5A"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NDVI</w:t>
      </w:r>
      <w:r w:rsidRPr="000F5F0B">
        <w:rPr>
          <w:rFonts w:ascii="Times New Roman" w:hAnsi="Times New Roman" w:cs="Times New Roman"/>
        </w:rPr>
        <w:t xml:space="preserve"> =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NIR</w:t>
      </w:r>
      <w:proofErr w:type="spellEnd"/>
      <w:r w:rsidRPr="000F5F0B">
        <w:rPr>
          <w:rFonts w:ascii="Times New Roman" w:hAnsi="Times New Roman" w:cs="Times New Roman"/>
        </w:rPr>
        <w:t xml:space="preserve"> −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RED</w:t>
      </w:r>
      <w:proofErr w:type="spellEnd"/>
      <w:r w:rsidRPr="000F5F0B">
        <w:rPr>
          <w:rFonts w:ascii="Times New Roman" w:hAnsi="Times New Roman" w:cs="Times New Roman"/>
        </w:rPr>
        <w:t>) /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NIR</w:t>
      </w:r>
      <w:proofErr w:type="spellEnd"/>
      <w:r w:rsidRPr="000F5F0B">
        <w:rPr>
          <w:rFonts w:ascii="Times New Roman" w:hAnsi="Times New Roman" w:cs="Times New Roman"/>
        </w:rPr>
        <w:t xml:space="preserve"> +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RED</w:t>
      </w:r>
      <w:proofErr w:type="spellEnd"/>
      <w:r w:rsidRPr="000F5F0B">
        <w:rPr>
          <w:rFonts w:ascii="Times New Roman" w:hAnsi="Times New Roman" w:cs="Times New Roman"/>
        </w:rPr>
        <w:t>)</w:t>
      </w:r>
      <w:r w:rsidRPr="000F5F0B">
        <w:rPr>
          <w:rFonts w:ascii="Times New Roman" w:hAnsi="Times New Roman" w:cs="Times New Roman"/>
        </w:rPr>
        <w:tab/>
        <w:t>(2)</w:t>
      </w:r>
    </w:p>
    <w:p w14:paraId="75442BCE"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5F366DA8"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NIR</w:t>
      </w:r>
      <w:proofErr w:type="spellEnd"/>
      <w:r w:rsidRPr="000F5F0B">
        <w:rPr>
          <w:rFonts w:ascii="Times New Roman" w:hAnsi="Times New Roman" w:cs="Times New Roman"/>
        </w:rPr>
        <w:t xml:space="preserve"> and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RED</w:t>
      </w:r>
      <w:proofErr w:type="spellEnd"/>
      <w:r w:rsidRPr="000F5F0B">
        <w:rPr>
          <w:rFonts w:ascii="Times New Roman" w:hAnsi="Times New Roman" w:cs="Times New Roman"/>
        </w:rPr>
        <w:t xml:space="preserve"> are the near-infrared and red-band surface </w:t>
      </w:r>
      <w:proofErr w:type="spellStart"/>
      <w:r w:rsidRPr="000F5F0B">
        <w:rPr>
          <w:rFonts w:ascii="Times New Roman" w:hAnsi="Times New Roman" w:cs="Times New Roman"/>
        </w:rPr>
        <w:t>reflectances</w:t>
      </w:r>
      <w:proofErr w:type="spellEnd"/>
      <w:r w:rsidRPr="000F5F0B">
        <w:rPr>
          <w:rFonts w:ascii="Times New Roman" w:hAnsi="Times New Roman" w:cs="Times New Roman"/>
        </w:rPr>
        <w:t xml:space="preserve">, respectively, bounded on [−1, 1], with higher values indicating denser, healthier green vegetation. Prior to NDVI </w:t>
      </w:r>
      <w:r w:rsidRPr="000F5F0B">
        <w:rPr>
          <w:rFonts w:ascii="Times New Roman" w:hAnsi="Times New Roman" w:cs="Times New Roman"/>
        </w:rPr>
        <w:t>computation, at-sensor radiance was corrected for atmospheric scattering using the dark-object subtraction (DOS) method (</w:t>
      </w:r>
      <w:hyperlink w:anchor="chavez1988" w:history="1">
        <w:r w:rsidRPr="000F5F0B">
          <w:rPr>
            <w:rStyle w:val="Hyperlink"/>
            <w:rFonts w:ascii="Times New Roman" w:hAnsi="Times New Roman" w:cs="Times New Roman"/>
          </w:rPr>
          <w:t>Chavez, 1988</w:t>
        </w:r>
      </w:hyperlink>
      <w:r w:rsidRPr="000F5F0B">
        <w:rPr>
          <w:rFonts w:ascii="Times New Roman" w:hAnsi="Times New Roman" w:cs="Times New Roman"/>
        </w:rPr>
        <w:t xml:space="preserve">; </w:t>
      </w:r>
      <w:hyperlink w:anchor="chavez1996" w:history="1">
        <w:r w:rsidRPr="000F5F0B">
          <w:rPr>
            <w:rStyle w:val="Hyperlink"/>
            <w:rFonts w:ascii="Times New Roman" w:hAnsi="Times New Roman" w:cs="Times New Roman"/>
          </w:rPr>
          <w:t>Chavez, 1996</w:t>
        </w:r>
      </w:hyperlink>
      <w:r w:rsidRPr="000F5F0B">
        <w:rPr>
          <w:rFonts w:ascii="Times New Roman" w:hAnsi="Times New Roman" w:cs="Times New Roman"/>
        </w:rPr>
        <w:t>):</w:t>
      </w:r>
    </w:p>
    <w:p w14:paraId="53517BCA"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4619B4A0"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proofErr w:type="spellStart"/>
      <w:r w:rsidRPr="000F5F0B">
        <w:rPr>
          <w:rFonts w:ascii="Times New Roman" w:hAnsi="Times New Roman" w:cs="Times New Roman"/>
          <w:i/>
          <w:iCs/>
        </w:rPr>
        <w:t>ρ</w:t>
      </w:r>
      <w:r w:rsidRPr="000F5F0B">
        <w:rPr>
          <w:rFonts w:ascii="Times New Roman" w:hAnsi="Times New Roman" w:cs="Times New Roman"/>
          <w:vertAlign w:val="subscript"/>
        </w:rPr>
        <w:t>corrected</w:t>
      </w:r>
      <w:proofErr w:type="spellEnd"/>
      <w:r w:rsidRPr="000F5F0B">
        <w:rPr>
          <w:rFonts w:ascii="Times New Roman" w:hAnsi="Times New Roman" w:cs="Times New Roman"/>
        </w:rPr>
        <w:t xml:space="preserve"> =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raw</w:t>
      </w:r>
      <w:proofErr w:type="spellEnd"/>
      <w:r w:rsidRPr="000F5F0B">
        <w:rPr>
          <w:rFonts w:ascii="Times New Roman" w:hAnsi="Times New Roman" w:cs="Times New Roman"/>
        </w:rPr>
        <w:t xml:space="preserve"> −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haze</w:t>
      </w:r>
      <w:proofErr w:type="spellEnd"/>
      <w:r w:rsidRPr="000F5F0B">
        <w:rPr>
          <w:rFonts w:ascii="Times New Roman" w:hAnsi="Times New Roman" w:cs="Times New Roman"/>
        </w:rPr>
        <w:tab/>
        <w:t>(3)</w:t>
      </w:r>
    </w:p>
    <w:p w14:paraId="7806DB42"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3333BDC"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proofErr w:type="spellStart"/>
      <w:r w:rsidRPr="000F5F0B">
        <w:rPr>
          <w:rFonts w:ascii="Times New Roman" w:hAnsi="Times New Roman" w:cs="Times New Roman"/>
          <w:i/>
          <w:iCs/>
        </w:rPr>
        <w:t>ρ</w:t>
      </w:r>
      <w:r w:rsidRPr="000F5F0B">
        <w:rPr>
          <w:rFonts w:ascii="Times New Roman" w:hAnsi="Times New Roman" w:cs="Times New Roman"/>
          <w:vertAlign w:val="subscript"/>
        </w:rPr>
        <w:t>haze</w:t>
      </w:r>
      <w:proofErr w:type="spellEnd"/>
      <w:r w:rsidRPr="000F5F0B">
        <w:rPr>
          <w:rFonts w:ascii="Times New Roman" w:hAnsi="Times New Roman" w:cs="Times New Roman"/>
        </w:rPr>
        <w:t xml:space="preserve"> is the minimum (dark-object) reflectance identified within each band, assumed to represent residual atmospheric path radiance over nominally zero-reflectance targets (e.g., deep water, dense shadow), following radiometric processing conventions for the </w:t>
      </w:r>
      <w:r w:rsidRPr="000F5F0B">
        <w:rPr>
          <w:rFonts w:ascii="Times New Roman" w:hAnsi="Times New Roman" w:cs="Times New Roman"/>
        </w:rPr>
        <w:t>Landsat archive (</w:t>
      </w:r>
      <w:hyperlink w:anchor="usgs2023" w:history="1">
        <w:r w:rsidRPr="000F5F0B">
          <w:rPr>
            <w:rStyle w:val="Hyperlink"/>
            <w:rFonts w:ascii="Times New Roman" w:hAnsi="Times New Roman" w:cs="Times New Roman"/>
          </w:rPr>
          <w:t>USGS, 2023</w:t>
        </w:r>
      </w:hyperlink>
      <w:r w:rsidRPr="000F5F0B">
        <w:rPr>
          <w:rFonts w:ascii="Times New Roman" w:hAnsi="Times New Roman" w:cs="Times New Roman"/>
        </w:rPr>
        <w:t xml:space="preserve">; </w:t>
      </w:r>
      <w:hyperlink w:anchor="roy2014" w:history="1">
        <w:r w:rsidRPr="000F5F0B">
          <w:rPr>
            <w:rStyle w:val="Hyperlink"/>
            <w:rFonts w:ascii="Times New Roman" w:hAnsi="Times New Roman" w:cs="Times New Roman"/>
          </w:rPr>
          <w:t>Roy et al., 2014</w:t>
        </w:r>
      </w:hyperlink>
      <w:r w:rsidRPr="000F5F0B">
        <w:rPr>
          <w:rFonts w:ascii="Times New Roman" w:hAnsi="Times New Roman" w:cs="Times New Roman"/>
        </w:rPr>
        <w:t xml:space="preserve">). Spectral signatures were extracted per land-cover class at each date to </w:t>
      </w:r>
      <w:proofErr w:type="spellStart"/>
      <w:r w:rsidRPr="000F5F0B">
        <w:rPr>
          <w:rFonts w:ascii="Times New Roman" w:hAnsi="Times New Roman" w:cs="Times New Roman"/>
        </w:rPr>
        <w:t>characterise</w:t>
      </w:r>
      <w:proofErr w:type="spellEnd"/>
      <w:r w:rsidRPr="000F5F0B">
        <w:rPr>
          <w:rFonts w:ascii="Times New Roman" w:hAnsi="Times New Roman" w:cs="Times New Roman"/>
        </w:rPr>
        <w:t xml:space="preserve"> the phenological trajectory of the cropped area relative to built-up, bare-soil, and water-body classes.</w:t>
      </w:r>
    </w:p>
    <w:p w14:paraId="3A165BE0"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3F8C49AD"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lastRenderedPageBreak/>
        <w:drawing>
          <wp:inline distT="0" distB="0" distL="0" distR="0" wp14:anchorId="145CC87B" wp14:editId="42DDE5F6">
            <wp:extent cx="5762625" cy="4562475"/>
            <wp:effectExtent l="0" t="0" r="9525" b="9525"/>
            <wp:docPr id="832040484" name="Picture 83204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562475"/>
                    </a:xfrm>
                    <a:prstGeom prst="rect">
                      <a:avLst/>
                    </a:prstGeom>
                  </pic:spPr>
                </pic:pic>
              </a:graphicData>
            </a:graphic>
          </wp:inline>
        </w:drawing>
      </w:r>
    </w:p>
    <w:p w14:paraId="03F35B20"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 xml:space="preserve">Figure 3. Temporal NDVI dynamics for the Coimbra maize field: (A) February; (B) July (peak vegetative </w:t>
      </w:r>
      <w:proofErr w:type="spellStart"/>
      <w:r w:rsidRPr="000F5F0B">
        <w:rPr>
          <w:rFonts w:ascii="Times New Roman" w:hAnsi="Times New Roman" w:cs="Times New Roman"/>
          <w:b/>
          <w:bCs/>
          <w:sz w:val="20"/>
          <w:szCs w:val="20"/>
        </w:rPr>
        <w:t>vigour</w:t>
      </w:r>
      <w:proofErr w:type="spellEnd"/>
      <w:r w:rsidRPr="000F5F0B">
        <w:rPr>
          <w:rFonts w:ascii="Times New Roman" w:hAnsi="Times New Roman" w:cs="Times New Roman"/>
          <w:b/>
          <w:bCs/>
          <w:sz w:val="20"/>
          <w:szCs w:val="20"/>
        </w:rPr>
        <w:t>); (C) October (post-harvest/senescence); (D) corrected versus uncorrected NDVI surfaces after dark-object atmospheric correction.</w:t>
      </w:r>
    </w:p>
    <w:p w14:paraId="40E65933"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29FB95F8"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2.2.4 Water Quality Sampling and Interpolation</w:t>
      </w:r>
    </w:p>
    <w:p w14:paraId="33B51F8A"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Surface (“top”) and deep water samples were collected at fixed points across the field and </w:t>
      </w:r>
      <w:r w:rsidRPr="000F5F0B">
        <w:rPr>
          <w:rFonts w:ascii="Times New Roman" w:hAnsi="Times New Roman" w:cs="Times New Roman"/>
        </w:rPr>
        <w:t>interpolated using the same IDW procedure described in Section 2.2.2, producing continuous surfaces of near-surface and subsurface moisture/water-quality condition for comparison against the soil fertility and yield surfaces.</w:t>
      </w:r>
    </w:p>
    <w:p w14:paraId="5FF8D46A"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4687BFCF"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lastRenderedPageBreak/>
        <w:drawing>
          <wp:inline distT="0" distB="0" distL="0" distR="0" wp14:anchorId="4C8A0F0D" wp14:editId="07AC619B">
            <wp:extent cx="5543550" cy="2914650"/>
            <wp:effectExtent l="0" t="0" r="0" b="0"/>
            <wp:docPr id="1664987545" name="Picture 166498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43550" cy="2914650"/>
                    </a:xfrm>
                    <a:prstGeom prst="rect">
                      <a:avLst/>
                    </a:prstGeom>
                  </pic:spPr>
                </pic:pic>
              </a:graphicData>
            </a:graphic>
          </wp:inline>
        </w:drawing>
      </w:r>
    </w:p>
    <w:p w14:paraId="60D63766"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4. Water sampling design and interpolated surfaces: (A) water sampling point locations; (B) surface (top) water content; (C) deep water content; (D) IDW-interpolated surface water surface; (E) IDW-interpolated deep water surface.</w:t>
      </w:r>
    </w:p>
    <w:p w14:paraId="67F9CD02"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15181DAC"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2.2.5 Statistical Analysis and Variable-Rate Prescription</w:t>
      </w:r>
    </w:p>
    <w:p w14:paraId="59370C40"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Descriptive statistics (mean, standard deviation, minimum, maximum) were computed for all soil, </w:t>
      </w:r>
      <w:r w:rsidRPr="000F5F0B">
        <w:rPr>
          <w:rFonts w:ascii="Times New Roman" w:hAnsi="Times New Roman" w:cs="Times New Roman"/>
        </w:rPr>
        <w:t>water, and yield variables. Pearson correlation coefficients were computed pairwise among corn yield (kg m⁻²) and the six soil/water covariates to identify the strongest environment–yield relationships:</w:t>
      </w:r>
    </w:p>
    <w:p w14:paraId="753AB225"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2FDDD901"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r</w:t>
      </w:r>
      <w:r w:rsidRPr="000F5F0B">
        <w:rPr>
          <w:rFonts w:ascii="Times New Roman" w:hAnsi="Times New Roman" w:cs="Times New Roman"/>
        </w:rPr>
        <w:t xml:space="preserve"> = </w:t>
      </w:r>
      <w:r w:rsidRPr="000F5F0B">
        <w:rPr>
          <w:rFonts w:ascii="Times New Roman" w:hAnsi="Times New Roman" w:cs="Times New Roman"/>
          <w:i/>
          <w:iCs/>
        </w:rPr>
        <w:t>Σ</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vertAlign w:val="subscript"/>
        </w:rPr>
        <w:t>i</w:t>
      </w:r>
      <w:r w:rsidRPr="000F5F0B">
        <w:rPr>
          <w:rFonts w:ascii="Times New Roman" w:hAnsi="Times New Roman" w:cs="Times New Roman"/>
        </w:rPr>
        <w:t xml:space="preserve"> − </w:t>
      </w:r>
      <w:r w:rsidRPr="000F5F0B">
        <w:rPr>
          <w:rFonts w:ascii="Times New Roman" w:hAnsi="Times New Roman" w:cs="Times New Roman"/>
          <w:i/>
          <w:iCs/>
        </w:rPr>
        <w:t>x̄</w:t>
      </w:r>
      <w:r w:rsidRPr="000F5F0B">
        <w:rPr>
          <w:rFonts w:ascii="Times New Roman" w:hAnsi="Times New Roman" w:cs="Times New Roman"/>
        </w:rPr>
        <w:t>)(</w:t>
      </w:r>
      <w:proofErr w:type="spellStart"/>
      <w:r w:rsidRPr="000F5F0B">
        <w:rPr>
          <w:rFonts w:ascii="Times New Roman" w:hAnsi="Times New Roman" w:cs="Times New Roman"/>
          <w:i/>
          <w:iCs/>
        </w:rPr>
        <w:t>y</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 </w:t>
      </w:r>
      <w:r w:rsidRPr="000F5F0B">
        <w:rPr>
          <w:rFonts w:ascii="Times New Roman" w:hAnsi="Times New Roman" w:cs="Times New Roman"/>
          <w:i/>
          <w:iCs/>
        </w:rPr>
        <w:t>ȳ</w:t>
      </w:r>
      <w:r w:rsidRPr="000F5F0B">
        <w:rPr>
          <w:rFonts w:ascii="Times New Roman" w:hAnsi="Times New Roman" w:cs="Times New Roman"/>
        </w:rPr>
        <w:t>) / √[</w:t>
      </w:r>
      <w:r w:rsidRPr="000F5F0B">
        <w:rPr>
          <w:rFonts w:ascii="Times New Roman" w:hAnsi="Times New Roman" w:cs="Times New Roman"/>
          <w:i/>
          <w:iCs/>
        </w:rPr>
        <w:t>Σ</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vertAlign w:val="subscript"/>
        </w:rPr>
        <w:t>i</w:t>
      </w:r>
      <w:r w:rsidRPr="000F5F0B">
        <w:rPr>
          <w:rFonts w:ascii="Times New Roman" w:hAnsi="Times New Roman" w:cs="Times New Roman"/>
        </w:rPr>
        <w:t xml:space="preserve"> − </w:t>
      </w:r>
      <w:r w:rsidRPr="000F5F0B">
        <w:rPr>
          <w:rFonts w:ascii="Times New Roman" w:hAnsi="Times New Roman" w:cs="Times New Roman"/>
          <w:i/>
          <w:iCs/>
        </w:rPr>
        <w:t>x̄</w:t>
      </w:r>
      <w:r w:rsidRPr="000F5F0B">
        <w:rPr>
          <w:rFonts w:ascii="Times New Roman" w:hAnsi="Times New Roman" w:cs="Times New Roman"/>
        </w:rPr>
        <w:t>)</w:t>
      </w:r>
      <w:r w:rsidRPr="000F5F0B">
        <w:rPr>
          <w:rFonts w:ascii="Times New Roman" w:hAnsi="Times New Roman" w:cs="Times New Roman"/>
          <w:vertAlign w:val="superscript"/>
        </w:rPr>
        <w:t>2</w:t>
      </w:r>
      <w:r w:rsidRPr="000F5F0B">
        <w:rPr>
          <w:rFonts w:ascii="Times New Roman" w:hAnsi="Times New Roman" w:cs="Times New Roman"/>
          <w:i/>
          <w:iCs/>
        </w:rPr>
        <w:t>Σ</w:t>
      </w:r>
      <w:r w:rsidRPr="000F5F0B">
        <w:rPr>
          <w:rFonts w:ascii="Times New Roman" w:hAnsi="Times New Roman" w:cs="Times New Roman"/>
        </w:rPr>
        <w:t>(</w:t>
      </w:r>
      <w:proofErr w:type="spellStart"/>
      <w:r w:rsidRPr="000F5F0B">
        <w:rPr>
          <w:rFonts w:ascii="Times New Roman" w:hAnsi="Times New Roman" w:cs="Times New Roman"/>
          <w:i/>
          <w:iCs/>
        </w:rPr>
        <w:t>y</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 </w:t>
      </w:r>
      <w:r w:rsidRPr="000F5F0B">
        <w:rPr>
          <w:rFonts w:ascii="Times New Roman" w:hAnsi="Times New Roman" w:cs="Times New Roman"/>
          <w:i/>
          <w:iCs/>
        </w:rPr>
        <w:t>ȳ</w:t>
      </w:r>
      <w:r w:rsidRPr="000F5F0B">
        <w:rPr>
          <w:rFonts w:ascii="Times New Roman" w:hAnsi="Times New Roman" w:cs="Times New Roman"/>
        </w:rPr>
        <w:t>)</w:t>
      </w:r>
      <w:r w:rsidRPr="000F5F0B">
        <w:rPr>
          <w:rFonts w:ascii="Times New Roman" w:hAnsi="Times New Roman" w:cs="Times New Roman"/>
          <w:vertAlign w:val="superscript"/>
        </w:rPr>
        <w:t>2</w:t>
      </w:r>
      <w:r w:rsidRPr="000F5F0B">
        <w:rPr>
          <w:rFonts w:ascii="Times New Roman" w:hAnsi="Times New Roman" w:cs="Times New Roman"/>
        </w:rPr>
        <w:t>]</w:t>
      </w:r>
      <w:r w:rsidRPr="000F5F0B">
        <w:rPr>
          <w:rFonts w:ascii="Times New Roman" w:hAnsi="Times New Roman" w:cs="Times New Roman"/>
        </w:rPr>
        <w:tab/>
        <w:t>(4)</w:t>
      </w:r>
    </w:p>
    <w:p w14:paraId="67D12F46"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CDAC876"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PivotTable </w:t>
      </w:r>
      <w:proofErr w:type="spellStart"/>
      <w:r w:rsidRPr="000F5F0B">
        <w:rPr>
          <w:rFonts w:ascii="Times New Roman" w:hAnsi="Times New Roman" w:cs="Times New Roman"/>
        </w:rPr>
        <w:t>summarisation</w:t>
      </w:r>
      <w:proofErr w:type="spellEnd"/>
      <w:r w:rsidRPr="000F5F0B">
        <w:rPr>
          <w:rFonts w:ascii="Times New Roman" w:hAnsi="Times New Roman" w:cs="Times New Roman"/>
        </w:rPr>
        <w:t xml:space="preserve"> was used to compare mean yield across the sixteen Thiessen-defined soil-influence zones. Two second-order polynomial regression models were then fitted for </w:t>
      </w:r>
      <w:r w:rsidRPr="000F5F0B">
        <w:rPr>
          <w:rFonts w:ascii="Times New Roman" w:hAnsi="Times New Roman" w:cs="Times New Roman"/>
        </w:rPr>
        <w:t xml:space="preserve">variable-rate (VRA) prescription mapping. The lime-requirement model related soil pH to </w:t>
      </w:r>
      <w:proofErr w:type="spellStart"/>
      <w:r w:rsidRPr="000F5F0B">
        <w:rPr>
          <w:rFonts w:ascii="Times New Roman" w:hAnsi="Times New Roman" w:cs="Times New Roman"/>
        </w:rPr>
        <w:t>CaCO</w:t>
      </w:r>
      <w:proofErr w:type="spellEnd"/>
      <w:r w:rsidRPr="000F5F0B">
        <w:rPr>
          <w:rFonts w:ascii="Times New Roman" w:hAnsi="Times New Roman" w:cs="Times New Roman"/>
        </w:rPr>
        <w:t>₃ dose (kg ha⁻¹):</w:t>
      </w:r>
    </w:p>
    <w:p w14:paraId="5F0F77C1"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2049538D"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CaCO</w:t>
      </w:r>
      <w:r w:rsidRPr="000F5F0B">
        <w:rPr>
          <w:rFonts w:ascii="Times New Roman" w:hAnsi="Times New Roman" w:cs="Times New Roman"/>
          <w:vertAlign w:val="subscript"/>
        </w:rPr>
        <w:t>3</w:t>
      </w:r>
      <w:r w:rsidRPr="000F5F0B">
        <w:rPr>
          <w:rFonts w:ascii="Times New Roman" w:hAnsi="Times New Roman" w:cs="Times New Roman"/>
        </w:rPr>
        <w:t xml:space="preserve"> = </w:t>
      </w:r>
      <w:r w:rsidRPr="000F5F0B">
        <w:rPr>
          <w:rFonts w:ascii="Times New Roman" w:hAnsi="Times New Roman" w:cs="Times New Roman"/>
          <w:i/>
          <w:iCs/>
        </w:rPr>
        <w:t>β</w:t>
      </w:r>
      <w:r w:rsidRPr="000F5F0B">
        <w:rPr>
          <w:rFonts w:ascii="Times New Roman" w:hAnsi="Times New Roman" w:cs="Times New Roman"/>
          <w:vertAlign w:val="subscript"/>
        </w:rPr>
        <w:t>0</w:t>
      </w:r>
      <w:r w:rsidRPr="000F5F0B">
        <w:rPr>
          <w:rFonts w:ascii="Times New Roman" w:hAnsi="Times New Roman" w:cs="Times New Roman"/>
        </w:rPr>
        <w:t>(pH)</w:t>
      </w:r>
      <w:r w:rsidRPr="000F5F0B">
        <w:rPr>
          <w:rFonts w:ascii="Times New Roman" w:hAnsi="Times New Roman" w:cs="Times New Roman"/>
          <w:vertAlign w:val="superscript"/>
        </w:rPr>
        <w:t>2</w:t>
      </w:r>
      <w:r w:rsidRPr="000F5F0B">
        <w:rPr>
          <w:rFonts w:ascii="Times New Roman" w:hAnsi="Times New Roman" w:cs="Times New Roman"/>
        </w:rPr>
        <w:t xml:space="preserve"> + </w:t>
      </w:r>
      <w:r w:rsidRPr="000F5F0B">
        <w:rPr>
          <w:rFonts w:ascii="Times New Roman" w:hAnsi="Times New Roman" w:cs="Times New Roman"/>
          <w:i/>
          <w:iCs/>
        </w:rPr>
        <w:t>β</w:t>
      </w:r>
      <w:r w:rsidRPr="000F5F0B">
        <w:rPr>
          <w:rFonts w:ascii="Times New Roman" w:hAnsi="Times New Roman" w:cs="Times New Roman"/>
          <w:vertAlign w:val="subscript"/>
        </w:rPr>
        <w:t>1</w:t>
      </w:r>
      <w:r w:rsidRPr="000F5F0B">
        <w:rPr>
          <w:rFonts w:ascii="Times New Roman" w:hAnsi="Times New Roman" w:cs="Times New Roman"/>
        </w:rPr>
        <w:t xml:space="preserve">(pH) + </w:t>
      </w:r>
      <w:r w:rsidRPr="000F5F0B">
        <w:rPr>
          <w:rFonts w:ascii="Times New Roman" w:hAnsi="Times New Roman" w:cs="Times New Roman"/>
          <w:i/>
          <w:iCs/>
        </w:rPr>
        <w:t>β</w:t>
      </w:r>
      <w:r w:rsidRPr="000F5F0B">
        <w:rPr>
          <w:rFonts w:ascii="Times New Roman" w:hAnsi="Times New Roman" w:cs="Times New Roman"/>
          <w:vertAlign w:val="subscript"/>
        </w:rPr>
        <w:t>2</w:t>
      </w:r>
      <w:r w:rsidRPr="000F5F0B">
        <w:rPr>
          <w:rFonts w:ascii="Times New Roman" w:hAnsi="Times New Roman" w:cs="Times New Roman"/>
        </w:rPr>
        <w:tab/>
        <w:t>(5)</w:t>
      </w:r>
    </w:p>
    <w:p w14:paraId="6F721375"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3817054A"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and the NPK </w:t>
      </w:r>
      <w:proofErr w:type="spellStart"/>
      <w:r w:rsidRPr="000F5F0B">
        <w:rPr>
          <w:rFonts w:ascii="Times New Roman" w:hAnsi="Times New Roman" w:cs="Times New Roman"/>
        </w:rPr>
        <w:t>fertiliser</w:t>
      </w:r>
      <w:proofErr w:type="spellEnd"/>
      <w:r w:rsidRPr="000F5F0B">
        <w:rPr>
          <w:rFonts w:ascii="Times New Roman" w:hAnsi="Times New Roman" w:cs="Times New Roman"/>
        </w:rPr>
        <w:t>-requirement model related corn yield (</w:t>
      </w:r>
      <w:r w:rsidRPr="000F5F0B">
        <w:rPr>
          <w:rFonts w:ascii="Times New Roman" w:hAnsi="Times New Roman" w:cs="Times New Roman"/>
          <w:i/>
          <w:iCs/>
        </w:rPr>
        <w:t>Y</w:t>
      </w:r>
      <w:r w:rsidRPr="000F5F0B">
        <w:rPr>
          <w:rFonts w:ascii="Times New Roman" w:hAnsi="Times New Roman" w:cs="Times New Roman"/>
        </w:rPr>
        <w:t xml:space="preserve">, kg m⁻²) to </w:t>
      </w:r>
      <w:proofErr w:type="spellStart"/>
      <w:r w:rsidRPr="000F5F0B">
        <w:rPr>
          <w:rFonts w:ascii="Times New Roman" w:hAnsi="Times New Roman" w:cs="Times New Roman"/>
        </w:rPr>
        <w:t>fertiliser</w:t>
      </w:r>
      <w:proofErr w:type="spellEnd"/>
      <w:r w:rsidRPr="000F5F0B">
        <w:rPr>
          <w:rFonts w:ascii="Times New Roman" w:hAnsi="Times New Roman" w:cs="Times New Roman"/>
        </w:rPr>
        <w:t xml:space="preserve"> dose (kg ha⁻¹):</w:t>
      </w:r>
    </w:p>
    <w:p w14:paraId="0661625F"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6632C325"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NPK</w:t>
      </w:r>
      <w:r w:rsidRPr="000F5F0B">
        <w:rPr>
          <w:rFonts w:ascii="Times New Roman" w:hAnsi="Times New Roman" w:cs="Times New Roman"/>
        </w:rPr>
        <w:t xml:space="preserve"> = </w:t>
      </w:r>
      <w:r w:rsidRPr="000F5F0B">
        <w:rPr>
          <w:rFonts w:ascii="Times New Roman" w:hAnsi="Times New Roman" w:cs="Times New Roman"/>
          <w:i/>
          <w:iCs/>
        </w:rPr>
        <w:t>γ</w:t>
      </w:r>
      <w:r w:rsidRPr="000F5F0B">
        <w:rPr>
          <w:rFonts w:ascii="Times New Roman" w:hAnsi="Times New Roman" w:cs="Times New Roman"/>
          <w:vertAlign w:val="subscript"/>
        </w:rPr>
        <w:t>0</w:t>
      </w:r>
      <w:r w:rsidRPr="000F5F0B">
        <w:rPr>
          <w:rFonts w:ascii="Times New Roman" w:hAnsi="Times New Roman" w:cs="Times New Roman"/>
        </w:rPr>
        <w:t>(</w:t>
      </w:r>
      <w:r w:rsidRPr="000F5F0B">
        <w:rPr>
          <w:rFonts w:ascii="Times New Roman" w:hAnsi="Times New Roman" w:cs="Times New Roman"/>
          <w:i/>
          <w:iCs/>
        </w:rPr>
        <w:t>Y</w:t>
      </w:r>
      <w:r w:rsidRPr="000F5F0B">
        <w:rPr>
          <w:rFonts w:ascii="Times New Roman" w:hAnsi="Times New Roman" w:cs="Times New Roman"/>
        </w:rPr>
        <w:t>)</w:t>
      </w:r>
      <w:r w:rsidRPr="000F5F0B">
        <w:rPr>
          <w:rFonts w:ascii="Times New Roman" w:hAnsi="Times New Roman" w:cs="Times New Roman"/>
          <w:vertAlign w:val="superscript"/>
        </w:rPr>
        <w:t>2</w:t>
      </w:r>
      <w:r w:rsidRPr="000F5F0B">
        <w:rPr>
          <w:rFonts w:ascii="Times New Roman" w:hAnsi="Times New Roman" w:cs="Times New Roman"/>
        </w:rPr>
        <w:t xml:space="preserve"> + </w:t>
      </w:r>
      <w:r w:rsidRPr="000F5F0B">
        <w:rPr>
          <w:rFonts w:ascii="Times New Roman" w:hAnsi="Times New Roman" w:cs="Times New Roman"/>
          <w:i/>
          <w:iCs/>
        </w:rPr>
        <w:t>γ</w:t>
      </w:r>
      <w:r w:rsidRPr="000F5F0B">
        <w:rPr>
          <w:rFonts w:ascii="Times New Roman" w:hAnsi="Times New Roman" w:cs="Times New Roman"/>
          <w:vertAlign w:val="subscript"/>
        </w:rPr>
        <w:t>1</w:t>
      </w:r>
      <w:r w:rsidRPr="000F5F0B">
        <w:rPr>
          <w:rFonts w:ascii="Times New Roman" w:hAnsi="Times New Roman" w:cs="Times New Roman"/>
        </w:rPr>
        <w:t>(</w:t>
      </w:r>
      <w:r w:rsidRPr="000F5F0B">
        <w:rPr>
          <w:rFonts w:ascii="Times New Roman" w:hAnsi="Times New Roman" w:cs="Times New Roman"/>
          <w:i/>
          <w:iCs/>
        </w:rPr>
        <w:t>Y</w:t>
      </w:r>
      <w:r w:rsidRPr="000F5F0B">
        <w:rPr>
          <w:rFonts w:ascii="Times New Roman" w:hAnsi="Times New Roman" w:cs="Times New Roman"/>
        </w:rPr>
        <w:t xml:space="preserve">) + </w:t>
      </w:r>
      <w:r w:rsidRPr="000F5F0B">
        <w:rPr>
          <w:rFonts w:ascii="Times New Roman" w:hAnsi="Times New Roman" w:cs="Times New Roman"/>
          <w:i/>
          <w:iCs/>
        </w:rPr>
        <w:t>γ</w:t>
      </w:r>
      <w:r w:rsidRPr="000F5F0B">
        <w:rPr>
          <w:rFonts w:ascii="Times New Roman" w:hAnsi="Times New Roman" w:cs="Times New Roman"/>
          <w:vertAlign w:val="subscript"/>
        </w:rPr>
        <w:t>2</w:t>
      </w:r>
      <w:r w:rsidRPr="000F5F0B">
        <w:rPr>
          <w:rFonts w:ascii="Times New Roman" w:hAnsi="Times New Roman" w:cs="Times New Roman"/>
        </w:rPr>
        <w:tab/>
        <w:t>(6)</w:t>
      </w:r>
    </w:p>
    <w:p w14:paraId="61079B85"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7BE62251" w14:textId="77777777" w:rsidR="00923BD4" w:rsidRDefault="00000000">
      <w:pPr>
        <w:spacing w:after="160"/>
        <w:jc w:val="both"/>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r w:rsidRPr="000F5F0B">
        <w:rPr>
          <w:rFonts w:ascii="Times New Roman" w:hAnsi="Times New Roman" w:cs="Times New Roman"/>
        </w:rPr>
        <w:t xml:space="preserve">Both quadratic models were fitted by ordinary least squares on the field's yield/soil dataset (coefficient values reported in Section 3.1), and </w:t>
      </w:r>
      <w:r w:rsidRPr="000F5F0B">
        <w:rPr>
          <w:rFonts w:ascii="Times New Roman" w:hAnsi="Times New Roman" w:cs="Times New Roman"/>
        </w:rPr>
        <w:t>both prescription surfaces were compared against a uniform-rate baseline to quantify potential input savings</w:t>
      </w:r>
    </w:p>
    <w:p w14:paraId="4475456C"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w:t>
      </w:r>
    </w:p>
    <w:p w14:paraId="46BF77EF" w14:textId="77777777" w:rsidR="00923BD4" w:rsidRDefault="00923BD4">
      <w:pPr>
        <w:pStyle w:val="Heading2"/>
        <w:spacing w:before="260" w:after="14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1F5180C" w14:textId="1A71D964"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2.3 Case Study II</w:t>
      </w:r>
      <w:r w:rsidR="000F5F0B" w:rsidRPr="0079167A">
        <w:rPr>
          <w:rFonts w:ascii="Times New Roman" w:hAnsi="Times New Roman" w:cs="Times New Roman"/>
          <w:color w:val="auto"/>
        </w:rPr>
        <w:t xml:space="preserve"> </w:t>
      </w:r>
      <w:r w:rsidRPr="0079167A">
        <w:rPr>
          <w:rFonts w:ascii="Times New Roman" w:hAnsi="Times New Roman" w:cs="Times New Roman"/>
          <w:color w:val="auto"/>
        </w:rPr>
        <w:t>GIS-Based Grapevine Moth Monitoring (Quinta da Senhora da Graça)</w:t>
      </w:r>
    </w:p>
    <w:p w14:paraId="12A88012"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 xml:space="preserve">2.3.1 Terrain and Land-Use </w:t>
      </w:r>
      <w:proofErr w:type="spellStart"/>
      <w:r w:rsidRPr="0079167A">
        <w:rPr>
          <w:rFonts w:ascii="Times New Roman" w:hAnsi="Times New Roman" w:cs="Times New Roman"/>
          <w:color w:val="auto"/>
        </w:rPr>
        <w:t>Characterisation</w:t>
      </w:r>
      <w:proofErr w:type="spellEnd"/>
    </w:p>
    <w:p w14:paraId="6545E1BE"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The estate boundary, altitude, slope, and aspect (“exhibition”) were mapped from a digital elevation model, together with west–east and north–south topographic profiles, to </w:t>
      </w:r>
      <w:proofErr w:type="spellStart"/>
      <w:r w:rsidRPr="000F5F0B">
        <w:rPr>
          <w:rFonts w:ascii="Times New Roman" w:hAnsi="Times New Roman" w:cs="Times New Roman"/>
        </w:rPr>
        <w:t>characterise</w:t>
      </w:r>
      <w:proofErr w:type="spellEnd"/>
      <w:r w:rsidRPr="000F5F0B">
        <w:rPr>
          <w:rFonts w:ascii="Times New Roman" w:hAnsi="Times New Roman" w:cs="Times New Roman"/>
        </w:rPr>
        <w:t xml:space="preserve"> the terrain heterogeneity known to influence vine microclimate in the Douro region (</w:t>
      </w:r>
      <w:hyperlink w:anchor="fraga2018" w:history="1">
        <w:r w:rsidRPr="000F5F0B">
          <w:rPr>
            <w:rStyle w:val="Hyperlink"/>
            <w:rFonts w:ascii="Times New Roman" w:hAnsi="Times New Roman" w:cs="Times New Roman"/>
          </w:rPr>
          <w:t xml:space="preserve">Fraga et al., </w:t>
        </w:r>
        <w:r w:rsidRPr="000F5F0B">
          <w:rPr>
            <w:rStyle w:val="Hyperlink"/>
            <w:rFonts w:ascii="Times New Roman" w:hAnsi="Times New Roman" w:cs="Times New Roman"/>
          </w:rPr>
          <w:lastRenderedPageBreak/>
          <w:t>2018</w:t>
        </w:r>
      </w:hyperlink>
      <w:r w:rsidRPr="000F5F0B">
        <w:rPr>
          <w:rFonts w:ascii="Times New Roman" w:hAnsi="Times New Roman" w:cs="Times New Roman"/>
        </w:rPr>
        <w:t xml:space="preserve">). Land use and grape variety (caste) composition were subsequently mapped to place </w:t>
      </w:r>
      <w:r w:rsidRPr="000F5F0B">
        <w:rPr>
          <w:rFonts w:ascii="Times New Roman" w:hAnsi="Times New Roman" w:cs="Times New Roman"/>
        </w:rPr>
        <w:t>the pest-monitoring network within its agronomic context.</w:t>
      </w:r>
    </w:p>
    <w:p w14:paraId="3A68E511"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44F2207F"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5B2BC77D" wp14:editId="3990E69E">
            <wp:extent cx="5762625" cy="2914650"/>
            <wp:effectExtent l="0" t="0" r="0" b="0"/>
            <wp:docPr id="1090926800" name="Picture 109092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914650"/>
                    </a:xfrm>
                    <a:prstGeom prst="rect">
                      <a:avLst/>
                    </a:prstGeom>
                  </pic:spPr>
                </pic:pic>
              </a:graphicData>
            </a:graphic>
          </wp:inline>
        </w:drawing>
      </w:r>
    </w:p>
    <w:p w14:paraId="17D58640"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 xml:space="preserve">Figure 5. Terrain </w:t>
      </w:r>
      <w:proofErr w:type="spellStart"/>
      <w:r w:rsidRPr="000F5F0B">
        <w:rPr>
          <w:rFonts w:ascii="Times New Roman" w:hAnsi="Times New Roman" w:cs="Times New Roman"/>
          <w:b/>
          <w:bCs/>
          <w:sz w:val="20"/>
          <w:szCs w:val="20"/>
        </w:rPr>
        <w:t>characterisation</w:t>
      </w:r>
      <w:proofErr w:type="spellEnd"/>
      <w:r w:rsidRPr="000F5F0B">
        <w:rPr>
          <w:rFonts w:ascii="Times New Roman" w:hAnsi="Times New Roman" w:cs="Times New Roman"/>
          <w:b/>
          <w:bCs/>
          <w:sz w:val="20"/>
          <w:szCs w:val="20"/>
        </w:rPr>
        <w:t xml:space="preserve"> of Quinta da Senhora da Graça: (A) geographical and cartographic location; (B) altitude distribution; (C) slope map; (D) west-to-east topographic profile; (E) north-to-south topographic profile; (F) slope-exposure (aspect) chart.</w:t>
      </w:r>
    </w:p>
    <w:p w14:paraId="758BFE1E"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06EC1DEF" wp14:editId="2B4507D5">
            <wp:extent cx="5762625" cy="2228850"/>
            <wp:effectExtent l="0" t="0" r="0" b="0"/>
            <wp:docPr id="1939870487" name="Picture 193987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228850"/>
                    </a:xfrm>
                    <a:prstGeom prst="rect">
                      <a:avLst/>
                    </a:prstGeom>
                  </pic:spPr>
                </pic:pic>
              </a:graphicData>
            </a:graphic>
          </wp:inline>
        </w:drawing>
      </w:r>
    </w:p>
    <w:p w14:paraId="16A0BFEF"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6. Land-use and varietal composition of Quinta da Senhora da Graça: (A) land-use and occupation map; (B) grape-variety (caste) distribution chart.</w:t>
      </w:r>
    </w:p>
    <w:p w14:paraId="104B63B8"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2FEFF131"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 xml:space="preserve">2.3.2 Pheromone Trap Network and </w:t>
      </w:r>
      <w:proofErr w:type="spellStart"/>
      <w:r w:rsidRPr="0079167A">
        <w:rPr>
          <w:rFonts w:ascii="Times New Roman" w:hAnsi="Times New Roman" w:cs="Times New Roman"/>
          <w:color w:val="auto"/>
        </w:rPr>
        <w:t>Spatio</w:t>
      </w:r>
      <w:proofErr w:type="spellEnd"/>
      <w:r w:rsidRPr="0079167A">
        <w:rPr>
          <w:rFonts w:ascii="Times New Roman" w:hAnsi="Times New Roman" w:cs="Times New Roman"/>
          <w:color w:val="auto"/>
        </w:rPr>
        <w:t>-Temporal Pest Analysis</w:t>
      </w:r>
    </w:p>
    <w:p w14:paraId="373D4FC1" w14:textId="77777777" w:rsidR="00923BD4" w:rsidRDefault="00000000">
      <w:pPr>
        <w:spacing w:after="160"/>
        <w:jc w:val="both"/>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r w:rsidRPr="000F5F0B">
        <w:rPr>
          <w:rFonts w:ascii="Times New Roman" w:hAnsi="Times New Roman" w:cs="Times New Roman"/>
        </w:rPr>
        <w:t xml:space="preserve">A network of georeferenced delta pheromone traps was installed across the estate to monitor </w:t>
      </w:r>
      <w:proofErr w:type="spellStart"/>
      <w:r w:rsidRPr="000F5F0B">
        <w:rPr>
          <w:rFonts w:ascii="Times New Roman" w:hAnsi="Times New Roman" w:cs="Times New Roman"/>
          <w:i/>
          <w:iCs/>
        </w:rPr>
        <w:t>Lobesia</w:t>
      </w:r>
      <w:proofErr w:type="spellEnd"/>
      <w:r w:rsidRPr="000F5F0B">
        <w:rPr>
          <w:rFonts w:ascii="Times New Roman" w:hAnsi="Times New Roman" w:cs="Times New Roman"/>
          <w:i/>
          <w:iCs/>
        </w:rPr>
        <w:t xml:space="preserve"> </w:t>
      </w:r>
      <w:proofErr w:type="spellStart"/>
      <w:r w:rsidRPr="000F5F0B">
        <w:rPr>
          <w:rFonts w:ascii="Times New Roman" w:hAnsi="Times New Roman" w:cs="Times New Roman"/>
          <w:i/>
          <w:iCs/>
        </w:rPr>
        <w:t>botrana</w:t>
      </w:r>
      <w:proofErr w:type="spellEnd"/>
      <w:r w:rsidRPr="000F5F0B">
        <w:rPr>
          <w:rFonts w:ascii="Times New Roman" w:hAnsi="Times New Roman" w:cs="Times New Roman"/>
        </w:rPr>
        <w:t xml:space="preserve"> flight activity, consistent with pheromone-based monitoring protocols used in mating-disruption </w:t>
      </w:r>
      <w:proofErr w:type="spellStart"/>
      <w:r w:rsidRPr="000F5F0B">
        <w:rPr>
          <w:rFonts w:ascii="Times New Roman" w:hAnsi="Times New Roman" w:cs="Times New Roman"/>
        </w:rPr>
        <w:t>programmes</w:t>
      </w:r>
      <w:proofErr w:type="spellEnd"/>
      <w:r w:rsidRPr="000F5F0B">
        <w:rPr>
          <w:rFonts w:ascii="Times New Roman" w:hAnsi="Times New Roman" w:cs="Times New Roman"/>
        </w:rPr>
        <w:t xml:space="preserve"> elsewhere in the Mediterranean (</w:t>
      </w:r>
      <w:hyperlink w:anchor="benelli2023" w:history="1">
        <w:r w:rsidRPr="000F5F0B">
          <w:rPr>
            <w:rStyle w:val="Hyperlink"/>
            <w:rFonts w:ascii="Times New Roman" w:hAnsi="Times New Roman" w:cs="Times New Roman"/>
          </w:rPr>
          <w:t>Benelli et al., 2023</w:t>
        </w:r>
      </w:hyperlink>
      <w:r w:rsidRPr="000F5F0B">
        <w:rPr>
          <w:rFonts w:ascii="Times New Roman" w:hAnsi="Times New Roman" w:cs="Times New Roman"/>
        </w:rPr>
        <w:t xml:space="preserve">; </w:t>
      </w:r>
      <w:hyperlink w:anchor="ricciardi2024" w:history="1">
        <w:r w:rsidRPr="000F5F0B">
          <w:rPr>
            <w:rStyle w:val="Hyperlink"/>
            <w:rFonts w:ascii="Times New Roman" w:hAnsi="Times New Roman" w:cs="Times New Roman"/>
          </w:rPr>
          <w:t xml:space="preserve">Ricciardi et </w:t>
        </w:r>
        <w:r w:rsidRPr="000F5F0B">
          <w:rPr>
            <w:rStyle w:val="Hyperlink"/>
            <w:rFonts w:ascii="Times New Roman" w:hAnsi="Times New Roman" w:cs="Times New Roman"/>
          </w:rPr>
          <w:t>al., 2024</w:t>
        </w:r>
      </w:hyperlink>
      <w:r w:rsidRPr="000F5F0B">
        <w:rPr>
          <w:rFonts w:ascii="Times New Roman" w:hAnsi="Times New Roman" w:cs="Times New Roman"/>
        </w:rPr>
        <w:t>). Trap captures and subsequent crop damage were recorded across three successive generations (April–May, June–July, and August–September) and mapped in WGS84 to examine the spatial relationship between capture intensity, damage, and proximity to riparian forest and grove refugia, which are known overwintering and re-invasion sources for the pest</w:t>
      </w:r>
    </w:p>
    <w:p w14:paraId="2304B593"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lastRenderedPageBreak/>
        <w:t>.</w:t>
      </w:r>
    </w:p>
    <w:p w14:paraId="06B69AE7"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124A3E17" wp14:editId="0A0E4C71">
            <wp:extent cx="5762625" cy="3609975"/>
            <wp:effectExtent l="0" t="0" r="9525" b="9525"/>
            <wp:docPr id="398682415" name="Picture 39868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609975"/>
                    </a:xfrm>
                    <a:prstGeom prst="rect">
                      <a:avLst/>
                    </a:prstGeom>
                  </pic:spPr>
                </pic:pic>
              </a:graphicData>
            </a:graphic>
          </wp:inline>
        </w:drawing>
      </w:r>
    </w:p>
    <w:p w14:paraId="266142DF"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 xml:space="preserve">Figure 7. Pheromone trap network and </w:t>
      </w:r>
      <w:proofErr w:type="spellStart"/>
      <w:r w:rsidRPr="000F5F0B">
        <w:rPr>
          <w:rFonts w:ascii="Times New Roman" w:hAnsi="Times New Roman" w:cs="Times New Roman"/>
          <w:b/>
          <w:bCs/>
          <w:sz w:val="20"/>
          <w:szCs w:val="20"/>
        </w:rPr>
        <w:t>spatio</w:t>
      </w:r>
      <w:proofErr w:type="spellEnd"/>
      <w:r w:rsidRPr="000F5F0B">
        <w:rPr>
          <w:rFonts w:ascii="Times New Roman" w:hAnsi="Times New Roman" w:cs="Times New Roman"/>
          <w:b/>
          <w:bCs/>
          <w:sz w:val="20"/>
          <w:szCs w:val="20"/>
        </w:rPr>
        <w:t>-temporal pest dynamics: (A) georeferenced delta-trap locations; (B) first-generation captures (April) and associated damage (May); (C) second-generation captures (June) and associated damage (July); (D) third-generation captures (August) and associated damage (September).</w:t>
      </w:r>
    </w:p>
    <w:p w14:paraId="462964A6" w14:textId="77777777" w:rsidR="00923BD4" w:rsidRDefault="00923BD4">
      <w:pPr>
        <w:pStyle w:val="Heading2"/>
        <w:spacing w:before="260" w:after="14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7C4F2C44" w14:textId="48FD56CD" w:rsidR="00ED74D0" w:rsidRPr="0079167A" w:rsidRDefault="00000000">
      <w:pPr>
        <w:pStyle w:val="Heading2"/>
        <w:spacing w:before="260" w:after="140"/>
        <w:rPr>
          <w:rFonts w:ascii="Times New Roman" w:hAnsi="Times New Roman" w:cs="Times New Roman"/>
          <w:color w:val="auto"/>
        </w:rPr>
      </w:pPr>
      <w:r w:rsidRPr="0079167A">
        <w:rPr>
          <w:rFonts w:ascii="Times New Roman" w:hAnsi="Times New Roman" w:cs="Times New Roman"/>
          <w:color w:val="auto"/>
        </w:rPr>
        <w:t>2.4 Case Study III</w:t>
      </w:r>
      <w:r w:rsidR="000F5F0B" w:rsidRPr="0079167A">
        <w:rPr>
          <w:rFonts w:ascii="Times New Roman" w:hAnsi="Times New Roman" w:cs="Times New Roman"/>
          <w:color w:val="auto"/>
        </w:rPr>
        <w:t xml:space="preserve"> </w:t>
      </w:r>
      <w:r w:rsidRPr="0079167A">
        <w:rPr>
          <w:rFonts w:ascii="Times New Roman" w:hAnsi="Times New Roman" w:cs="Times New Roman"/>
          <w:color w:val="auto"/>
        </w:rPr>
        <w:t>Brix Monitoring and Harvest-Date Prediction (Quinta de Nossa Senhora de Lurdes)</w:t>
      </w:r>
    </w:p>
    <w:p w14:paraId="046222F2"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2.4.1 Study Site and Traditional Sampling</w:t>
      </w:r>
    </w:p>
    <w:p w14:paraId="3D06FD5C" w14:textId="77777777" w:rsidR="00923BD4" w:rsidRDefault="00000000">
      <w:pPr>
        <w:spacing w:after="160"/>
        <w:jc w:val="both"/>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r w:rsidRPr="000F5F0B">
        <w:rPr>
          <w:rFonts w:ascii="Times New Roman" w:hAnsi="Times New Roman" w:cs="Times New Roman"/>
        </w:rPr>
        <w:t xml:space="preserve">The vineyard was </w:t>
      </w:r>
      <w:proofErr w:type="spellStart"/>
      <w:r w:rsidRPr="000F5F0B">
        <w:rPr>
          <w:rFonts w:ascii="Times New Roman" w:hAnsi="Times New Roman" w:cs="Times New Roman"/>
        </w:rPr>
        <w:t>characterised</w:t>
      </w:r>
      <w:proofErr w:type="spellEnd"/>
      <w:r w:rsidRPr="000F5F0B">
        <w:rPr>
          <w:rFonts w:ascii="Times New Roman" w:hAnsi="Times New Roman" w:cs="Times New Roman"/>
        </w:rPr>
        <w:t xml:space="preserve"> by RGB orthophoto and land-use mapping (Figure 8). Grape maturation was monitored using the </w:t>
      </w:r>
      <w:r w:rsidRPr="000F5F0B">
        <w:rPr>
          <w:rFonts w:ascii="Times New Roman" w:hAnsi="Times New Roman" w:cs="Times New Roman"/>
        </w:rPr>
        <w:t>standard refractometric principle, whereby degrees Brix (ºBx, grams sucrose per 100 g solution) approximate potential wine alcohol content at a conversion of 1 ºBx ≈ 0.55% alcohol (</w:t>
      </w:r>
      <w:hyperlink w:anchor="aranha2026" w:history="1">
        <w:r w:rsidRPr="000F5F0B">
          <w:rPr>
            <w:rStyle w:val="Hyperlink"/>
            <w:rFonts w:ascii="Times New Roman" w:hAnsi="Times New Roman" w:cs="Times New Roman"/>
          </w:rPr>
          <w:t>Aranha, 2026</w:t>
        </w:r>
      </w:hyperlink>
      <w:r w:rsidRPr="000F5F0B">
        <w:rPr>
          <w:rFonts w:ascii="Times New Roman" w:hAnsi="Times New Roman" w:cs="Times New Roman"/>
        </w:rPr>
        <w:t xml:space="preserve">). Field technicians sampled berries at five dates across the maturation period (15 July, 30 July, 6 August, 15 August, 30 August), spanning early development through </w:t>
      </w:r>
      <w:proofErr w:type="spellStart"/>
      <w:r w:rsidRPr="000F5F0B">
        <w:rPr>
          <w:rFonts w:ascii="Times New Roman" w:hAnsi="Times New Roman" w:cs="Times New Roman"/>
        </w:rPr>
        <w:t>véraison</w:t>
      </w:r>
      <w:proofErr w:type="spellEnd"/>
      <w:r w:rsidRPr="000F5F0B">
        <w:rPr>
          <w:rFonts w:ascii="Times New Roman" w:hAnsi="Times New Roman" w:cs="Times New Roman"/>
        </w:rPr>
        <w:t xml:space="preserve"> toward full ripeness</w:t>
      </w:r>
    </w:p>
    <w:p w14:paraId="43E3434E"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w:t>
      </w:r>
    </w:p>
    <w:p w14:paraId="0099D351"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429EC74D" wp14:editId="6050BB9F">
            <wp:extent cx="5762625" cy="1628775"/>
            <wp:effectExtent l="0" t="0" r="0" b="0"/>
            <wp:docPr id="543586153" name="Picture 54358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628775"/>
                    </a:xfrm>
                    <a:prstGeom prst="rect">
                      <a:avLst/>
                    </a:prstGeom>
                  </pic:spPr>
                </pic:pic>
              </a:graphicData>
            </a:graphic>
          </wp:inline>
        </w:drawing>
      </w:r>
    </w:p>
    <w:p w14:paraId="284C84F2"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lastRenderedPageBreak/>
        <w:t xml:space="preserve">Figure 8. Study-site </w:t>
      </w:r>
      <w:proofErr w:type="spellStart"/>
      <w:r w:rsidRPr="000F5F0B">
        <w:rPr>
          <w:rFonts w:ascii="Times New Roman" w:hAnsi="Times New Roman" w:cs="Times New Roman"/>
          <w:b/>
          <w:bCs/>
          <w:sz w:val="20"/>
          <w:szCs w:val="20"/>
        </w:rPr>
        <w:t>characterisation</w:t>
      </w:r>
      <w:proofErr w:type="spellEnd"/>
      <w:r w:rsidRPr="000F5F0B">
        <w:rPr>
          <w:rFonts w:ascii="Times New Roman" w:hAnsi="Times New Roman" w:cs="Times New Roman"/>
          <w:b/>
          <w:bCs/>
          <w:sz w:val="20"/>
          <w:szCs w:val="20"/>
        </w:rPr>
        <w:t xml:space="preserve"> for Quinta de Nossa Senhora de Lurdes: (A) farm location in true-</w:t>
      </w:r>
      <w:proofErr w:type="spellStart"/>
      <w:r w:rsidRPr="000F5F0B">
        <w:rPr>
          <w:rFonts w:ascii="Times New Roman" w:hAnsi="Times New Roman" w:cs="Times New Roman"/>
          <w:b/>
          <w:bCs/>
          <w:sz w:val="20"/>
          <w:szCs w:val="20"/>
        </w:rPr>
        <w:t>colour</w:t>
      </w:r>
      <w:proofErr w:type="spellEnd"/>
      <w:r w:rsidRPr="000F5F0B">
        <w:rPr>
          <w:rFonts w:ascii="Times New Roman" w:hAnsi="Times New Roman" w:cs="Times New Roman"/>
          <w:b/>
          <w:bCs/>
          <w:sz w:val="20"/>
          <w:szCs w:val="20"/>
        </w:rPr>
        <w:t xml:space="preserve"> (RGB) orthophoto; (B) land-use and occupation mapping; (C) detailed parcel-level land-use classification.</w:t>
      </w:r>
    </w:p>
    <w:p w14:paraId="50329015"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1A950C70"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2.4.2 Regression-Based Harvest-Date Forecasting</w:t>
      </w:r>
    </w:p>
    <w:p w14:paraId="630ADF78"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Average Brix values from the five sampling dates were regressed against Julian day using a logarithmic model, chosen because grape sugar accumulation follows a non-linear biological </w:t>
      </w:r>
      <w:r w:rsidRPr="000F5F0B">
        <w:rPr>
          <w:rFonts w:ascii="Times New Roman" w:hAnsi="Times New Roman" w:cs="Times New Roman"/>
        </w:rPr>
        <w:t xml:space="preserve">trajectory that accelerates through </w:t>
      </w:r>
      <w:proofErr w:type="spellStart"/>
      <w:r w:rsidRPr="000F5F0B">
        <w:rPr>
          <w:rFonts w:ascii="Times New Roman" w:hAnsi="Times New Roman" w:cs="Times New Roman"/>
        </w:rPr>
        <w:t>véraison</w:t>
      </w:r>
      <w:proofErr w:type="spellEnd"/>
      <w:r w:rsidRPr="000F5F0B">
        <w:rPr>
          <w:rFonts w:ascii="Times New Roman" w:hAnsi="Times New Roman" w:cs="Times New Roman"/>
        </w:rPr>
        <w:t xml:space="preserve"> before plateauing near full ripeness. The fitted model was used to forecast the Julian day at which the vineyard-average Brix would reach the target harvest window (25.5–27 ºBx, corresponding to ≈ 14% potential alcohol).</w:t>
      </w:r>
    </w:p>
    <w:p w14:paraId="3ECE516B"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332BD852"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143ABD1F" wp14:editId="2C76197E">
            <wp:extent cx="5762625" cy="2562225"/>
            <wp:effectExtent l="0" t="0" r="0" b="0"/>
            <wp:docPr id="1290440622" name="Picture 129044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562225"/>
                    </a:xfrm>
                    <a:prstGeom prst="rect">
                      <a:avLst/>
                    </a:prstGeom>
                  </pic:spPr>
                </pic:pic>
              </a:graphicData>
            </a:graphic>
          </wp:inline>
        </w:drawing>
      </w:r>
    </w:p>
    <w:p w14:paraId="34169C27"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9. Regression-based ripening forecast: (A) fitted logarithmic regression model of Brix against Julian day; (B) forecast of harvest-date potential based on the fitted model.</w:t>
      </w:r>
    </w:p>
    <w:p w14:paraId="0C163CE8"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2716041" w14:textId="77777777" w:rsidR="00ED74D0" w:rsidRPr="0079167A" w:rsidRDefault="00000000">
      <w:pPr>
        <w:pStyle w:val="Heading3"/>
        <w:spacing w:before="200" w:after="120"/>
        <w:rPr>
          <w:rFonts w:ascii="Times New Roman" w:hAnsi="Times New Roman" w:cs="Times New Roman"/>
          <w:color w:val="auto"/>
        </w:rPr>
      </w:pPr>
      <w:r w:rsidRPr="0079167A">
        <w:rPr>
          <w:rFonts w:ascii="Times New Roman" w:hAnsi="Times New Roman" w:cs="Times New Roman"/>
          <w:color w:val="auto"/>
        </w:rPr>
        <w:t>2.4.3 Spatial Brix Mapping</w:t>
      </w:r>
    </w:p>
    <w:p w14:paraId="32868085"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Brix values recorded at fixed traditional sampling points and at the UTAD Enology experimental plots were interpolated across the vineyard for </w:t>
      </w:r>
      <w:r w:rsidRPr="000F5F0B">
        <w:rPr>
          <w:rFonts w:ascii="Times New Roman" w:hAnsi="Times New Roman" w:cs="Times New Roman"/>
        </w:rPr>
        <w:t xml:space="preserve">each of the five sampling dates using IDW, and independently partitioned using Thiessen/Voronoi tessellation to define discrete sampling-zone boundaries for parcel-level harvest </w:t>
      </w:r>
      <w:proofErr w:type="spellStart"/>
      <w:r w:rsidRPr="000F5F0B">
        <w:rPr>
          <w:rFonts w:ascii="Times New Roman" w:hAnsi="Times New Roman" w:cs="Times New Roman"/>
        </w:rPr>
        <w:t>prioritisation</w:t>
      </w:r>
      <w:proofErr w:type="spellEnd"/>
      <w:r w:rsidRPr="000F5F0B">
        <w:rPr>
          <w:rFonts w:ascii="Times New Roman" w:hAnsi="Times New Roman" w:cs="Times New Roman"/>
        </w:rPr>
        <w:t>.</w:t>
      </w:r>
    </w:p>
    <w:p w14:paraId="4C2B4B40"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6CFD3F29"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lastRenderedPageBreak/>
        <w:drawing>
          <wp:inline distT="0" distB="0" distL="0" distR="0" wp14:anchorId="49BCB856" wp14:editId="67F8929B">
            <wp:extent cx="5762625" cy="2914650"/>
            <wp:effectExtent l="0" t="0" r="0" b="0"/>
            <wp:docPr id="1441850486" name="Picture 144185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914650"/>
                    </a:xfrm>
                    <a:prstGeom prst="rect">
                      <a:avLst/>
                    </a:prstGeom>
                  </pic:spPr>
                </pic:pic>
              </a:graphicData>
            </a:graphic>
          </wp:inline>
        </w:drawing>
      </w:r>
    </w:p>
    <w:p w14:paraId="4A6D07B9"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10. Spatially interpolated Brix values from traditional field sampling: (A) 15 July; (B) 30 July; (C) 6 August; (D) 15 August; (E) 30 August.</w:t>
      </w:r>
    </w:p>
    <w:p w14:paraId="53CE198D"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461D3C92" wp14:editId="6AA974F8">
            <wp:extent cx="5762625" cy="2914650"/>
            <wp:effectExtent l="0" t="0" r="0" b="0"/>
            <wp:docPr id="486066300" name="Picture 48606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914650"/>
                    </a:xfrm>
                    <a:prstGeom prst="rect">
                      <a:avLst/>
                    </a:prstGeom>
                  </pic:spPr>
                </pic:pic>
              </a:graphicData>
            </a:graphic>
          </wp:inline>
        </w:drawing>
      </w:r>
    </w:p>
    <w:p w14:paraId="24B70BCB"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11. Spatially interpolated Brix values from the UTAD Enology experimental plots: (A) 15 July; (B) 30 July; (C) 6 August; (D) 15 August; (E) 30 August.</w:t>
      </w:r>
    </w:p>
    <w:p w14:paraId="1D4C2EDC"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lastRenderedPageBreak/>
        <w:drawing>
          <wp:inline distT="0" distB="0" distL="0" distR="0" wp14:anchorId="01F93653" wp14:editId="50A5B4AA">
            <wp:extent cx="5762625" cy="3019425"/>
            <wp:effectExtent l="0" t="0" r="0" b="0"/>
            <wp:docPr id="746967764" name="Picture 74696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019425"/>
                    </a:xfrm>
                    <a:prstGeom prst="rect">
                      <a:avLst/>
                    </a:prstGeom>
                  </pic:spPr>
                </pic:pic>
              </a:graphicData>
            </a:graphic>
          </wp:inline>
        </w:drawing>
      </w:r>
    </w:p>
    <w:p w14:paraId="0EAE65AC"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12. Brix values partitioned by Thiessen/Voronoi polygons: (A) 15 July; (B) 30 July; (C) 6 August; (D) 15 August; (E) 30 August.</w:t>
      </w:r>
    </w:p>
    <w:p w14:paraId="33F2AE38" w14:textId="77777777" w:rsidR="00923BD4" w:rsidRDefault="00923BD4">
      <w:pPr>
        <w:pStyle w:val="Heading3"/>
        <w:spacing w:before="200" w:after="12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537F305B" w14:textId="77777777" w:rsidR="00ED74D0" w:rsidRPr="00093A3F" w:rsidRDefault="00000000">
      <w:pPr>
        <w:pStyle w:val="Heading3"/>
        <w:spacing w:before="200" w:after="120"/>
        <w:rPr>
          <w:rFonts w:ascii="Times New Roman" w:hAnsi="Times New Roman" w:cs="Times New Roman"/>
          <w:color w:val="auto"/>
        </w:rPr>
      </w:pPr>
      <w:r w:rsidRPr="00093A3F">
        <w:rPr>
          <w:rFonts w:ascii="Times New Roman" w:hAnsi="Times New Roman" w:cs="Times New Roman"/>
          <w:color w:val="auto"/>
        </w:rPr>
        <w:t>2.4.4 Remote Sensing and NDVI-Based Brix Prediction</w:t>
      </w:r>
    </w:p>
    <w:p w14:paraId="516EE7BA"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NDVI was computed from near-infrared and red reflectance following the standard formulation (</w:t>
      </w:r>
      <w:hyperlink w:anchor="rouse1974" w:history="1">
        <w:r w:rsidRPr="000F5F0B">
          <w:rPr>
            <w:rStyle w:val="Hyperlink"/>
            <w:rFonts w:ascii="Times New Roman" w:hAnsi="Times New Roman" w:cs="Times New Roman"/>
          </w:rPr>
          <w:t>Rouse et al., 1974</w:t>
        </w:r>
      </w:hyperlink>
      <w:r w:rsidRPr="000F5F0B">
        <w:rPr>
          <w:rFonts w:ascii="Times New Roman" w:hAnsi="Times New Roman" w:cs="Times New Roman"/>
        </w:rPr>
        <w:t xml:space="preserve">), clipped to the vineyard boundary, and regressed against spatially matched Brix observations to test NDVI as a </w:t>
      </w:r>
      <w:r w:rsidRPr="000F5F0B">
        <w:rPr>
          <w:rFonts w:ascii="Times New Roman" w:hAnsi="Times New Roman" w:cs="Times New Roman"/>
        </w:rPr>
        <w:t xml:space="preserve">remote, non-destructive proxy for sugar accumulation, in line with its established role as a </w:t>
      </w:r>
      <w:proofErr w:type="spellStart"/>
      <w:r w:rsidRPr="000F5F0B">
        <w:rPr>
          <w:rFonts w:ascii="Times New Roman" w:hAnsi="Times New Roman" w:cs="Times New Roman"/>
        </w:rPr>
        <w:t>vigour</w:t>
      </w:r>
      <w:proofErr w:type="spellEnd"/>
      <w:r w:rsidRPr="000F5F0B">
        <w:rPr>
          <w:rFonts w:ascii="Times New Roman" w:hAnsi="Times New Roman" w:cs="Times New Roman"/>
        </w:rPr>
        <w:t xml:space="preserve"> and physiological-status indicator in precision viticulture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"matese2015a"</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Matese</w:t>
      </w:r>
      <w:proofErr w:type="spellEnd"/>
      <w:r w:rsidRPr="000F5F0B">
        <w:rPr>
          <w:rStyle w:val="Hyperlink"/>
          <w:rFonts w:ascii="Times New Roman" w:hAnsi="Times New Roman" w:cs="Times New Roman"/>
        </w:rPr>
        <w:t xml:space="preserve"> and Di Gennaro, 2015</w:t>
      </w:r>
      <w:r w:rsidRPr="000F5F0B">
        <w:rPr>
          <w:rFonts w:ascii="Times New Roman" w:hAnsi="Times New Roman" w:cs="Times New Roman"/>
        </w:rPr>
        <w:fldChar w:fldCharType="end"/>
      </w:r>
      <w:r w:rsidRPr="000F5F0B">
        <w:rPr>
          <w:rFonts w:ascii="Times New Roman" w:hAnsi="Times New Roman" w:cs="Times New Roman"/>
        </w:rPr>
        <w:t xml:space="preserve">; </w:t>
      </w:r>
      <w:hyperlink w:anchor="matese2015b" w:history="1">
        <w:proofErr w:type="spellStart"/>
        <w:r w:rsidRPr="000F5F0B">
          <w:rPr>
            <w:rStyle w:val="Hyperlink"/>
            <w:rFonts w:ascii="Times New Roman" w:hAnsi="Times New Roman" w:cs="Times New Roman"/>
          </w:rPr>
          <w:t>Matese</w:t>
        </w:r>
        <w:proofErr w:type="spellEnd"/>
        <w:r w:rsidRPr="000F5F0B">
          <w:rPr>
            <w:rStyle w:val="Hyperlink"/>
            <w:rFonts w:ascii="Times New Roman" w:hAnsi="Times New Roman" w:cs="Times New Roman"/>
          </w:rPr>
          <w:t xml:space="preserve"> et al., 2015</w:t>
        </w:r>
      </w:hyperlink>
      <w:r w:rsidRPr="000F5F0B">
        <w:rPr>
          <w:rFonts w:ascii="Times New Roman" w:hAnsi="Times New Roman" w:cs="Times New Roman"/>
        </w:rPr>
        <w:t xml:space="preserve">). A near-infrared orthophoto mosaic was additionally produced to support qualitative interpretation of canopy </w:t>
      </w:r>
      <w:proofErr w:type="spellStart"/>
      <w:r w:rsidRPr="000F5F0B">
        <w:rPr>
          <w:rFonts w:ascii="Times New Roman" w:hAnsi="Times New Roman" w:cs="Times New Roman"/>
        </w:rPr>
        <w:t>vigour</w:t>
      </w:r>
      <w:proofErr w:type="spellEnd"/>
      <w:r w:rsidRPr="000F5F0B">
        <w:rPr>
          <w:rFonts w:ascii="Times New Roman" w:hAnsi="Times New Roman" w:cs="Times New Roman"/>
        </w:rPr>
        <w:t xml:space="preserve"> patterns.</w:t>
      </w:r>
    </w:p>
    <w:p w14:paraId="00125744"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26BCAE27"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lastRenderedPageBreak/>
        <w:drawing>
          <wp:inline distT="0" distB="0" distL="0" distR="0" wp14:anchorId="0010C58A" wp14:editId="1E76F934">
            <wp:extent cx="5762625" cy="4857750"/>
            <wp:effectExtent l="0" t="0" r="0" b="0"/>
            <wp:docPr id="117274511" name="Picture 1172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4857750"/>
                    </a:xfrm>
                    <a:prstGeom prst="rect">
                      <a:avLst/>
                    </a:prstGeom>
                  </pic:spPr>
                </pic:pic>
              </a:graphicData>
            </a:graphic>
          </wp:inline>
        </w:drawing>
      </w:r>
    </w:p>
    <w:p w14:paraId="2F71D101"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 xml:space="preserve">Figure 13. Regression diagnostics and remote-sensing products for ripening prediction: (A–C) regression-model diagnostic panels; (D) </w:t>
      </w:r>
      <w:proofErr w:type="spellStart"/>
      <w:r w:rsidRPr="000F5F0B">
        <w:rPr>
          <w:rFonts w:ascii="Times New Roman" w:hAnsi="Times New Roman" w:cs="Times New Roman"/>
          <w:b/>
          <w:bCs/>
          <w:sz w:val="20"/>
          <w:szCs w:val="20"/>
        </w:rPr>
        <w:t>Normalised</w:t>
      </w:r>
      <w:proofErr w:type="spellEnd"/>
      <w:r w:rsidRPr="000F5F0B">
        <w:rPr>
          <w:rFonts w:ascii="Times New Roman" w:hAnsi="Times New Roman" w:cs="Times New Roman"/>
          <w:b/>
          <w:bCs/>
          <w:sz w:val="20"/>
          <w:szCs w:val="20"/>
        </w:rPr>
        <w:t xml:space="preserve"> Difference Vegetation Index (NDVI); (E) NDVI clipped to the vineyard boundary; (F) near-infrared orthophoto mosaic; (G) near-infrared composite of the vineyard block.</w:t>
      </w:r>
    </w:p>
    <w:p w14:paraId="5AAA72AA" w14:textId="77777777" w:rsidR="00923BD4" w:rsidRDefault="00923BD4">
      <w:pPr>
        <w:pStyle w:val="Heading2"/>
        <w:spacing w:before="260" w:after="14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3C6BEE1A"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2.5 Hybrid Machine-Learning Regression-Kriging for Brix Prediction</w:t>
      </w:r>
    </w:p>
    <w:p w14:paraId="139A3403"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The IDW interpolation and simple logarithmic/linear regressions described above (Sections 2.4.2-2.4.4) are widely used in applied precision-viticulture workflows but have two well-</w:t>
      </w:r>
      <w:proofErr w:type="spellStart"/>
      <w:r w:rsidRPr="000F5F0B">
        <w:rPr>
          <w:rFonts w:ascii="Times New Roman" w:hAnsi="Times New Roman" w:cs="Times New Roman"/>
        </w:rPr>
        <w:t>recognised</w:t>
      </w:r>
      <w:proofErr w:type="spellEnd"/>
      <w:r w:rsidRPr="000F5F0B">
        <w:rPr>
          <w:rFonts w:ascii="Times New Roman" w:hAnsi="Times New Roman" w:cs="Times New Roman"/>
        </w:rPr>
        <w:t xml:space="preserve"> limitations: IDW provides no explicit trend model linking Brix to auxiliary covariates such as NDVI, and simple parametric regression does not exploit the spatial autocorrelation structure of the regression residuals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xml:space="preserve">;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 xml:space="preserve">). To address this directly, the point-level Brix dataset (68 georeferenced sampling points x 5 dates = 340 sample-date observations, with </w:t>
      </w:r>
      <w:r w:rsidRPr="000F5F0B">
        <w:rPr>
          <w:rFonts w:ascii="Times New Roman" w:hAnsi="Times New Roman" w:cs="Times New Roman"/>
        </w:rPr>
        <w:t>paired NDVI and UTM coordinates) was re-</w:t>
      </w:r>
      <w:proofErr w:type="spellStart"/>
      <w:r w:rsidRPr="000F5F0B">
        <w:rPr>
          <w:rFonts w:ascii="Times New Roman" w:hAnsi="Times New Roman" w:cs="Times New Roman"/>
        </w:rPr>
        <w:t>analysed</w:t>
      </w:r>
      <w:proofErr w:type="spellEnd"/>
      <w:r w:rsidRPr="000F5F0B">
        <w:rPr>
          <w:rFonts w:ascii="Times New Roman" w:hAnsi="Times New Roman" w:cs="Times New Roman"/>
        </w:rPr>
        <w:t xml:space="preserve"> using a hybrid regression-kriging (RK) framework, in which a machine-learning regression model supplies the deterministic trend surface and the residuals from that trend are subsequently interpolated </w:t>
      </w:r>
      <w:proofErr w:type="spellStart"/>
      <w:r w:rsidRPr="000F5F0B">
        <w:rPr>
          <w:rFonts w:ascii="Times New Roman" w:hAnsi="Times New Roman" w:cs="Times New Roman"/>
        </w:rPr>
        <w:t>geostatistically</w:t>
      </w:r>
      <w:proofErr w:type="spellEnd"/>
      <w:r w:rsidRPr="000F5F0B">
        <w:rPr>
          <w:rFonts w:ascii="Times New Roman" w:hAnsi="Times New Roman" w:cs="Times New Roman"/>
        </w:rPr>
        <w:t xml:space="preserve"> and added back to the trend prediction, the classical RK formulation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here implemented with modern tree-ensemble regressors in place of the linear trend model traditionally used.</w:t>
      </w:r>
    </w:p>
    <w:p w14:paraId="1DCA2564" w14:textId="77777777" w:rsidR="00ED74D0" w:rsidRPr="00093A3F" w:rsidRDefault="00000000">
      <w:pPr>
        <w:pStyle w:val="Heading3"/>
        <w:spacing w:before="200" w:after="120"/>
        <w:rPr>
          <w:rFonts w:ascii="Times New Roman" w:hAnsi="Times New Roman" w:cs="Times New Roman"/>
          <w:color w:val="auto"/>
        </w:rPr>
      </w:pPr>
      <w:r w:rsidRPr="00093A3F">
        <w:rPr>
          <w:rFonts w:ascii="Times New Roman" w:hAnsi="Times New Roman" w:cs="Times New Roman"/>
          <w:color w:val="auto"/>
        </w:rPr>
        <w:t>2.5.1 Trend Models: Random Forest, Gradient Boosting, and Neural Network</w:t>
      </w:r>
    </w:p>
    <w:p w14:paraId="6F09400C"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Three families of machine-learning regressor were trained to predict Brix from Easting, </w:t>
      </w:r>
      <w:r w:rsidRPr="000F5F0B">
        <w:rPr>
          <w:rFonts w:ascii="Times New Roman" w:hAnsi="Times New Roman" w:cs="Times New Roman"/>
        </w:rPr>
        <w:lastRenderedPageBreak/>
        <w:t xml:space="preserve">Northing, Julian day, and NDVI. </w:t>
      </w:r>
      <w:r w:rsidRPr="000F5F0B">
        <w:rPr>
          <w:rFonts w:ascii="Times New Roman" w:hAnsi="Times New Roman" w:cs="Times New Roman"/>
          <w:b/>
          <w:bCs/>
        </w:rPr>
        <w:t>Random Forest Regression (RFR)</w:t>
      </w:r>
      <w:r w:rsidRPr="000F5F0B">
        <w:rPr>
          <w:rFonts w:ascii="Times New Roman" w:hAnsi="Times New Roman" w:cs="Times New Roman"/>
        </w:rPr>
        <w:t xml:space="preserve"> aggregates the predictions of </w:t>
      </w:r>
      <w:r w:rsidRPr="000F5F0B">
        <w:rPr>
          <w:rFonts w:ascii="Times New Roman" w:hAnsi="Times New Roman" w:cs="Times New Roman"/>
          <w:i/>
          <w:iCs/>
        </w:rPr>
        <w:t>B</w:t>
      </w:r>
      <w:r w:rsidRPr="000F5F0B">
        <w:rPr>
          <w:rFonts w:ascii="Times New Roman" w:hAnsi="Times New Roman" w:cs="Times New Roman"/>
        </w:rPr>
        <w:t xml:space="preserve"> de-correlated regression trees, </w:t>
      </w:r>
      <w:r w:rsidRPr="000F5F0B">
        <w:rPr>
          <w:rFonts w:ascii="Times New Roman" w:hAnsi="Times New Roman" w:cs="Times New Roman"/>
        </w:rPr>
        <w:t>each grown on a bootstrap-resampled subset of the training data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"breiman2001"</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Breiman</w:t>
      </w:r>
      <w:proofErr w:type="spellEnd"/>
      <w:r w:rsidRPr="000F5F0B">
        <w:rPr>
          <w:rStyle w:val="Hyperlink"/>
          <w:rFonts w:ascii="Times New Roman" w:hAnsi="Times New Roman" w:cs="Times New Roman"/>
        </w:rPr>
        <w:t>, 2001</w:t>
      </w:r>
      <w:r w:rsidRPr="000F5F0B">
        <w:rPr>
          <w:rFonts w:ascii="Times New Roman" w:hAnsi="Times New Roman" w:cs="Times New Roman"/>
        </w:rPr>
        <w:fldChar w:fldCharType="end"/>
      </w:r>
      <w:r w:rsidRPr="000F5F0B">
        <w:rPr>
          <w:rFonts w:ascii="Times New Roman" w:hAnsi="Times New Roman" w:cs="Times New Roman"/>
        </w:rPr>
        <w:t>):</w:t>
      </w:r>
    </w:p>
    <w:p w14:paraId="57FDCEFB"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50EAFA94"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proofErr w:type="spellStart"/>
      <w:r w:rsidRPr="000F5F0B">
        <w:rPr>
          <w:rFonts w:ascii="Times New Roman" w:hAnsi="Times New Roman" w:cs="Times New Roman"/>
          <w:i/>
          <w:iCs/>
        </w:rPr>
        <w:t>f̂</w:t>
      </w:r>
      <w:r w:rsidRPr="000F5F0B">
        <w:rPr>
          <w:rFonts w:ascii="Times New Roman" w:hAnsi="Times New Roman" w:cs="Times New Roman"/>
          <w:vertAlign w:val="subscript"/>
        </w:rPr>
        <w:t>RF</w:t>
      </w:r>
      <w:proofErr w:type="spellEnd"/>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 (1/</w:t>
      </w:r>
      <w:r w:rsidRPr="000F5F0B">
        <w:rPr>
          <w:rFonts w:ascii="Times New Roman" w:hAnsi="Times New Roman" w:cs="Times New Roman"/>
          <w:i/>
          <w:iCs/>
        </w:rPr>
        <w:t>B</w:t>
      </w:r>
      <w:r w:rsidRPr="000F5F0B">
        <w:rPr>
          <w:rFonts w:ascii="Times New Roman" w:hAnsi="Times New Roman" w:cs="Times New Roman"/>
        </w:rPr>
        <w:t xml:space="preserve">) </w:t>
      </w:r>
      <w:proofErr w:type="spellStart"/>
      <w:r w:rsidRPr="000F5F0B">
        <w:rPr>
          <w:rFonts w:ascii="Times New Roman" w:hAnsi="Times New Roman" w:cs="Times New Roman"/>
          <w:i/>
          <w:iCs/>
        </w:rPr>
        <w:t>Σ</w:t>
      </w:r>
      <w:r w:rsidRPr="000F5F0B">
        <w:rPr>
          <w:rFonts w:ascii="Times New Roman" w:hAnsi="Times New Roman" w:cs="Times New Roman"/>
          <w:vertAlign w:val="subscript"/>
        </w:rPr>
        <w:t>b</w:t>
      </w:r>
      <w:proofErr w:type="spellEnd"/>
      <w:r w:rsidRPr="000F5F0B">
        <w:rPr>
          <w:rFonts w:ascii="Times New Roman" w:hAnsi="Times New Roman" w:cs="Times New Roman"/>
          <w:vertAlign w:val="subscript"/>
        </w:rPr>
        <w:t>=1</w:t>
      </w:r>
      <w:r w:rsidRPr="000F5F0B">
        <w:rPr>
          <w:rFonts w:ascii="Times New Roman" w:hAnsi="Times New Roman" w:cs="Times New Roman"/>
          <w:vertAlign w:val="superscript"/>
        </w:rPr>
        <w:t>B</w:t>
      </w:r>
      <w:r w:rsidRPr="000F5F0B">
        <w:rPr>
          <w:rFonts w:ascii="Times New Roman" w:hAnsi="Times New Roman" w:cs="Times New Roman"/>
        </w:rPr>
        <w:t xml:space="preserve"> </w:t>
      </w:r>
      <w:r w:rsidRPr="000F5F0B">
        <w:rPr>
          <w:rFonts w:ascii="Times New Roman" w:hAnsi="Times New Roman" w:cs="Times New Roman"/>
          <w:i/>
          <w:iCs/>
        </w:rPr>
        <w:t>T</w:t>
      </w:r>
      <w:r w:rsidRPr="000F5F0B">
        <w:rPr>
          <w:rFonts w:ascii="Times New Roman" w:hAnsi="Times New Roman" w:cs="Times New Roman"/>
          <w:vertAlign w:val="subscript"/>
        </w:rPr>
        <w:t>b</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w:t>
      </w:r>
      <w:r w:rsidRPr="000F5F0B">
        <w:rPr>
          <w:rFonts w:ascii="Times New Roman" w:hAnsi="Times New Roman" w:cs="Times New Roman"/>
        </w:rPr>
        <w:tab/>
        <w:t>(7)</w:t>
      </w:r>
    </w:p>
    <w:p w14:paraId="3EFA57E3"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19BE119"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r w:rsidRPr="000F5F0B">
        <w:rPr>
          <w:rFonts w:ascii="Times New Roman" w:hAnsi="Times New Roman" w:cs="Times New Roman"/>
          <w:i/>
          <w:iCs/>
        </w:rPr>
        <w:t>T</w:t>
      </w:r>
      <w:r w:rsidRPr="000F5F0B">
        <w:rPr>
          <w:rFonts w:ascii="Times New Roman" w:hAnsi="Times New Roman" w:cs="Times New Roman"/>
          <w:vertAlign w:val="subscript"/>
        </w:rPr>
        <w:t>b</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xml:space="preserve">) is the prediction of the </w:t>
      </w:r>
      <w:r w:rsidRPr="000F5F0B">
        <w:rPr>
          <w:rFonts w:ascii="Times New Roman" w:hAnsi="Times New Roman" w:cs="Times New Roman"/>
          <w:i/>
          <w:iCs/>
        </w:rPr>
        <w:t>b</w:t>
      </w:r>
      <w:r w:rsidRPr="000F5F0B">
        <w:rPr>
          <w:rFonts w:ascii="Times New Roman" w:hAnsi="Times New Roman" w:cs="Times New Roman"/>
        </w:rPr>
        <w:t>-</w:t>
      </w:r>
      <w:proofErr w:type="spellStart"/>
      <w:r w:rsidRPr="000F5F0B">
        <w:rPr>
          <w:rFonts w:ascii="Times New Roman" w:hAnsi="Times New Roman" w:cs="Times New Roman"/>
        </w:rPr>
        <w:t>th</w:t>
      </w:r>
      <w:proofErr w:type="spellEnd"/>
      <w:r w:rsidRPr="000F5F0B">
        <w:rPr>
          <w:rFonts w:ascii="Times New Roman" w:hAnsi="Times New Roman" w:cs="Times New Roman"/>
        </w:rPr>
        <w:t xml:space="preserve"> regression tree for input vector </w:t>
      </w:r>
      <w:r w:rsidRPr="000F5F0B">
        <w:rPr>
          <w:rFonts w:ascii="Times New Roman" w:hAnsi="Times New Roman" w:cs="Times New Roman"/>
          <w:i/>
          <w:iCs/>
        </w:rPr>
        <w:t>x</w:t>
      </w:r>
      <w:r w:rsidRPr="000F5F0B">
        <w:rPr>
          <w:rFonts w:ascii="Times New Roman" w:hAnsi="Times New Roman" w:cs="Times New Roman"/>
        </w:rPr>
        <w:t xml:space="preserve"> = (Easting, Northing, Julian day, NDVI), and </w:t>
      </w:r>
      <w:r w:rsidRPr="000F5F0B">
        <w:rPr>
          <w:rFonts w:ascii="Times New Roman" w:hAnsi="Times New Roman" w:cs="Times New Roman"/>
          <w:i/>
          <w:iCs/>
        </w:rPr>
        <w:t>B</w:t>
      </w:r>
      <w:r w:rsidRPr="000F5F0B">
        <w:rPr>
          <w:rFonts w:ascii="Times New Roman" w:hAnsi="Times New Roman" w:cs="Times New Roman"/>
        </w:rPr>
        <w:t xml:space="preserve"> = 400 trees were grown per fold. </w:t>
      </w:r>
      <w:r w:rsidRPr="000F5F0B">
        <w:rPr>
          <w:rFonts w:ascii="Times New Roman" w:hAnsi="Times New Roman" w:cs="Times New Roman"/>
          <w:b/>
          <w:bCs/>
        </w:rPr>
        <w:t>Gradient Boosting Regression (GBR)</w:t>
      </w:r>
      <w:r w:rsidRPr="000F5F0B">
        <w:rPr>
          <w:rFonts w:ascii="Times New Roman" w:hAnsi="Times New Roman" w:cs="Times New Roman"/>
        </w:rPr>
        <w:t xml:space="preserve"> instead builds an additive </w:t>
      </w:r>
      <w:r w:rsidRPr="000F5F0B">
        <w:rPr>
          <w:rFonts w:ascii="Times New Roman" w:hAnsi="Times New Roman" w:cs="Times New Roman"/>
        </w:rPr>
        <w:t>ensemble in which each new tree is fitted to the negative gradient (pseudo-residuals) of the loss function with respect to the current ensemble prediction (</w:t>
      </w:r>
      <w:hyperlink w:anchor="friedman2001" w:history="1">
        <w:r w:rsidRPr="000F5F0B">
          <w:rPr>
            <w:rStyle w:val="Hyperlink"/>
            <w:rFonts w:ascii="Times New Roman" w:hAnsi="Times New Roman" w:cs="Times New Roman"/>
          </w:rPr>
          <w:t>Friedman, 2001</w:t>
        </w:r>
      </w:hyperlink>
      <w:r w:rsidRPr="000F5F0B">
        <w:rPr>
          <w:rFonts w:ascii="Times New Roman" w:hAnsi="Times New Roman" w:cs="Times New Roman"/>
        </w:rPr>
        <w:t>):</w:t>
      </w:r>
    </w:p>
    <w:p w14:paraId="250A7E1A"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3417540D"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F</w:t>
      </w:r>
      <w:r w:rsidRPr="000F5F0B">
        <w:rPr>
          <w:rFonts w:ascii="Times New Roman" w:hAnsi="Times New Roman" w:cs="Times New Roman"/>
          <w:vertAlign w:val="subscript"/>
        </w:rPr>
        <w:t>m</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xml:space="preserve">) = </w:t>
      </w:r>
      <w:r w:rsidRPr="000F5F0B">
        <w:rPr>
          <w:rFonts w:ascii="Times New Roman" w:hAnsi="Times New Roman" w:cs="Times New Roman"/>
          <w:i/>
          <w:iCs/>
        </w:rPr>
        <w:t>F</w:t>
      </w:r>
      <w:r w:rsidRPr="000F5F0B">
        <w:rPr>
          <w:rFonts w:ascii="Times New Roman" w:hAnsi="Times New Roman" w:cs="Times New Roman"/>
          <w:vertAlign w:val="subscript"/>
        </w:rPr>
        <w:t>m−1</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xml:space="preserve">) + </w:t>
      </w:r>
      <w:r w:rsidRPr="000F5F0B">
        <w:rPr>
          <w:rFonts w:ascii="Times New Roman" w:hAnsi="Times New Roman" w:cs="Times New Roman"/>
          <w:i/>
          <w:iCs/>
        </w:rPr>
        <w:t>ν</w:t>
      </w:r>
      <w:r w:rsidRPr="000F5F0B">
        <w:rPr>
          <w:rFonts w:ascii="Times New Roman" w:hAnsi="Times New Roman" w:cs="Times New Roman"/>
        </w:rPr>
        <w:t xml:space="preserve"> · </w:t>
      </w:r>
      <w:r w:rsidRPr="000F5F0B">
        <w:rPr>
          <w:rFonts w:ascii="Times New Roman" w:hAnsi="Times New Roman" w:cs="Times New Roman"/>
          <w:i/>
          <w:iCs/>
        </w:rPr>
        <w:t>h</w:t>
      </w:r>
      <w:r w:rsidRPr="000F5F0B">
        <w:rPr>
          <w:rFonts w:ascii="Times New Roman" w:hAnsi="Times New Roman" w:cs="Times New Roman"/>
          <w:vertAlign w:val="subscript"/>
        </w:rPr>
        <w:t>m</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w:t>
      </w:r>
      <w:r w:rsidRPr="000F5F0B">
        <w:rPr>
          <w:rFonts w:ascii="Times New Roman" w:hAnsi="Times New Roman" w:cs="Times New Roman"/>
        </w:rPr>
        <w:tab/>
        <w:t>(8)</w:t>
      </w:r>
    </w:p>
    <w:p w14:paraId="7E0033A3" w14:textId="77777777"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rPr>
        <w:tab/>
      </w:r>
      <w:r w:rsidRPr="000F5F0B">
        <w:rPr>
          <w:rFonts w:ascii="Times New Roman" w:hAnsi="Times New Roman" w:cs="Times New Roman"/>
          <w:i/>
          <w:iCs/>
          <w:lang w:val="pt-BR"/>
        </w:rPr>
        <w:t>h</w:t>
      </w:r>
      <w:r w:rsidRPr="000F5F0B">
        <w:rPr>
          <w:rFonts w:ascii="Times New Roman" w:hAnsi="Times New Roman" w:cs="Times New Roman"/>
          <w:vertAlign w:val="subscript"/>
          <w:lang w:val="pt-BR"/>
        </w:rPr>
        <w:t>m</w:t>
      </w:r>
      <w:r w:rsidRPr="000F5F0B">
        <w:rPr>
          <w:rFonts w:ascii="Times New Roman" w:hAnsi="Times New Roman" w:cs="Times New Roman"/>
          <w:lang w:val="pt-BR"/>
        </w:rPr>
        <w:t xml:space="preserve"> = arg min</w:t>
      </w:r>
      <w:r w:rsidRPr="000F5F0B">
        <w:rPr>
          <w:rFonts w:ascii="Times New Roman" w:hAnsi="Times New Roman" w:cs="Times New Roman"/>
          <w:vertAlign w:val="subscript"/>
          <w:lang w:val="pt-BR"/>
        </w:rPr>
        <w:t>h</w:t>
      </w:r>
      <w:r w:rsidRPr="000F5F0B">
        <w:rPr>
          <w:rFonts w:ascii="Times New Roman" w:hAnsi="Times New Roman" w:cs="Times New Roman"/>
          <w:lang w:val="pt-BR"/>
        </w:rPr>
        <w:t xml:space="preserve"> </w:t>
      </w:r>
      <w:r w:rsidRPr="000F5F0B">
        <w:rPr>
          <w:rFonts w:ascii="Times New Roman" w:hAnsi="Times New Roman" w:cs="Times New Roman"/>
          <w:i/>
          <w:iCs/>
        </w:rPr>
        <w:t>Σ</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F</w:t>
      </w:r>
      <w:r w:rsidRPr="000F5F0B">
        <w:rPr>
          <w:rFonts w:ascii="Times New Roman" w:hAnsi="Times New Roman" w:cs="Times New Roman"/>
          <w:vertAlign w:val="subscript"/>
          <w:lang w:val="pt-BR"/>
        </w:rPr>
        <w:t>m−1</w:t>
      </w:r>
      <w:r w:rsidRPr="000F5F0B">
        <w:rPr>
          <w:rFonts w:ascii="Times New Roman" w:hAnsi="Times New Roman" w:cs="Times New Roman"/>
          <w:lang w:val="pt-BR"/>
        </w:rPr>
        <w:t>(</w:t>
      </w:r>
      <w:r w:rsidRPr="000F5F0B">
        <w:rPr>
          <w:rFonts w:ascii="Times New Roman" w:hAnsi="Times New Roman" w:cs="Times New Roman"/>
          <w:i/>
          <w:iCs/>
          <w:lang w:val="pt-BR"/>
        </w:rPr>
        <w:t>x</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h</w:t>
      </w:r>
      <w:r w:rsidRPr="000F5F0B">
        <w:rPr>
          <w:rFonts w:ascii="Times New Roman" w:hAnsi="Times New Roman" w:cs="Times New Roman"/>
          <w:lang w:val="pt-BR"/>
        </w:rPr>
        <w:t>(</w:t>
      </w:r>
      <w:r w:rsidRPr="000F5F0B">
        <w:rPr>
          <w:rFonts w:ascii="Times New Roman" w:hAnsi="Times New Roman" w:cs="Times New Roman"/>
          <w:i/>
          <w:iCs/>
          <w:lang w:val="pt-BR"/>
        </w:rPr>
        <w:t>x</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vertAlign w:val="superscript"/>
          <w:lang w:val="pt-BR"/>
        </w:rPr>
        <w:t>2</w:t>
      </w:r>
      <w:r w:rsidRPr="000F5F0B">
        <w:rPr>
          <w:rFonts w:ascii="Times New Roman" w:hAnsi="Times New Roman" w:cs="Times New Roman"/>
          <w:lang w:val="pt-BR"/>
        </w:rPr>
        <w:tab/>
        <w:t>(9)</w:t>
      </w:r>
    </w:p>
    <w:p w14:paraId="1E946EBC"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8C9E7E7"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r w:rsidRPr="000F5F0B">
        <w:rPr>
          <w:rFonts w:ascii="Times New Roman" w:hAnsi="Times New Roman" w:cs="Times New Roman"/>
          <w:i/>
          <w:iCs/>
        </w:rPr>
        <w:t>F</w:t>
      </w:r>
      <w:r w:rsidRPr="000F5F0B">
        <w:rPr>
          <w:rFonts w:ascii="Times New Roman" w:hAnsi="Times New Roman" w:cs="Times New Roman"/>
          <w:vertAlign w:val="subscript"/>
        </w:rPr>
        <w:t>m</w:t>
      </w:r>
      <w:r w:rsidRPr="000F5F0B">
        <w:rPr>
          <w:rFonts w:ascii="Times New Roman" w:hAnsi="Times New Roman" w:cs="Times New Roman"/>
        </w:rPr>
        <w:t xml:space="preserve"> is the ensemble prediction after </w:t>
      </w:r>
      <w:r w:rsidRPr="000F5F0B">
        <w:rPr>
          <w:rFonts w:ascii="Times New Roman" w:hAnsi="Times New Roman" w:cs="Times New Roman"/>
          <w:i/>
          <w:iCs/>
        </w:rPr>
        <w:t>m</w:t>
      </w:r>
      <w:r w:rsidRPr="000F5F0B">
        <w:rPr>
          <w:rFonts w:ascii="Times New Roman" w:hAnsi="Times New Roman" w:cs="Times New Roman"/>
        </w:rPr>
        <w:t xml:space="preserve"> boosting stages, </w:t>
      </w:r>
      <w:r w:rsidRPr="000F5F0B">
        <w:rPr>
          <w:rFonts w:ascii="Times New Roman" w:hAnsi="Times New Roman" w:cs="Times New Roman"/>
          <w:i/>
          <w:iCs/>
        </w:rPr>
        <w:t>ν</w:t>
      </w:r>
      <w:r w:rsidRPr="000F5F0B">
        <w:rPr>
          <w:rFonts w:ascii="Times New Roman" w:hAnsi="Times New Roman" w:cs="Times New Roman"/>
        </w:rPr>
        <w:t xml:space="preserve"> is the learning rate (</w:t>
      </w:r>
      <w:r w:rsidRPr="000F5F0B">
        <w:rPr>
          <w:rFonts w:ascii="Times New Roman" w:hAnsi="Times New Roman" w:cs="Times New Roman"/>
          <w:i/>
          <w:iCs/>
        </w:rPr>
        <w:t>ν</w:t>
      </w:r>
      <w:r w:rsidRPr="000F5F0B">
        <w:rPr>
          <w:rFonts w:ascii="Times New Roman" w:hAnsi="Times New Roman" w:cs="Times New Roman"/>
        </w:rPr>
        <w:t xml:space="preserve"> = 0.05 throughout), and </w:t>
      </w:r>
      <w:r w:rsidRPr="000F5F0B">
        <w:rPr>
          <w:rFonts w:ascii="Times New Roman" w:hAnsi="Times New Roman" w:cs="Times New Roman"/>
          <w:i/>
          <w:iCs/>
        </w:rPr>
        <w:t>h</w:t>
      </w:r>
      <w:r w:rsidRPr="000F5F0B">
        <w:rPr>
          <w:rFonts w:ascii="Times New Roman" w:hAnsi="Times New Roman" w:cs="Times New Roman"/>
          <w:vertAlign w:val="subscript"/>
        </w:rPr>
        <w:t>m</w:t>
      </w:r>
      <w:r w:rsidRPr="000F5F0B">
        <w:rPr>
          <w:rFonts w:ascii="Times New Roman" w:hAnsi="Times New Roman" w:cs="Times New Roman"/>
        </w:rPr>
        <w:t xml:space="preserve"> is the shallow regression tree fitted at stage </w:t>
      </w:r>
      <w:r w:rsidRPr="000F5F0B">
        <w:rPr>
          <w:rFonts w:ascii="Times New Roman" w:hAnsi="Times New Roman" w:cs="Times New Roman"/>
          <w:i/>
          <w:iCs/>
        </w:rPr>
        <w:t>m</w:t>
      </w:r>
      <w:r w:rsidRPr="000F5F0B">
        <w:rPr>
          <w:rFonts w:ascii="Times New Roman" w:hAnsi="Times New Roman" w:cs="Times New Roman"/>
        </w:rPr>
        <w:t xml:space="preserve"> (maximum depth = 3). GBR as implemented here (scikit-</w:t>
      </w:r>
      <w:proofErr w:type="spellStart"/>
      <w:r w:rsidRPr="000F5F0B">
        <w:rPr>
          <w:rFonts w:ascii="Times New Roman" w:hAnsi="Times New Roman" w:cs="Times New Roman"/>
        </w:rPr>
        <w:t>learn's</w:t>
      </w:r>
      <w:proofErr w:type="spellEnd"/>
      <w:r w:rsidRPr="000F5F0B">
        <w:rPr>
          <w:rFonts w:ascii="Times New Roman" w:hAnsi="Times New Roman" w:cs="Times New Roman"/>
        </w:rPr>
        <w:t xml:space="preserve"> </w:t>
      </w:r>
      <w:r w:rsidRPr="000F5F0B">
        <w:rPr>
          <w:rFonts w:ascii="Times New Roman" w:hAnsi="Times New Roman" w:cs="Times New Roman"/>
          <w:i/>
          <w:iCs/>
        </w:rPr>
        <w:t>GradientBoostingRegressor</w:t>
      </w:r>
      <w:r w:rsidRPr="000F5F0B">
        <w:rPr>
          <w:rFonts w:ascii="Times New Roman" w:hAnsi="Times New Roman" w:cs="Times New Roman"/>
        </w:rPr>
        <w:t xml:space="preserve">) follows the same gradient-boosted decision-tree principle as </w:t>
      </w:r>
      <w:proofErr w:type="spellStart"/>
      <w:r w:rsidRPr="000F5F0B">
        <w:rPr>
          <w:rFonts w:ascii="Times New Roman" w:hAnsi="Times New Roman" w:cs="Times New Roman"/>
        </w:rPr>
        <w:t>XGBoost</w:t>
      </w:r>
      <w:proofErr w:type="spellEnd"/>
      <w:r w:rsidRPr="000F5F0B">
        <w:rPr>
          <w:rFonts w:ascii="Times New Roman" w:hAnsi="Times New Roman" w:cs="Times New Roman"/>
        </w:rPr>
        <w:t xml:space="preserve"> (</w:t>
      </w:r>
      <w:hyperlink w:anchor="chenguestrin2016" w:history="1">
        <w:r w:rsidRPr="000F5F0B">
          <w:rPr>
            <w:rStyle w:val="Hyperlink"/>
            <w:rFonts w:ascii="Times New Roman" w:hAnsi="Times New Roman" w:cs="Times New Roman"/>
          </w:rPr>
          <w:t>Chen and Guestrin, 2016</w:t>
        </w:r>
      </w:hyperlink>
      <w:r w:rsidRPr="000F5F0B">
        <w:rPr>
          <w:rFonts w:ascii="Times New Roman" w:hAnsi="Times New Roman" w:cs="Times New Roman"/>
        </w:rPr>
        <w:t>), which was not installable in the present offline computational environment; the scikit-learn implementation was therefore used as a like-for-</w:t>
      </w:r>
      <w:r w:rsidRPr="000F5F0B">
        <w:rPr>
          <w:rFonts w:ascii="Times New Roman" w:hAnsi="Times New Roman" w:cs="Times New Roman"/>
        </w:rPr>
        <w:t xml:space="preserve">like substitute and is reported as such rather than under the </w:t>
      </w:r>
      <w:proofErr w:type="spellStart"/>
      <w:r w:rsidRPr="000F5F0B">
        <w:rPr>
          <w:rFonts w:ascii="Times New Roman" w:hAnsi="Times New Roman" w:cs="Times New Roman"/>
        </w:rPr>
        <w:t>XGBoost</w:t>
      </w:r>
      <w:proofErr w:type="spellEnd"/>
      <w:r w:rsidRPr="000F5F0B">
        <w:rPr>
          <w:rFonts w:ascii="Times New Roman" w:hAnsi="Times New Roman" w:cs="Times New Roman"/>
        </w:rPr>
        <w:t xml:space="preserve"> name, consistent with recent calls for transparent reporting of the specific tree-boosting implementation used in agricultural machine-learning studies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 xml:space="preserve">; </w:t>
      </w:r>
      <w:hyperlink w:anchor="chlingaryan2018" w:history="1">
        <w:proofErr w:type="spellStart"/>
        <w:r w:rsidRPr="000F5F0B">
          <w:rPr>
            <w:rStyle w:val="Hyperlink"/>
            <w:rFonts w:ascii="Times New Roman" w:hAnsi="Times New Roman" w:cs="Times New Roman"/>
          </w:rPr>
          <w:t>Chlingaryan</w:t>
        </w:r>
        <w:proofErr w:type="spellEnd"/>
        <w:r w:rsidRPr="000F5F0B">
          <w:rPr>
            <w:rStyle w:val="Hyperlink"/>
            <w:rFonts w:ascii="Times New Roman" w:hAnsi="Times New Roman" w:cs="Times New Roman"/>
          </w:rPr>
          <w:t xml:space="preserve"> et al., 2018</w:t>
        </w:r>
      </w:hyperlink>
      <w:r w:rsidRPr="000F5F0B">
        <w:rPr>
          <w:rFonts w:ascii="Times New Roman" w:hAnsi="Times New Roman" w:cs="Times New Roman"/>
        </w:rPr>
        <w:t xml:space="preserve">). A third, non-tree-based model was additionally trained: a </w:t>
      </w:r>
      <w:r w:rsidRPr="000F5F0B">
        <w:rPr>
          <w:rFonts w:ascii="Times New Roman" w:hAnsi="Times New Roman" w:cs="Times New Roman"/>
          <w:b/>
          <w:bCs/>
        </w:rPr>
        <w:t>Multi-Layer Perceptron (MLP) neural network</w:t>
      </w:r>
      <w:r w:rsidRPr="000F5F0B">
        <w:rPr>
          <w:rFonts w:ascii="Times New Roman" w:hAnsi="Times New Roman" w:cs="Times New Roman"/>
        </w:rPr>
        <w:t xml:space="preserve"> with two hidden layers (32 and 16 units, </w:t>
      </w:r>
      <w:proofErr w:type="spellStart"/>
      <w:r w:rsidRPr="000F5F0B">
        <w:rPr>
          <w:rFonts w:ascii="Times New Roman" w:hAnsi="Times New Roman" w:cs="Times New Roman"/>
        </w:rPr>
        <w:t>ReLU</w:t>
      </w:r>
      <w:proofErr w:type="spellEnd"/>
      <w:r w:rsidRPr="000F5F0B">
        <w:rPr>
          <w:rFonts w:ascii="Times New Roman" w:hAnsi="Times New Roman" w:cs="Times New Roman"/>
        </w:rPr>
        <w:t xml:space="preserve"> activation), trained by the Adam stochastic gradient </w:t>
      </w:r>
      <w:proofErr w:type="spellStart"/>
      <w:r w:rsidRPr="000F5F0B">
        <w:rPr>
          <w:rFonts w:ascii="Times New Roman" w:hAnsi="Times New Roman" w:cs="Times New Roman"/>
        </w:rPr>
        <w:t>optimiser</w:t>
      </w:r>
      <w:proofErr w:type="spellEnd"/>
      <w:r w:rsidRPr="000F5F0B">
        <w:rPr>
          <w:rFonts w:ascii="Times New Roman" w:hAnsi="Times New Roman" w:cs="Times New Roman"/>
        </w:rPr>
        <w:t xml:space="preserve"> with early stopping. Each hidden unit computes:</w:t>
      </w:r>
    </w:p>
    <w:p w14:paraId="3F68DA1E"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24D27424" w14:textId="70B4F91D"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proofErr w:type="spellStart"/>
      <w:r w:rsidRPr="000F5F0B">
        <w:rPr>
          <w:rFonts w:ascii="Times New Roman" w:hAnsi="Times New Roman" w:cs="Times New Roman"/>
          <w:i/>
          <w:iCs/>
        </w:rPr>
        <w:t>h</w:t>
      </w:r>
      <w:r w:rsidRPr="000F5F0B">
        <w:rPr>
          <w:rFonts w:ascii="Times New Roman" w:hAnsi="Times New Roman" w:cs="Times New Roman"/>
          <w:vertAlign w:val="subscript"/>
        </w:rPr>
        <w:t>j</w:t>
      </w:r>
      <w:proofErr w:type="spellEnd"/>
      <w:r w:rsidRPr="000F5F0B">
        <w:rPr>
          <w:rFonts w:ascii="Times New Roman" w:hAnsi="Times New Roman" w:cs="Times New Roman"/>
        </w:rPr>
        <w:t xml:space="preserve"> = </w:t>
      </w:r>
      <w:r w:rsidRPr="000F5F0B">
        <w:rPr>
          <w:rFonts w:ascii="Times New Roman" w:hAnsi="Times New Roman" w:cs="Times New Roman"/>
          <w:i/>
          <w:iCs/>
        </w:rPr>
        <w:t>φ</w:t>
      </w:r>
      <w:r w:rsidRPr="000F5F0B">
        <w:rPr>
          <w:rFonts w:ascii="Times New Roman" w:hAnsi="Times New Roman" w:cs="Times New Roman"/>
        </w:rPr>
        <w:t>(</w:t>
      </w:r>
      <w:proofErr w:type="spellStart"/>
      <w:r w:rsidRPr="000F5F0B">
        <w:rPr>
          <w:rFonts w:ascii="Times New Roman" w:hAnsi="Times New Roman" w:cs="Times New Roman"/>
          <w:i/>
          <w:iCs/>
        </w:rPr>
        <w:t>Σ</w:t>
      </w:r>
      <w:r w:rsidRPr="000F5F0B">
        <w:rPr>
          <w:rFonts w:ascii="Times New Roman" w:hAnsi="Times New Roman" w:cs="Times New Roman"/>
          <w:vertAlign w:val="subscript"/>
        </w:rPr>
        <w:t>k</w:t>
      </w:r>
      <w:proofErr w:type="spellEnd"/>
      <w:r w:rsidRPr="000F5F0B">
        <w:rPr>
          <w:rFonts w:ascii="Times New Roman" w:hAnsi="Times New Roman" w:cs="Times New Roman"/>
        </w:rPr>
        <w:t xml:space="preserve"> </w:t>
      </w:r>
      <w:proofErr w:type="spellStart"/>
      <w:r w:rsidRPr="000F5F0B">
        <w:rPr>
          <w:rFonts w:ascii="Times New Roman" w:hAnsi="Times New Roman" w:cs="Times New Roman"/>
          <w:i/>
          <w:iCs/>
        </w:rPr>
        <w:t>w</w:t>
      </w:r>
      <w:r w:rsidRPr="000F5F0B">
        <w:rPr>
          <w:rFonts w:ascii="Times New Roman" w:hAnsi="Times New Roman" w:cs="Times New Roman"/>
          <w:vertAlign w:val="subscript"/>
        </w:rPr>
        <w:t>jk</w:t>
      </w:r>
      <w:r w:rsidRPr="000F5F0B">
        <w:rPr>
          <w:rFonts w:ascii="Times New Roman" w:hAnsi="Times New Roman" w:cs="Times New Roman"/>
          <w:i/>
          <w:iCs/>
        </w:rPr>
        <w:t>x</w:t>
      </w:r>
      <w:r w:rsidRPr="000F5F0B">
        <w:rPr>
          <w:rFonts w:ascii="Times New Roman" w:hAnsi="Times New Roman" w:cs="Times New Roman"/>
          <w:vertAlign w:val="subscript"/>
        </w:rPr>
        <w:t>k</w:t>
      </w:r>
      <w:proofErr w:type="spellEnd"/>
      <w:r w:rsidRPr="000F5F0B">
        <w:rPr>
          <w:rFonts w:ascii="Times New Roman" w:hAnsi="Times New Roman" w:cs="Times New Roman"/>
        </w:rPr>
        <w:t xml:space="preserve"> + </w:t>
      </w:r>
      <w:proofErr w:type="spellStart"/>
      <w:r w:rsidRPr="000F5F0B">
        <w:rPr>
          <w:rFonts w:ascii="Times New Roman" w:hAnsi="Times New Roman" w:cs="Times New Roman"/>
          <w:i/>
          <w:iCs/>
        </w:rPr>
        <w:t>b</w:t>
      </w:r>
      <w:r w:rsidRPr="000F5F0B">
        <w:rPr>
          <w:rFonts w:ascii="Times New Roman" w:hAnsi="Times New Roman" w:cs="Times New Roman"/>
          <w:vertAlign w:val="subscript"/>
        </w:rPr>
        <w:t>j</w:t>
      </w:r>
      <w:proofErr w:type="spellEnd"/>
      <w:r w:rsidRPr="000F5F0B">
        <w:rPr>
          <w:rFonts w:ascii="Times New Roman" w:hAnsi="Times New Roman" w:cs="Times New Roman"/>
        </w:rPr>
        <w:t>),</w:t>
      </w:r>
      <w:r w:rsidR="000F5F0B">
        <w:rPr>
          <w:rFonts w:ascii="Times New Roman" w:hAnsi="Times New Roman" w:cs="Times New Roman"/>
        </w:rPr>
        <w:t xml:space="preserve"> </w:t>
      </w:r>
      <w:r w:rsidRPr="000F5F0B">
        <w:rPr>
          <w:rFonts w:ascii="Times New Roman" w:hAnsi="Times New Roman" w:cs="Times New Roman"/>
          <w:i/>
          <w:iCs/>
        </w:rPr>
        <w:t>φ</w:t>
      </w:r>
      <w:r w:rsidRPr="000F5F0B">
        <w:rPr>
          <w:rFonts w:ascii="Times New Roman" w:hAnsi="Times New Roman" w:cs="Times New Roman"/>
        </w:rPr>
        <w:t>(</w:t>
      </w:r>
      <w:r w:rsidRPr="000F5F0B">
        <w:rPr>
          <w:rFonts w:ascii="Times New Roman" w:hAnsi="Times New Roman" w:cs="Times New Roman"/>
          <w:i/>
          <w:iCs/>
        </w:rPr>
        <w:t>z</w:t>
      </w:r>
      <w:r w:rsidRPr="000F5F0B">
        <w:rPr>
          <w:rFonts w:ascii="Times New Roman" w:hAnsi="Times New Roman" w:cs="Times New Roman"/>
        </w:rPr>
        <w:t xml:space="preserve">) = max(0, </w:t>
      </w:r>
      <w:r w:rsidRPr="000F5F0B">
        <w:rPr>
          <w:rFonts w:ascii="Times New Roman" w:hAnsi="Times New Roman" w:cs="Times New Roman"/>
          <w:i/>
          <w:iCs/>
        </w:rPr>
        <w:t>z</w:t>
      </w:r>
      <w:r w:rsidRPr="000F5F0B">
        <w:rPr>
          <w:rFonts w:ascii="Times New Roman" w:hAnsi="Times New Roman" w:cs="Times New Roman"/>
        </w:rPr>
        <w:t>)</w:t>
      </w:r>
      <w:r w:rsidRPr="000F5F0B">
        <w:rPr>
          <w:rFonts w:ascii="Times New Roman" w:hAnsi="Times New Roman" w:cs="Times New Roman"/>
        </w:rPr>
        <w:tab/>
        <w:t>(10)</w:t>
      </w:r>
    </w:p>
    <w:p w14:paraId="3484971A"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38BE6025"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proofErr w:type="spellStart"/>
      <w:r w:rsidRPr="000F5F0B">
        <w:rPr>
          <w:rFonts w:ascii="Times New Roman" w:hAnsi="Times New Roman" w:cs="Times New Roman"/>
          <w:i/>
          <w:iCs/>
        </w:rPr>
        <w:t>x</w:t>
      </w:r>
      <w:r w:rsidRPr="000F5F0B">
        <w:rPr>
          <w:rFonts w:ascii="Times New Roman" w:hAnsi="Times New Roman" w:cs="Times New Roman"/>
          <w:vertAlign w:val="subscript"/>
        </w:rPr>
        <w:t>k</w:t>
      </w:r>
      <w:proofErr w:type="spellEnd"/>
      <w:r w:rsidRPr="000F5F0B">
        <w:rPr>
          <w:rFonts w:ascii="Times New Roman" w:hAnsi="Times New Roman" w:cs="Times New Roman"/>
        </w:rPr>
        <w:t xml:space="preserve"> are the (</w:t>
      </w:r>
      <w:proofErr w:type="spellStart"/>
      <w:r w:rsidRPr="000F5F0B">
        <w:rPr>
          <w:rFonts w:ascii="Times New Roman" w:hAnsi="Times New Roman" w:cs="Times New Roman"/>
        </w:rPr>
        <w:t>standardised</w:t>
      </w:r>
      <w:proofErr w:type="spellEnd"/>
      <w:r w:rsidRPr="000F5F0B">
        <w:rPr>
          <w:rFonts w:ascii="Times New Roman" w:hAnsi="Times New Roman" w:cs="Times New Roman"/>
        </w:rPr>
        <w:t xml:space="preserve">) input features, </w:t>
      </w:r>
      <w:proofErr w:type="spellStart"/>
      <w:r w:rsidRPr="000F5F0B">
        <w:rPr>
          <w:rFonts w:ascii="Times New Roman" w:hAnsi="Times New Roman" w:cs="Times New Roman"/>
          <w:i/>
          <w:iCs/>
        </w:rPr>
        <w:t>w</w:t>
      </w:r>
      <w:r w:rsidRPr="000F5F0B">
        <w:rPr>
          <w:rFonts w:ascii="Times New Roman" w:hAnsi="Times New Roman" w:cs="Times New Roman"/>
          <w:vertAlign w:val="subscript"/>
        </w:rPr>
        <w:t>jk</w:t>
      </w:r>
      <w:proofErr w:type="spellEnd"/>
      <w:r w:rsidRPr="000F5F0B">
        <w:rPr>
          <w:rFonts w:ascii="Times New Roman" w:hAnsi="Times New Roman" w:cs="Times New Roman"/>
        </w:rPr>
        <w:t xml:space="preserve"> and </w:t>
      </w:r>
      <w:proofErr w:type="spellStart"/>
      <w:r w:rsidRPr="000F5F0B">
        <w:rPr>
          <w:rFonts w:ascii="Times New Roman" w:hAnsi="Times New Roman" w:cs="Times New Roman"/>
          <w:i/>
          <w:iCs/>
        </w:rPr>
        <w:t>b</w:t>
      </w:r>
      <w:r w:rsidRPr="000F5F0B">
        <w:rPr>
          <w:rFonts w:ascii="Times New Roman" w:hAnsi="Times New Roman" w:cs="Times New Roman"/>
          <w:vertAlign w:val="subscript"/>
        </w:rPr>
        <w:t>j</w:t>
      </w:r>
      <w:proofErr w:type="spellEnd"/>
      <w:r w:rsidRPr="000F5F0B">
        <w:rPr>
          <w:rFonts w:ascii="Times New Roman" w:hAnsi="Times New Roman" w:cs="Times New Roman"/>
        </w:rPr>
        <w:t xml:space="preserve"> are the learned weights and bias of hidden unit </w:t>
      </w:r>
      <w:r w:rsidRPr="000F5F0B">
        <w:rPr>
          <w:rFonts w:ascii="Times New Roman" w:hAnsi="Times New Roman" w:cs="Times New Roman"/>
          <w:i/>
          <w:iCs/>
        </w:rPr>
        <w:t>j</w:t>
      </w:r>
      <w:r w:rsidRPr="000F5F0B">
        <w:rPr>
          <w:rFonts w:ascii="Times New Roman" w:hAnsi="Times New Roman" w:cs="Times New Roman"/>
        </w:rPr>
        <w:t xml:space="preserve">, and </w:t>
      </w:r>
      <w:r w:rsidRPr="000F5F0B">
        <w:rPr>
          <w:rFonts w:ascii="Times New Roman" w:hAnsi="Times New Roman" w:cs="Times New Roman"/>
          <w:i/>
          <w:iCs/>
        </w:rPr>
        <w:t>φ</w:t>
      </w:r>
      <w:r w:rsidRPr="000F5F0B">
        <w:rPr>
          <w:rFonts w:ascii="Times New Roman" w:hAnsi="Times New Roman" w:cs="Times New Roman"/>
        </w:rPr>
        <w:t xml:space="preserve"> is the rectified-linear (</w:t>
      </w:r>
      <w:proofErr w:type="spellStart"/>
      <w:r w:rsidRPr="000F5F0B">
        <w:rPr>
          <w:rFonts w:ascii="Times New Roman" w:hAnsi="Times New Roman" w:cs="Times New Roman"/>
        </w:rPr>
        <w:t>ReLU</w:t>
      </w:r>
      <w:proofErr w:type="spellEnd"/>
      <w:r w:rsidRPr="000F5F0B">
        <w:rPr>
          <w:rFonts w:ascii="Times New Roman" w:hAnsi="Times New Roman" w:cs="Times New Roman"/>
        </w:rPr>
        <w:t xml:space="preserve">) activation function. Finally, a </w:t>
      </w:r>
      <w:r w:rsidRPr="000F5F0B">
        <w:rPr>
          <w:rFonts w:ascii="Times New Roman" w:hAnsi="Times New Roman" w:cs="Times New Roman"/>
          <w:b/>
          <w:bCs/>
        </w:rPr>
        <w:t xml:space="preserve">Stacking </w:t>
      </w:r>
      <w:r w:rsidRPr="000F5F0B">
        <w:rPr>
          <w:rFonts w:ascii="Times New Roman" w:hAnsi="Times New Roman" w:cs="Times New Roman"/>
          <w:b/>
          <w:bCs/>
        </w:rPr>
        <w:t>Ensemble</w:t>
      </w:r>
      <w:r w:rsidRPr="000F5F0B">
        <w:rPr>
          <w:rFonts w:ascii="Times New Roman" w:hAnsi="Times New Roman" w:cs="Times New Roman"/>
        </w:rPr>
        <w:t xml:space="preserve"> meta-learner combined the out-of-fold predictions of RFR, GBR, and the MLP using ridge-</w:t>
      </w:r>
      <w:proofErr w:type="spellStart"/>
      <w:r w:rsidRPr="000F5F0B">
        <w:rPr>
          <w:rFonts w:ascii="Times New Roman" w:hAnsi="Times New Roman" w:cs="Times New Roman"/>
        </w:rPr>
        <w:t>regularised</w:t>
      </w:r>
      <w:proofErr w:type="spellEnd"/>
      <w:r w:rsidRPr="000F5F0B">
        <w:rPr>
          <w:rFonts w:ascii="Times New Roman" w:hAnsi="Times New Roman" w:cs="Times New Roman"/>
        </w:rPr>
        <w:t xml:space="preserve"> linear regression as the second-stage (meta) model:</w:t>
      </w:r>
    </w:p>
    <w:p w14:paraId="5DA590FE"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7A7B47D3"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proofErr w:type="spellStart"/>
      <w:r w:rsidRPr="000F5F0B">
        <w:rPr>
          <w:rFonts w:ascii="Times New Roman" w:hAnsi="Times New Roman" w:cs="Times New Roman"/>
          <w:i/>
          <w:iCs/>
        </w:rPr>
        <w:t>f̂</w:t>
      </w:r>
      <w:r w:rsidRPr="000F5F0B">
        <w:rPr>
          <w:rFonts w:ascii="Times New Roman" w:hAnsi="Times New Roman" w:cs="Times New Roman"/>
          <w:vertAlign w:val="subscript"/>
        </w:rPr>
        <w:t>stack</w:t>
      </w:r>
      <w:proofErr w:type="spellEnd"/>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xml:space="preserve">) = </w:t>
      </w:r>
      <w:r w:rsidRPr="000F5F0B">
        <w:rPr>
          <w:rFonts w:ascii="Times New Roman" w:hAnsi="Times New Roman" w:cs="Times New Roman"/>
          <w:i/>
          <w:iCs/>
        </w:rPr>
        <w:t>α</w:t>
      </w:r>
      <w:r w:rsidRPr="000F5F0B">
        <w:rPr>
          <w:rFonts w:ascii="Times New Roman" w:hAnsi="Times New Roman" w:cs="Times New Roman"/>
          <w:vertAlign w:val="subscript"/>
        </w:rPr>
        <w:t>0</w:t>
      </w:r>
      <w:r w:rsidRPr="000F5F0B">
        <w:rPr>
          <w:rFonts w:ascii="Times New Roman" w:hAnsi="Times New Roman" w:cs="Times New Roman"/>
        </w:rPr>
        <w:t xml:space="preserve"> + </w:t>
      </w:r>
      <w:r w:rsidRPr="000F5F0B">
        <w:rPr>
          <w:rFonts w:ascii="Times New Roman" w:hAnsi="Times New Roman" w:cs="Times New Roman"/>
          <w:i/>
          <w:iCs/>
        </w:rPr>
        <w:t>α</w:t>
      </w:r>
      <w:r w:rsidRPr="000F5F0B">
        <w:rPr>
          <w:rFonts w:ascii="Times New Roman" w:hAnsi="Times New Roman" w:cs="Times New Roman"/>
          <w:vertAlign w:val="subscript"/>
        </w:rPr>
        <w:t>1</w:t>
      </w:r>
      <w:r w:rsidRPr="000F5F0B">
        <w:rPr>
          <w:rFonts w:ascii="Times New Roman" w:hAnsi="Times New Roman" w:cs="Times New Roman"/>
          <w:i/>
          <w:iCs/>
        </w:rPr>
        <w:t>f̂</w:t>
      </w:r>
      <w:r w:rsidRPr="000F5F0B">
        <w:rPr>
          <w:rFonts w:ascii="Times New Roman" w:hAnsi="Times New Roman" w:cs="Times New Roman"/>
          <w:vertAlign w:val="subscript"/>
        </w:rPr>
        <w:t>RF</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xml:space="preserve">) + </w:t>
      </w:r>
      <w:r w:rsidRPr="000F5F0B">
        <w:rPr>
          <w:rFonts w:ascii="Times New Roman" w:hAnsi="Times New Roman" w:cs="Times New Roman"/>
          <w:i/>
          <w:iCs/>
        </w:rPr>
        <w:t>α</w:t>
      </w:r>
      <w:r w:rsidRPr="000F5F0B">
        <w:rPr>
          <w:rFonts w:ascii="Times New Roman" w:hAnsi="Times New Roman" w:cs="Times New Roman"/>
          <w:vertAlign w:val="subscript"/>
        </w:rPr>
        <w:t>2</w:t>
      </w:r>
      <w:r w:rsidRPr="000F5F0B">
        <w:rPr>
          <w:rFonts w:ascii="Times New Roman" w:hAnsi="Times New Roman" w:cs="Times New Roman"/>
          <w:i/>
          <w:iCs/>
        </w:rPr>
        <w:t>f̂</w:t>
      </w:r>
      <w:r w:rsidRPr="000F5F0B">
        <w:rPr>
          <w:rFonts w:ascii="Times New Roman" w:hAnsi="Times New Roman" w:cs="Times New Roman"/>
          <w:vertAlign w:val="subscript"/>
        </w:rPr>
        <w:t>GB</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xml:space="preserve">) + </w:t>
      </w:r>
      <w:r w:rsidRPr="000F5F0B">
        <w:rPr>
          <w:rFonts w:ascii="Times New Roman" w:hAnsi="Times New Roman" w:cs="Times New Roman"/>
          <w:i/>
          <w:iCs/>
        </w:rPr>
        <w:t>α</w:t>
      </w:r>
      <w:r w:rsidRPr="000F5F0B">
        <w:rPr>
          <w:rFonts w:ascii="Times New Roman" w:hAnsi="Times New Roman" w:cs="Times New Roman"/>
          <w:vertAlign w:val="subscript"/>
        </w:rPr>
        <w:t>3</w:t>
      </w:r>
      <w:r w:rsidRPr="000F5F0B">
        <w:rPr>
          <w:rFonts w:ascii="Times New Roman" w:hAnsi="Times New Roman" w:cs="Times New Roman"/>
          <w:i/>
          <w:iCs/>
        </w:rPr>
        <w:t>f̂</w:t>
      </w:r>
      <w:r w:rsidRPr="000F5F0B">
        <w:rPr>
          <w:rFonts w:ascii="Times New Roman" w:hAnsi="Times New Roman" w:cs="Times New Roman"/>
          <w:vertAlign w:val="subscript"/>
        </w:rPr>
        <w:t>NN</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w:t>
      </w:r>
      <w:r w:rsidRPr="000F5F0B">
        <w:rPr>
          <w:rFonts w:ascii="Times New Roman" w:hAnsi="Times New Roman" w:cs="Times New Roman"/>
        </w:rPr>
        <w:tab/>
        <w:t>(11)</w:t>
      </w:r>
    </w:p>
    <w:p w14:paraId="33B8443B"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67F686E"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with the meta-coefficients </w:t>
      </w:r>
      <w:r w:rsidRPr="000F5F0B">
        <w:rPr>
          <w:rFonts w:ascii="Times New Roman" w:hAnsi="Times New Roman" w:cs="Times New Roman"/>
          <w:i/>
          <w:iCs/>
        </w:rPr>
        <w:t>α</w:t>
      </w:r>
      <w:r w:rsidRPr="000F5F0B">
        <w:rPr>
          <w:rFonts w:ascii="Times New Roman" w:hAnsi="Times New Roman" w:cs="Times New Roman"/>
        </w:rPr>
        <w:t xml:space="preserve"> fitted by ridge regression with the </w:t>
      </w:r>
      <w:proofErr w:type="spellStart"/>
      <w:r w:rsidRPr="000F5F0B">
        <w:rPr>
          <w:rFonts w:ascii="Times New Roman" w:hAnsi="Times New Roman" w:cs="Times New Roman"/>
        </w:rPr>
        <w:t>regularisation</w:t>
      </w:r>
      <w:proofErr w:type="spellEnd"/>
      <w:r w:rsidRPr="000F5F0B">
        <w:rPr>
          <w:rFonts w:ascii="Times New Roman" w:hAnsi="Times New Roman" w:cs="Times New Roman"/>
        </w:rPr>
        <w:t xml:space="preserve"> strength selected by internal 3-fold cross-validation (</w:t>
      </w:r>
      <w:proofErr w:type="spellStart"/>
      <w:r w:rsidRPr="000F5F0B">
        <w:rPr>
          <w:rFonts w:ascii="Times New Roman" w:hAnsi="Times New Roman" w:cs="Times New Roman"/>
          <w:i/>
          <w:iCs/>
        </w:rPr>
        <w:t>RidgeCV</w:t>
      </w:r>
      <w:proofErr w:type="spellEnd"/>
      <w:r w:rsidRPr="000F5F0B">
        <w:rPr>
          <w:rFonts w:ascii="Times New Roman" w:hAnsi="Times New Roman" w:cs="Times New Roman"/>
        </w:rPr>
        <w:t>), following the general stacked-</w:t>
      </w:r>
      <w:proofErr w:type="spellStart"/>
      <w:r w:rsidRPr="000F5F0B">
        <w:rPr>
          <w:rFonts w:ascii="Times New Roman" w:hAnsi="Times New Roman" w:cs="Times New Roman"/>
        </w:rPr>
        <w:t>generalisation</w:t>
      </w:r>
      <w:proofErr w:type="spellEnd"/>
      <w:r w:rsidRPr="000F5F0B">
        <w:rPr>
          <w:rFonts w:ascii="Times New Roman" w:hAnsi="Times New Roman" w:cs="Times New Roman"/>
        </w:rPr>
        <w:t xml:space="preserve"> approach increasingly used to combine complementary base learners in precision-agriculture machine-learning applications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w:t>
      </w:r>
    </w:p>
    <w:p w14:paraId="3F1E4AC0" w14:textId="77777777" w:rsidR="00923BD4" w:rsidRDefault="00923BD4">
      <w:pPr>
        <w:pStyle w:val="Heading3"/>
        <w:spacing w:before="200" w:after="12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40D62AB0" w14:textId="77777777" w:rsidR="00ED74D0" w:rsidRPr="000F5F0B" w:rsidRDefault="00000000">
      <w:pPr>
        <w:pStyle w:val="Heading3"/>
        <w:spacing w:before="200" w:after="120"/>
        <w:rPr>
          <w:rFonts w:ascii="Times New Roman" w:hAnsi="Times New Roman" w:cs="Times New Roman"/>
        </w:rPr>
      </w:pPr>
      <w:r w:rsidRPr="000F5F0B">
        <w:rPr>
          <w:rFonts w:ascii="Times New Roman" w:hAnsi="Times New Roman" w:cs="Times New Roman"/>
        </w:rPr>
        <w:t>2.5.2 Residual Kriging</w:t>
      </w:r>
    </w:p>
    <w:p w14:paraId="73307CE6"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For the two tree-ensemble trend models (RFR, GBR), residual kriging was additionally applied. </w:t>
      </w:r>
      <w:r w:rsidRPr="000F5F0B">
        <w:rPr>
          <w:rFonts w:ascii="Times New Roman" w:hAnsi="Times New Roman" w:cs="Times New Roman"/>
        </w:rPr>
        <w:t>Regression-kriging (RK) expresses the target variable as the sum of a deterministic trend and a spatially correlated stochastic residual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w:t>
      </w:r>
    </w:p>
    <w:p w14:paraId="08266DE3"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26347107" w14:textId="63E2E3DF"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rPr>
        <w:tab/>
      </w:r>
      <w:r w:rsidRPr="000F5F0B">
        <w:rPr>
          <w:rFonts w:ascii="Times New Roman" w:hAnsi="Times New Roman" w:cs="Times New Roman"/>
          <w:i/>
          <w:iCs/>
          <w:lang w:val="pt-BR"/>
        </w:rPr>
        <w:t>Z</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lang w:val="pt-BR"/>
        </w:rPr>
        <w:t xml:space="preserve">) = </w:t>
      </w:r>
      <w:r w:rsidRPr="000F5F0B">
        <w:rPr>
          <w:rFonts w:ascii="Times New Roman" w:hAnsi="Times New Roman" w:cs="Times New Roman"/>
          <w:i/>
          <w:iCs/>
          <w:lang w:val="pt-BR"/>
        </w:rPr>
        <w:t>m</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lang w:val="pt-BR"/>
        </w:rPr>
        <w:t xml:space="preserve">) + </w:t>
      </w:r>
      <w:r w:rsidRPr="000F5F0B">
        <w:rPr>
          <w:rFonts w:ascii="Times New Roman" w:hAnsi="Times New Roman" w:cs="Times New Roman"/>
          <w:i/>
          <w:iCs/>
          <w:lang w:val="pt-BR"/>
        </w:rPr>
        <w:t>e</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lang w:val="pt-BR"/>
        </w:rPr>
        <w:t>),</w:t>
      </w:r>
      <w:r w:rsidR="000F5F0B">
        <w:rPr>
          <w:rFonts w:ascii="Times New Roman" w:hAnsi="Times New Roman" w:cs="Times New Roman"/>
          <w:lang w:val="pt-BR"/>
        </w:rPr>
        <w:t xml:space="preserve"> </w:t>
      </w:r>
      <w:r w:rsidRPr="000F5F0B">
        <w:rPr>
          <w:rFonts w:ascii="Times New Roman" w:hAnsi="Times New Roman" w:cs="Times New Roman"/>
          <w:i/>
          <w:iCs/>
          <w:lang w:val="pt-BR"/>
        </w:rPr>
        <w:t>m̂</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perscript"/>
          <w:lang w:val="pt-BR"/>
        </w:rPr>
        <w:t>0</w:t>
      </w:r>
      <w:r w:rsidRPr="000F5F0B">
        <w:rPr>
          <w:rFonts w:ascii="Times New Roman" w:hAnsi="Times New Roman" w:cs="Times New Roman"/>
          <w:lang w:val="pt-BR"/>
        </w:rPr>
        <w:t xml:space="preserve">) = </w:t>
      </w:r>
      <w:r w:rsidRPr="000F5F0B">
        <w:rPr>
          <w:rFonts w:ascii="Times New Roman" w:hAnsi="Times New Roman" w:cs="Times New Roman"/>
          <w:i/>
          <w:iCs/>
          <w:lang w:val="pt-BR"/>
        </w:rPr>
        <w:t>f̂</w:t>
      </w:r>
      <w:r w:rsidRPr="000F5F0B">
        <w:rPr>
          <w:rFonts w:ascii="Times New Roman" w:hAnsi="Times New Roman" w:cs="Times New Roman"/>
          <w:lang w:val="pt-BR"/>
        </w:rPr>
        <w:t>(</w:t>
      </w:r>
      <w:r w:rsidRPr="000F5F0B">
        <w:rPr>
          <w:rFonts w:ascii="Times New Roman" w:hAnsi="Times New Roman" w:cs="Times New Roman"/>
          <w:i/>
          <w:iCs/>
          <w:lang w:val="pt-BR"/>
        </w:rPr>
        <w:t>x</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perscript"/>
          <w:lang w:val="pt-BR"/>
        </w:rPr>
        <w:t>0</w:t>
      </w:r>
      <w:r w:rsidRPr="000F5F0B">
        <w:rPr>
          <w:rFonts w:ascii="Times New Roman" w:hAnsi="Times New Roman" w:cs="Times New Roman"/>
          <w:lang w:val="pt-BR"/>
        </w:rPr>
        <w:t xml:space="preserve">)) + </w:t>
      </w:r>
      <w:r w:rsidRPr="000F5F0B">
        <w:rPr>
          <w:rFonts w:ascii="Times New Roman" w:hAnsi="Times New Roman" w:cs="Times New Roman"/>
          <w:i/>
          <w:iCs/>
          <w:lang w:val="pt-BR"/>
        </w:rPr>
        <w:t>ê</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perscript"/>
          <w:lang w:val="pt-BR"/>
        </w:rPr>
        <w:t>0</w:t>
      </w:r>
      <w:r w:rsidRPr="000F5F0B">
        <w:rPr>
          <w:rFonts w:ascii="Times New Roman" w:hAnsi="Times New Roman" w:cs="Times New Roman"/>
          <w:lang w:val="pt-BR"/>
        </w:rPr>
        <w:t>)</w:t>
      </w:r>
      <w:r w:rsidRPr="000F5F0B">
        <w:rPr>
          <w:rFonts w:ascii="Times New Roman" w:hAnsi="Times New Roman" w:cs="Times New Roman"/>
          <w:lang w:val="pt-BR"/>
        </w:rPr>
        <w:tab/>
        <w:t>(12)</w:t>
      </w:r>
    </w:p>
    <w:p w14:paraId="4552518A"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44E0DB8E"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r w:rsidRPr="000F5F0B">
        <w:rPr>
          <w:rFonts w:ascii="Times New Roman" w:hAnsi="Times New Roman" w:cs="Times New Roman"/>
          <w:i/>
          <w:iCs/>
        </w:rPr>
        <w:t>m</w:t>
      </w:r>
      <w:r w:rsidRPr="000F5F0B">
        <w:rPr>
          <w:rFonts w:ascii="Times New Roman" w:hAnsi="Times New Roman" w:cs="Times New Roman"/>
        </w:rPr>
        <w:t>(</w:t>
      </w:r>
      <w:r w:rsidRPr="000F5F0B">
        <w:rPr>
          <w:rFonts w:ascii="Times New Roman" w:hAnsi="Times New Roman" w:cs="Times New Roman"/>
          <w:i/>
          <w:iCs/>
        </w:rPr>
        <w:t>s</w:t>
      </w:r>
      <w:r w:rsidRPr="000F5F0B">
        <w:rPr>
          <w:rFonts w:ascii="Times New Roman" w:hAnsi="Times New Roman" w:cs="Times New Roman"/>
        </w:rPr>
        <w:t xml:space="preserve">) is the trend component predicted by the machine-learning regressor </w:t>
      </w:r>
      <w:r w:rsidRPr="000F5F0B">
        <w:rPr>
          <w:rFonts w:ascii="Times New Roman" w:hAnsi="Times New Roman" w:cs="Times New Roman"/>
          <w:i/>
          <w:iCs/>
        </w:rPr>
        <w:t>f̂</w:t>
      </w:r>
      <w:r w:rsidRPr="000F5F0B">
        <w:rPr>
          <w:rFonts w:ascii="Times New Roman" w:hAnsi="Times New Roman" w:cs="Times New Roman"/>
        </w:rPr>
        <w:t xml:space="preserve"> from the auxiliary covariates </w:t>
      </w:r>
      <w:r w:rsidRPr="000F5F0B">
        <w:rPr>
          <w:rFonts w:ascii="Times New Roman" w:hAnsi="Times New Roman" w:cs="Times New Roman"/>
          <w:i/>
          <w:iCs/>
        </w:rPr>
        <w:t>x</w:t>
      </w:r>
      <w:r w:rsidRPr="000F5F0B">
        <w:rPr>
          <w:rFonts w:ascii="Times New Roman" w:hAnsi="Times New Roman" w:cs="Times New Roman"/>
        </w:rPr>
        <w:t>(</w:t>
      </w:r>
      <w:r w:rsidRPr="000F5F0B">
        <w:rPr>
          <w:rFonts w:ascii="Times New Roman" w:hAnsi="Times New Roman" w:cs="Times New Roman"/>
          <w:i/>
          <w:iCs/>
        </w:rPr>
        <w:t>s</w:t>
      </w:r>
      <w:r w:rsidRPr="000F5F0B">
        <w:rPr>
          <w:rFonts w:ascii="Times New Roman" w:hAnsi="Times New Roman" w:cs="Times New Roman"/>
        </w:rPr>
        <w:t xml:space="preserve">), and </w:t>
      </w:r>
      <w:r w:rsidRPr="000F5F0B">
        <w:rPr>
          <w:rFonts w:ascii="Times New Roman" w:hAnsi="Times New Roman" w:cs="Times New Roman"/>
          <w:i/>
          <w:iCs/>
        </w:rPr>
        <w:t>e</w:t>
      </w:r>
      <w:r w:rsidRPr="000F5F0B">
        <w:rPr>
          <w:rFonts w:ascii="Times New Roman" w:hAnsi="Times New Roman" w:cs="Times New Roman"/>
        </w:rPr>
        <w:t>(</w:t>
      </w:r>
      <w:r w:rsidRPr="000F5F0B">
        <w:rPr>
          <w:rFonts w:ascii="Times New Roman" w:hAnsi="Times New Roman" w:cs="Times New Roman"/>
          <w:i/>
          <w:iCs/>
        </w:rPr>
        <w:t>s</w:t>
      </w:r>
      <w:r w:rsidRPr="000F5F0B">
        <w:rPr>
          <w:rFonts w:ascii="Times New Roman" w:hAnsi="Times New Roman" w:cs="Times New Roman"/>
        </w:rPr>
        <w:t xml:space="preserve">) is the spatially correlated residual, estimated at unsampled locations by ordinary kriging of the training-fold </w:t>
      </w:r>
      <w:r w:rsidRPr="000F5F0B">
        <w:rPr>
          <w:rFonts w:ascii="Times New Roman" w:hAnsi="Times New Roman" w:cs="Times New Roman"/>
        </w:rPr>
        <w:t xml:space="preserve">residuals. For each cross-validation fold, an experimental </w:t>
      </w:r>
      <w:proofErr w:type="spellStart"/>
      <w:r w:rsidRPr="000F5F0B">
        <w:rPr>
          <w:rFonts w:ascii="Times New Roman" w:hAnsi="Times New Roman" w:cs="Times New Roman"/>
        </w:rPr>
        <w:t>semivariogram</w:t>
      </w:r>
      <w:proofErr w:type="spellEnd"/>
      <w:r w:rsidRPr="000F5F0B">
        <w:rPr>
          <w:rFonts w:ascii="Times New Roman" w:hAnsi="Times New Roman" w:cs="Times New Roman"/>
        </w:rPr>
        <w:t xml:space="preserve"> was computed from the training-fold residuals and fitted with an exponential model:</w:t>
      </w:r>
    </w:p>
    <w:p w14:paraId="020EFE31"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0153B167" w14:textId="77777777"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γ</w:t>
      </w:r>
      <w:r w:rsidRPr="000F5F0B">
        <w:rPr>
          <w:rFonts w:ascii="Times New Roman" w:hAnsi="Times New Roman" w:cs="Times New Roman"/>
        </w:rPr>
        <w:t>(</w:t>
      </w:r>
      <w:r w:rsidRPr="000F5F0B">
        <w:rPr>
          <w:rFonts w:ascii="Times New Roman" w:hAnsi="Times New Roman" w:cs="Times New Roman"/>
          <w:i/>
          <w:iCs/>
        </w:rPr>
        <w:t>h</w:t>
      </w:r>
      <w:r w:rsidRPr="000F5F0B">
        <w:rPr>
          <w:rFonts w:ascii="Times New Roman" w:hAnsi="Times New Roman" w:cs="Times New Roman"/>
        </w:rPr>
        <w:t xml:space="preserve">) = </w:t>
      </w:r>
      <w:r w:rsidRPr="000F5F0B">
        <w:rPr>
          <w:rFonts w:ascii="Times New Roman" w:hAnsi="Times New Roman" w:cs="Times New Roman"/>
          <w:i/>
          <w:iCs/>
        </w:rPr>
        <w:t>c</w:t>
      </w:r>
      <w:r w:rsidRPr="000F5F0B">
        <w:rPr>
          <w:rFonts w:ascii="Times New Roman" w:hAnsi="Times New Roman" w:cs="Times New Roman"/>
          <w:vertAlign w:val="subscript"/>
        </w:rPr>
        <w:t>0</w:t>
      </w:r>
      <w:r w:rsidRPr="000F5F0B">
        <w:rPr>
          <w:rFonts w:ascii="Times New Roman" w:hAnsi="Times New Roman" w:cs="Times New Roman"/>
        </w:rPr>
        <w:t xml:space="preserve"> + </w:t>
      </w:r>
      <w:r w:rsidRPr="000F5F0B">
        <w:rPr>
          <w:rFonts w:ascii="Times New Roman" w:hAnsi="Times New Roman" w:cs="Times New Roman"/>
          <w:i/>
          <w:iCs/>
        </w:rPr>
        <w:t>c</w:t>
      </w:r>
      <w:r w:rsidRPr="000F5F0B">
        <w:rPr>
          <w:rFonts w:ascii="Times New Roman" w:hAnsi="Times New Roman" w:cs="Times New Roman"/>
        </w:rPr>
        <w:t>[1 − exp(−</w:t>
      </w:r>
      <w:r w:rsidRPr="000F5F0B">
        <w:rPr>
          <w:rFonts w:ascii="Times New Roman" w:hAnsi="Times New Roman" w:cs="Times New Roman"/>
          <w:i/>
          <w:iCs/>
        </w:rPr>
        <w:t>h</w:t>
      </w:r>
      <w:r w:rsidRPr="000F5F0B">
        <w:rPr>
          <w:rFonts w:ascii="Times New Roman" w:hAnsi="Times New Roman" w:cs="Times New Roman"/>
        </w:rPr>
        <w:t>/</w:t>
      </w:r>
      <w:r w:rsidRPr="000F5F0B">
        <w:rPr>
          <w:rFonts w:ascii="Times New Roman" w:hAnsi="Times New Roman" w:cs="Times New Roman"/>
          <w:i/>
          <w:iCs/>
        </w:rPr>
        <w:t>a</w:t>
      </w:r>
      <w:r w:rsidRPr="000F5F0B">
        <w:rPr>
          <w:rFonts w:ascii="Times New Roman" w:hAnsi="Times New Roman" w:cs="Times New Roman"/>
        </w:rPr>
        <w:t>)]</w:t>
      </w:r>
      <w:r w:rsidRPr="000F5F0B">
        <w:rPr>
          <w:rFonts w:ascii="Times New Roman" w:hAnsi="Times New Roman" w:cs="Times New Roman"/>
        </w:rPr>
        <w:tab/>
        <w:t>(13)</w:t>
      </w:r>
    </w:p>
    <w:p w14:paraId="143A563A"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02C97598"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lastRenderedPageBreak/>
        <w:t xml:space="preserve">where </w:t>
      </w:r>
      <w:r w:rsidRPr="000F5F0B">
        <w:rPr>
          <w:rFonts w:ascii="Times New Roman" w:hAnsi="Times New Roman" w:cs="Times New Roman"/>
          <w:i/>
          <w:iCs/>
        </w:rPr>
        <w:t>γ</w:t>
      </w:r>
      <w:r w:rsidRPr="000F5F0B">
        <w:rPr>
          <w:rFonts w:ascii="Times New Roman" w:hAnsi="Times New Roman" w:cs="Times New Roman"/>
        </w:rPr>
        <w:t>(</w:t>
      </w:r>
      <w:r w:rsidRPr="000F5F0B">
        <w:rPr>
          <w:rFonts w:ascii="Times New Roman" w:hAnsi="Times New Roman" w:cs="Times New Roman"/>
          <w:i/>
          <w:iCs/>
        </w:rPr>
        <w:t>h</w:t>
      </w:r>
      <w:r w:rsidRPr="000F5F0B">
        <w:rPr>
          <w:rFonts w:ascii="Times New Roman" w:hAnsi="Times New Roman" w:cs="Times New Roman"/>
        </w:rPr>
        <w:t xml:space="preserve">) is the </w:t>
      </w:r>
      <w:proofErr w:type="spellStart"/>
      <w:r w:rsidRPr="000F5F0B">
        <w:rPr>
          <w:rFonts w:ascii="Times New Roman" w:hAnsi="Times New Roman" w:cs="Times New Roman"/>
        </w:rPr>
        <w:t>semivariance</w:t>
      </w:r>
      <w:proofErr w:type="spellEnd"/>
      <w:r w:rsidRPr="000F5F0B">
        <w:rPr>
          <w:rFonts w:ascii="Times New Roman" w:hAnsi="Times New Roman" w:cs="Times New Roman"/>
        </w:rPr>
        <w:t xml:space="preserve"> at separation distance </w:t>
      </w:r>
      <w:r w:rsidRPr="000F5F0B">
        <w:rPr>
          <w:rFonts w:ascii="Times New Roman" w:hAnsi="Times New Roman" w:cs="Times New Roman"/>
          <w:i/>
          <w:iCs/>
        </w:rPr>
        <w:t>h</w:t>
      </w:r>
      <w:r w:rsidRPr="000F5F0B">
        <w:rPr>
          <w:rFonts w:ascii="Times New Roman" w:hAnsi="Times New Roman" w:cs="Times New Roman"/>
        </w:rPr>
        <w:t xml:space="preserve">; </w:t>
      </w:r>
      <w:r w:rsidRPr="000F5F0B">
        <w:rPr>
          <w:rFonts w:ascii="Times New Roman" w:hAnsi="Times New Roman" w:cs="Times New Roman"/>
          <w:i/>
          <w:iCs/>
        </w:rPr>
        <w:t>c</w:t>
      </w:r>
      <w:r w:rsidRPr="000F5F0B">
        <w:rPr>
          <w:rFonts w:ascii="Times New Roman" w:hAnsi="Times New Roman" w:cs="Times New Roman"/>
          <w:vertAlign w:val="subscript"/>
        </w:rPr>
        <w:t>0</w:t>
      </w:r>
      <w:r w:rsidRPr="000F5F0B">
        <w:rPr>
          <w:rFonts w:ascii="Times New Roman" w:hAnsi="Times New Roman" w:cs="Times New Roman"/>
        </w:rPr>
        <w:t xml:space="preserve"> is the nugget effect (measurement/micro-scale variance); </w:t>
      </w:r>
      <w:r w:rsidRPr="000F5F0B">
        <w:rPr>
          <w:rFonts w:ascii="Times New Roman" w:hAnsi="Times New Roman" w:cs="Times New Roman"/>
          <w:i/>
          <w:iCs/>
        </w:rPr>
        <w:t>c</w:t>
      </w:r>
      <w:r w:rsidRPr="000F5F0B">
        <w:rPr>
          <w:rFonts w:ascii="Times New Roman" w:hAnsi="Times New Roman" w:cs="Times New Roman"/>
        </w:rPr>
        <w:t xml:space="preserve"> is the partial sill; and </w:t>
      </w:r>
      <w:r w:rsidRPr="000F5F0B">
        <w:rPr>
          <w:rFonts w:ascii="Times New Roman" w:hAnsi="Times New Roman" w:cs="Times New Roman"/>
          <w:i/>
          <w:iCs/>
        </w:rPr>
        <w:t>a</w:t>
      </w:r>
      <w:r w:rsidRPr="000F5F0B">
        <w:rPr>
          <w:rFonts w:ascii="Times New Roman" w:hAnsi="Times New Roman" w:cs="Times New Roman"/>
        </w:rPr>
        <w:t xml:space="preserve"> is the range parameter, all estimated by non-linear least squares on the </w:t>
      </w:r>
      <w:r w:rsidRPr="000F5F0B">
        <w:rPr>
          <w:rFonts w:ascii="Times New Roman" w:hAnsi="Times New Roman" w:cs="Times New Roman"/>
        </w:rPr>
        <w:t xml:space="preserve">binned experimental </w:t>
      </w:r>
      <w:proofErr w:type="spellStart"/>
      <w:r w:rsidRPr="000F5F0B">
        <w:rPr>
          <w:rFonts w:ascii="Times New Roman" w:hAnsi="Times New Roman" w:cs="Times New Roman"/>
        </w:rPr>
        <w:t>semivariogram</w:t>
      </w:r>
      <w:proofErr w:type="spellEnd"/>
      <w:r w:rsidRPr="000F5F0B">
        <w:rPr>
          <w:rFonts w:ascii="Times New Roman" w:hAnsi="Times New Roman" w:cs="Times New Roman"/>
        </w:rPr>
        <w:t>. The ordinary kriging predictor at each held-out location was then obtained by solving the kriging linear system:</w:t>
      </w:r>
    </w:p>
    <w:p w14:paraId="1D0A99EF"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05B0EC0A" w14:textId="5A28DEE8"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rPr>
        <w:tab/>
      </w:r>
      <w:r w:rsidRPr="000F5F0B">
        <w:rPr>
          <w:rFonts w:ascii="Times New Roman" w:hAnsi="Times New Roman" w:cs="Times New Roman"/>
          <w:i/>
          <w:iCs/>
        </w:rPr>
        <w:t>Σ</w:t>
      </w:r>
      <w:r w:rsidRPr="000F5F0B">
        <w:rPr>
          <w:rFonts w:ascii="Times New Roman" w:hAnsi="Times New Roman" w:cs="Times New Roman"/>
          <w:vertAlign w:val="subscript"/>
          <w:lang w:val="pt-BR"/>
        </w:rPr>
        <w:t>j=1</w:t>
      </w:r>
      <w:r w:rsidRPr="000F5F0B">
        <w:rPr>
          <w:rFonts w:ascii="Times New Roman" w:hAnsi="Times New Roman" w:cs="Times New Roman"/>
          <w:vertAlign w:val="superscript"/>
          <w:lang w:val="pt-BR"/>
        </w:rPr>
        <w:t>n</w:t>
      </w:r>
      <w:r w:rsidRPr="000F5F0B">
        <w:rPr>
          <w:rFonts w:ascii="Times New Roman" w:hAnsi="Times New Roman" w:cs="Times New Roman"/>
          <w:lang w:val="pt-BR"/>
        </w:rPr>
        <w:t xml:space="preserve"> </w:t>
      </w:r>
      <w:r w:rsidRPr="000F5F0B">
        <w:rPr>
          <w:rFonts w:ascii="Times New Roman" w:hAnsi="Times New Roman" w:cs="Times New Roman"/>
          <w:i/>
          <w:iCs/>
        </w:rPr>
        <w:t>λ</w:t>
      </w:r>
      <w:r w:rsidRPr="000F5F0B">
        <w:rPr>
          <w:rFonts w:ascii="Times New Roman" w:hAnsi="Times New Roman" w:cs="Times New Roman"/>
          <w:vertAlign w:val="subscript"/>
          <w:lang w:val="pt-BR"/>
        </w:rPr>
        <w:t>j</w:t>
      </w:r>
      <w:r w:rsidRPr="000F5F0B">
        <w:rPr>
          <w:rFonts w:ascii="Times New Roman" w:hAnsi="Times New Roman" w:cs="Times New Roman"/>
          <w:i/>
          <w:iCs/>
        </w:rPr>
        <w:t>γ</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w:t>
      </w:r>
      <w:r w:rsidRPr="000F5F0B">
        <w:rPr>
          <w:rFonts w:ascii="Times New Roman" w:hAnsi="Times New Roman" w:cs="Times New Roman"/>
          <w:i/>
          <w:iCs/>
          <w:lang w:val="pt-BR"/>
        </w:rPr>
        <w:t>s</w:t>
      </w:r>
      <w:r w:rsidRPr="000F5F0B">
        <w:rPr>
          <w:rFonts w:ascii="Times New Roman" w:hAnsi="Times New Roman" w:cs="Times New Roman"/>
          <w:vertAlign w:val="subscript"/>
          <w:lang w:val="pt-BR"/>
        </w:rPr>
        <w:t>j</w:t>
      </w:r>
      <w:r w:rsidRPr="000F5F0B">
        <w:rPr>
          <w:rFonts w:ascii="Times New Roman" w:hAnsi="Times New Roman" w:cs="Times New Roman"/>
          <w:lang w:val="pt-BR"/>
        </w:rPr>
        <w:t xml:space="preserve">) + </w:t>
      </w:r>
      <w:r w:rsidRPr="000F5F0B">
        <w:rPr>
          <w:rFonts w:ascii="Times New Roman" w:hAnsi="Times New Roman" w:cs="Times New Roman"/>
          <w:i/>
          <w:iCs/>
        </w:rPr>
        <w:t>μ</w:t>
      </w:r>
      <w:r w:rsidRPr="000F5F0B">
        <w:rPr>
          <w:rFonts w:ascii="Times New Roman" w:hAnsi="Times New Roman" w:cs="Times New Roman"/>
          <w:lang w:val="pt-BR"/>
        </w:rPr>
        <w:t xml:space="preserve"> = </w:t>
      </w:r>
      <w:r w:rsidRPr="000F5F0B">
        <w:rPr>
          <w:rFonts w:ascii="Times New Roman" w:hAnsi="Times New Roman" w:cs="Times New Roman"/>
          <w:i/>
          <w:iCs/>
        </w:rPr>
        <w:t>γ</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w:t>
      </w:r>
      <w:r w:rsidRPr="000F5F0B">
        <w:rPr>
          <w:rFonts w:ascii="Times New Roman" w:hAnsi="Times New Roman" w:cs="Times New Roman"/>
          <w:i/>
          <w:iCs/>
          <w:lang w:val="pt-BR"/>
        </w:rPr>
        <w:t>s</w:t>
      </w:r>
      <w:r w:rsidRPr="000F5F0B">
        <w:rPr>
          <w:rFonts w:ascii="Times New Roman" w:hAnsi="Times New Roman" w:cs="Times New Roman"/>
          <w:vertAlign w:val="superscript"/>
          <w:lang w:val="pt-BR"/>
        </w:rPr>
        <w:t>0</w:t>
      </w:r>
      <w:r w:rsidRPr="000F5F0B">
        <w:rPr>
          <w:rFonts w:ascii="Times New Roman" w:hAnsi="Times New Roman" w:cs="Times New Roman"/>
          <w:lang w:val="pt-BR"/>
        </w:rPr>
        <w:t>),</w:t>
      </w:r>
      <w:r w:rsidR="000F5F0B">
        <w:rPr>
          <w:rFonts w:ascii="Times New Roman" w:hAnsi="Times New Roman" w:cs="Times New Roman"/>
          <w:lang w:val="pt-BR"/>
        </w:rPr>
        <w:t xml:space="preserve"> </w:t>
      </w:r>
      <w:r w:rsidRPr="000F5F0B">
        <w:rPr>
          <w:rFonts w:ascii="Times New Roman" w:hAnsi="Times New Roman" w:cs="Times New Roman"/>
          <w:i/>
          <w:iCs/>
        </w:rPr>
        <w:t>Σ</w:t>
      </w:r>
      <w:r w:rsidRPr="000F5F0B">
        <w:rPr>
          <w:rFonts w:ascii="Times New Roman" w:hAnsi="Times New Roman" w:cs="Times New Roman"/>
          <w:vertAlign w:val="subscript"/>
          <w:lang w:val="pt-BR"/>
        </w:rPr>
        <w:t>j</w:t>
      </w:r>
      <w:r w:rsidRPr="000F5F0B">
        <w:rPr>
          <w:rFonts w:ascii="Times New Roman" w:hAnsi="Times New Roman" w:cs="Times New Roman"/>
          <w:lang w:val="pt-BR"/>
        </w:rPr>
        <w:t xml:space="preserve"> </w:t>
      </w:r>
      <w:r w:rsidRPr="000F5F0B">
        <w:rPr>
          <w:rFonts w:ascii="Times New Roman" w:hAnsi="Times New Roman" w:cs="Times New Roman"/>
          <w:i/>
          <w:iCs/>
        </w:rPr>
        <w:t>λ</w:t>
      </w:r>
      <w:r w:rsidRPr="000F5F0B">
        <w:rPr>
          <w:rFonts w:ascii="Times New Roman" w:hAnsi="Times New Roman" w:cs="Times New Roman"/>
          <w:vertAlign w:val="subscript"/>
          <w:lang w:val="pt-BR"/>
        </w:rPr>
        <w:t>j</w:t>
      </w:r>
      <w:r w:rsidRPr="000F5F0B">
        <w:rPr>
          <w:rFonts w:ascii="Times New Roman" w:hAnsi="Times New Roman" w:cs="Times New Roman"/>
          <w:lang w:val="pt-BR"/>
        </w:rPr>
        <w:t xml:space="preserve"> = 1</w:t>
      </w:r>
      <w:r w:rsidRPr="000F5F0B">
        <w:rPr>
          <w:rFonts w:ascii="Times New Roman" w:hAnsi="Times New Roman" w:cs="Times New Roman"/>
          <w:lang w:val="pt-BR"/>
        </w:rPr>
        <w:tab/>
        <w:t>(14)</w:t>
      </w:r>
    </w:p>
    <w:p w14:paraId="6F5BF3DD" w14:textId="77777777"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lang w:val="pt-BR"/>
        </w:rPr>
        <w:tab/>
      </w:r>
      <w:r w:rsidRPr="000F5F0B">
        <w:rPr>
          <w:rFonts w:ascii="Times New Roman" w:hAnsi="Times New Roman" w:cs="Times New Roman"/>
          <w:i/>
          <w:iCs/>
          <w:lang w:val="pt-BR"/>
        </w:rPr>
        <w:t>ê</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perscript"/>
          <w:lang w:val="pt-BR"/>
        </w:rPr>
        <w:t>0</w:t>
      </w:r>
      <w:r w:rsidRPr="000F5F0B">
        <w:rPr>
          <w:rFonts w:ascii="Times New Roman" w:hAnsi="Times New Roman" w:cs="Times New Roman"/>
          <w:lang w:val="pt-BR"/>
        </w:rPr>
        <w:t xml:space="preserve">) = </w:t>
      </w:r>
      <w:r w:rsidRPr="000F5F0B">
        <w:rPr>
          <w:rFonts w:ascii="Times New Roman" w:hAnsi="Times New Roman" w:cs="Times New Roman"/>
          <w:i/>
          <w:iCs/>
        </w:rPr>
        <w:t>Σ</w:t>
      </w:r>
      <w:r w:rsidRPr="000F5F0B">
        <w:rPr>
          <w:rFonts w:ascii="Times New Roman" w:hAnsi="Times New Roman" w:cs="Times New Roman"/>
          <w:vertAlign w:val="subscript"/>
          <w:lang w:val="pt-BR"/>
        </w:rPr>
        <w:t>j=1</w:t>
      </w:r>
      <w:r w:rsidRPr="000F5F0B">
        <w:rPr>
          <w:rFonts w:ascii="Times New Roman" w:hAnsi="Times New Roman" w:cs="Times New Roman"/>
          <w:vertAlign w:val="superscript"/>
          <w:lang w:val="pt-BR"/>
        </w:rPr>
        <w:t>n</w:t>
      </w:r>
      <w:r w:rsidRPr="000F5F0B">
        <w:rPr>
          <w:rFonts w:ascii="Times New Roman" w:hAnsi="Times New Roman" w:cs="Times New Roman"/>
          <w:lang w:val="pt-BR"/>
        </w:rPr>
        <w:t xml:space="preserve"> </w:t>
      </w:r>
      <w:r w:rsidRPr="000F5F0B">
        <w:rPr>
          <w:rFonts w:ascii="Times New Roman" w:hAnsi="Times New Roman" w:cs="Times New Roman"/>
          <w:i/>
          <w:iCs/>
        </w:rPr>
        <w:t>λ</w:t>
      </w:r>
      <w:r w:rsidRPr="000F5F0B">
        <w:rPr>
          <w:rFonts w:ascii="Times New Roman" w:hAnsi="Times New Roman" w:cs="Times New Roman"/>
          <w:vertAlign w:val="subscript"/>
          <w:lang w:val="pt-BR"/>
        </w:rPr>
        <w:t>j</w:t>
      </w:r>
      <w:r w:rsidRPr="000F5F0B">
        <w:rPr>
          <w:rFonts w:ascii="Times New Roman" w:hAnsi="Times New Roman" w:cs="Times New Roman"/>
          <w:i/>
          <w:iCs/>
          <w:lang w:val="pt-BR"/>
        </w:rPr>
        <w:t>e</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bscript"/>
          <w:lang w:val="pt-BR"/>
        </w:rPr>
        <w:t>j</w:t>
      </w:r>
      <w:r w:rsidRPr="000F5F0B">
        <w:rPr>
          <w:rFonts w:ascii="Times New Roman" w:hAnsi="Times New Roman" w:cs="Times New Roman"/>
          <w:lang w:val="pt-BR"/>
        </w:rPr>
        <w:t>)</w:t>
      </w:r>
      <w:r w:rsidRPr="000F5F0B">
        <w:rPr>
          <w:rFonts w:ascii="Times New Roman" w:hAnsi="Times New Roman" w:cs="Times New Roman"/>
          <w:lang w:val="pt-BR"/>
        </w:rPr>
        <w:tab/>
        <w:t>(15)</w:t>
      </w:r>
    </w:p>
    <w:p w14:paraId="3AC02C68"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35A747A4"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proofErr w:type="spellStart"/>
      <w:r w:rsidRPr="000F5F0B">
        <w:rPr>
          <w:rFonts w:ascii="Times New Roman" w:hAnsi="Times New Roman" w:cs="Times New Roman"/>
          <w:i/>
          <w:iCs/>
        </w:rPr>
        <w:t>λ</w:t>
      </w:r>
      <w:r w:rsidRPr="000F5F0B">
        <w:rPr>
          <w:rFonts w:ascii="Times New Roman" w:hAnsi="Times New Roman" w:cs="Times New Roman"/>
          <w:vertAlign w:val="subscript"/>
        </w:rPr>
        <w:t>j</w:t>
      </w:r>
      <w:proofErr w:type="spellEnd"/>
      <w:r w:rsidRPr="000F5F0B">
        <w:rPr>
          <w:rFonts w:ascii="Times New Roman" w:hAnsi="Times New Roman" w:cs="Times New Roman"/>
        </w:rPr>
        <w:t xml:space="preserve"> are the kriging weights and </w:t>
      </w:r>
      <w:r w:rsidRPr="000F5F0B">
        <w:rPr>
          <w:rFonts w:ascii="Times New Roman" w:hAnsi="Times New Roman" w:cs="Times New Roman"/>
          <w:i/>
          <w:iCs/>
        </w:rPr>
        <w:t>μ</w:t>
      </w:r>
      <w:r w:rsidRPr="000F5F0B">
        <w:rPr>
          <w:rFonts w:ascii="Times New Roman" w:hAnsi="Times New Roman" w:cs="Times New Roman"/>
        </w:rPr>
        <w:t xml:space="preserve"> is the Lagrange multiplier enforcing the unbiasedness constraint. The kriged residual </w:t>
      </w:r>
      <w:r w:rsidRPr="000F5F0B">
        <w:rPr>
          <w:rFonts w:ascii="Times New Roman" w:hAnsi="Times New Roman" w:cs="Times New Roman"/>
          <w:i/>
          <w:iCs/>
        </w:rPr>
        <w:t>ê</w:t>
      </w:r>
      <w:r w:rsidRPr="000F5F0B">
        <w:rPr>
          <w:rFonts w:ascii="Times New Roman" w:hAnsi="Times New Roman" w:cs="Times New Roman"/>
        </w:rPr>
        <w:t>(</w:t>
      </w:r>
      <w:r w:rsidRPr="000F5F0B">
        <w:rPr>
          <w:rFonts w:ascii="Times New Roman" w:hAnsi="Times New Roman" w:cs="Times New Roman"/>
          <w:i/>
          <w:iCs/>
        </w:rPr>
        <w:t>s</w:t>
      </w:r>
      <w:r w:rsidRPr="000F5F0B">
        <w:rPr>
          <w:rFonts w:ascii="Times New Roman" w:hAnsi="Times New Roman" w:cs="Times New Roman"/>
          <w:vertAlign w:val="superscript"/>
        </w:rPr>
        <w:t>0</w:t>
      </w:r>
      <w:r w:rsidRPr="000F5F0B">
        <w:rPr>
          <w:rFonts w:ascii="Times New Roman" w:hAnsi="Times New Roman" w:cs="Times New Roman"/>
        </w:rPr>
        <w:t xml:space="preserve">) was then added to the tree-ensemble trend prediction (Equation 12) to obtain the final regression-kriging estimate. No external kriging software </w:t>
      </w:r>
      <w:r w:rsidRPr="000F5F0B">
        <w:rPr>
          <w:rFonts w:ascii="Times New Roman" w:hAnsi="Times New Roman" w:cs="Times New Roman"/>
        </w:rPr>
        <w:t>was available in the sandboxed analysis environment; the variogram fitting and kriging system (Equations 13–15) were implemented directly in Python/SciPy for full transparency and reproducibility (code provided as Supplementary Material).</w:t>
      </w:r>
    </w:p>
    <w:p w14:paraId="79746FAA" w14:textId="77777777" w:rsidR="00923BD4" w:rsidRDefault="00923BD4">
      <w:pPr>
        <w:pStyle w:val="Heading3"/>
        <w:spacing w:before="200" w:after="12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6D741DBD" w14:textId="77777777" w:rsidR="00ED74D0" w:rsidRPr="00093A3F" w:rsidRDefault="00000000">
      <w:pPr>
        <w:pStyle w:val="Heading3"/>
        <w:spacing w:before="200" w:after="120"/>
        <w:rPr>
          <w:rFonts w:ascii="Times New Roman" w:hAnsi="Times New Roman" w:cs="Times New Roman"/>
          <w:color w:val="auto"/>
        </w:rPr>
      </w:pPr>
      <w:r w:rsidRPr="00093A3F">
        <w:rPr>
          <w:rFonts w:ascii="Times New Roman" w:hAnsi="Times New Roman" w:cs="Times New Roman"/>
          <w:color w:val="auto"/>
        </w:rPr>
        <w:t>2.5.3 Spatial Autocorrelation Diagnostic</w:t>
      </w:r>
    </w:p>
    <w:p w14:paraId="1AA5E096"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To assess whether the Brix data at each sampling date contained the spatially structured signal that regression-kriging is designed to exploit, global </w:t>
      </w:r>
      <w:r w:rsidRPr="000F5F0B">
        <w:rPr>
          <w:rFonts w:ascii="Times New Roman" w:hAnsi="Times New Roman" w:cs="Times New Roman"/>
        </w:rPr>
        <w:t xml:space="preserve">Moran's </w:t>
      </w:r>
      <w:r w:rsidRPr="000F5F0B">
        <w:rPr>
          <w:rFonts w:ascii="Times New Roman" w:hAnsi="Times New Roman" w:cs="Times New Roman"/>
          <w:i/>
          <w:iCs/>
        </w:rPr>
        <w:t>I</w:t>
      </w:r>
      <w:r w:rsidRPr="000F5F0B">
        <w:rPr>
          <w:rFonts w:ascii="Times New Roman" w:hAnsi="Times New Roman" w:cs="Times New Roman"/>
        </w:rPr>
        <w:t xml:space="preserve"> was computed for the raw Brix values at each of the five dates, using a </w:t>
      </w:r>
      <w:r w:rsidRPr="000F5F0B">
        <w:rPr>
          <w:rFonts w:ascii="Times New Roman" w:hAnsi="Times New Roman" w:cs="Times New Roman"/>
          <w:i/>
          <w:iCs/>
        </w:rPr>
        <w:t>k</w:t>
      </w:r>
      <w:r w:rsidRPr="000F5F0B">
        <w:rPr>
          <w:rFonts w:ascii="Times New Roman" w:hAnsi="Times New Roman" w:cs="Times New Roman"/>
        </w:rPr>
        <w:t>-nearest-</w:t>
      </w:r>
      <w:proofErr w:type="spellStart"/>
      <w:r w:rsidRPr="000F5F0B">
        <w:rPr>
          <w:rFonts w:ascii="Times New Roman" w:hAnsi="Times New Roman" w:cs="Times New Roman"/>
        </w:rPr>
        <w:t>neighbour</w:t>
      </w:r>
      <w:proofErr w:type="spellEnd"/>
      <w:r w:rsidRPr="000F5F0B">
        <w:rPr>
          <w:rFonts w:ascii="Times New Roman" w:hAnsi="Times New Roman" w:cs="Times New Roman"/>
        </w:rPr>
        <w:t xml:space="preserve"> (</w:t>
      </w:r>
      <w:r w:rsidRPr="000F5F0B">
        <w:rPr>
          <w:rFonts w:ascii="Times New Roman" w:hAnsi="Times New Roman" w:cs="Times New Roman"/>
          <w:i/>
          <w:iCs/>
        </w:rPr>
        <w:t>k</w:t>
      </w:r>
      <w:r w:rsidRPr="000F5F0B">
        <w:rPr>
          <w:rFonts w:ascii="Times New Roman" w:hAnsi="Times New Roman" w:cs="Times New Roman"/>
        </w:rPr>
        <w:t xml:space="preserve"> = 8) binary spatial weights matrix (</w:t>
      </w:r>
      <w:hyperlink w:anchor="moran1950" w:history="1">
        <w:r w:rsidRPr="000F5F0B">
          <w:rPr>
            <w:rStyle w:val="Hyperlink"/>
            <w:rFonts w:ascii="Times New Roman" w:hAnsi="Times New Roman" w:cs="Times New Roman"/>
          </w:rPr>
          <w:t>Moran, 1950</w:t>
        </w:r>
      </w:hyperlink>
      <w:r w:rsidRPr="000F5F0B">
        <w:rPr>
          <w:rFonts w:ascii="Times New Roman" w:hAnsi="Times New Roman" w:cs="Times New Roman"/>
        </w:rPr>
        <w:t>):</w:t>
      </w:r>
    </w:p>
    <w:p w14:paraId="02ECBD74"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68A596F5" w14:textId="77777777"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rPr>
        <w:tab/>
      </w:r>
      <w:r w:rsidRPr="000F5F0B">
        <w:rPr>
          <w:rFonts w:ascii="Times New Roman" w:hAnsi="Times New Roman" w:cs="Times New Roman"/>
          <w:i/>
          <w:iCs/>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n</w:t>
      </w:r>
      <w:r w:rsidRPr="000F5F0B">
        <w:rPr>
          <w:rFonts w:ascii="Times New Roman" w:hAnsi="Times New Roman" w:cs="Times New Roman"/>
          <w:lang w:val="pt-BR"/>
        </w:rPr>
        <w:t>/</w:t>
      </w:r>
      <w:r w:rsidRPr="000F5F0B">
        <w:rPr>
          <w:rFonts w:ascii="Times New Roman" w:hAnsi="Times New Roman" w:cs="Times New Roman"/>
          <w:i/>
          <w:iCs/>
          <w:lang w:val="pt-BR"/>
        </w:rPr>
        <w:t>S</w:t>
      </w:r>
      <w:r w:rsidRPr="000F5F0B">
        <w:rPr>
          <w:rFonts w:ascii="Times New Roman" w:hAnsi="Times New Roman" w:cs="Times New Roman"/>
          <w:vertAlign w:val="subscript"/>
          <w:lang w:val="pt-BR"/>
        </w:rPr>
        <w:t>0</w:t>
      </w:r>
      <w:r w:rsidRPr="000F5F0B">
        <w:rPr>
          <w:rFonts w:ascii="Times New Roman" w:hAnsi="Times New Roman" w:cs="Times New Roman"/>
          <w:lang w:val="pt-BR"/>
        </w:rPr>
        <w:t>) × [</w:t>
      </w:r>
      <w:r w:rsidRPr="000F5F0B">
        <w:rPr>
          <w:rFonts w:ascii="Times New Roman" w:hAnsi="Times New Roman" w:cs="Times New Roman"/>
          <w:i/>
          <w:iCs/>
        </w:rPr>
        <w:t>Σ</w:t>
      </w:r>
      <w:r w:rsidRPr="000F5F0B">
        <w:rPr>
          <w:rFonts w:ascii="Times New Roman" w:hAnsi="Times New Roman" w:cs="Times New Roman"/>
          <w:vertAlign w:val="subscript"/>
          <w:lang w:val="pt-BR"/>
        </w:rPr>
        <w:t>i</w:t>
      </w:r>
      <w:r w:rsidRPr="000F5F0B">
        <w:rPr>
          <w:rFonts w:ascii="Times New Roman" w:hAnsi="Times New Roman" w:cs="Times New Roman"/>
          <w:i/>
          <w:iCs/>
        </w:rPr>
        <w:t>Σ</w:t>
      </w:r>
      <w:r w:rsidRPr="000F5F0B">
        <w:rPr>
          <w:rFonts w:ascii="Times New Roman" w:hAnsi="Times New Roman" w:cs="Times New Roman"/>
          <w:vertAlign w:val="subscript"/>
          <w:lang w:val="pt-BR"/>
        </w:rPr>
        <w:t>j</w:t>
      </w:r>
      <w:r w:rsidRPr="000F5F0B">
        <w:rPr>
          <w:rFonts w:ascii="Times New Roman" w:hAnsi="Times New Roman" w:cs="Times New Roman"/>
          <w:lang w:val="pt-BR"/>
        </w:rPr>
        <w:t xml:space="preserve"> </w:t>
      </w:r>
      <w:r w:rsidRPr="000F5F0B">
        <w:rPr>
          <w:rFonts w:ascii="Times New Roman" w:hAnsi="Times New Roman" w:cs="Times New Roman"/>
          <w:i/>
          <w:iCs/>
          <w:lang w:val="pt-BR"/>
        </w:rPr>
        <w:t>w</w:t>
      </w:r>
      <w:r w:rsidRPr="000F5F0B">
        <w:rPr>
          <w:rFonts w:ascii="Times New Roman" w:hAnsi="Times New Roman" w:cs="Times New Roman"/>
          <w:vertAlign w:val="subscript"/>
          <w:lang w:val="pt-BR"/>
        </w:rPr>
        <w:t>ij</w:t>
      </w:r>
      <w:r w:rsidRPr="000F5F0B">
        <w:rPr>
          <w:rFonts w:ascii="Times New Roman" w:hAnsi="Times New Roman" w:cs="Times New Roman"/>
          <w:lang w:val="pt-BR"/>
        </w:rPr>
        <w:t>(</w:t>
      </w:r>
      <w:r w:rsidRPr="000F5F0B">
        <w:rPr>
          <w:rFonts w:ascii="Times New Roman" w:hAnsi="Times New Roman" w:cs="Times New Roman"/>
          <w:i/>
          <w:iCs/>
          <w:lang w:val="pt-BR"/>
        </w:rPr>
        <w:t>z</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i/>
          <w:iCs/>
          <w:lang w:val="pt-BR"/>
        </w:rPr>
        <w:t>z̄</w:t>
      </w:r>
      <w:r w:rsidRPr="000F5F0B">
        <w:rPr>
          <w:rFonts w:ascii="Times New Roman" w:hAnsi="Times New Roman" w:cs="Times New Roman"/>
          <w:lang w:val="pt-BR"/>
        </w:rPr>
        <w:t>)(</w:t>
      </w:r>
      <w:r w:rsidRPr="000F5F0B">
        <w:rPr>
          <w:rFonts w:ascii="Times New Roman" w:hAnsi="Times New Roman" w:cs="Times New Roman"/>
          <w:i/>
          <w:iCs/>
          <w:lang w:val="pt-BR"/>
        </w:rPr>
        <w:t>z</w:t>
      </w:r>
      <w:r w:rsidRPr="000F5F0B">
        <w:rPr>
          <w:rFonts w:ascii="Times New Roman" w:hAnsi="Times New Roman" w:cs="Times New Roman"/>
          <w:vertAlign w:val="subscript"/>
          <w:lang w:val="pt-BR"/>
        </w:rPr>
        <w:t>j</w:t>
      </w:r>
      <w:r w:rsidRPr="000F5F0B">
        <w:rPr>
          <w:rFonts w:ascii="Times New Roman" w:hAnsi="Times New Roman" w:cs="Times New Roman"/>
          <w:lang w:val="pt-BR"/>
        </w:rPr>
        <w:t>−</w:t>
      </w:r>
      <w:r w:rsidRPr="000F5F0B">
        <w:rPr>
          <w:rFonts w:ascii="Times New Roman" w:hAnsi="Times New Roman" w:cs="Times New Roman"/>
          <w:i/>
          <w:iCs/>
          <w:lang w:val="pt-BR"/>
        </w:rPr>
        <w:t>z̄</w:t>
      </w:r>
      <w:r w:rsidRPr="000F5F0B">
        <w:rPr>
          <w:rFonts w:ascii="Times New Roman" w:hAnsi="Times New Roman" w:cs="Times New Roman"/>
          <w:lang w:val="pt-BR"/>
        </w:rPr>
        <w:t>)] / [</w:t>
      </w:r>
      <w:r w:rsidRPr="000F5F0B">
        <w:rPr>
          <w:rFonts w:ascii="Times New Roman" w:hAnsi="Times New Roman" w:cs="Times New Roman"/>
          <w:i/>
          <w:iCs/>
        </w:rPr>
        <w:t>Σ</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i/>
          <w:iCs/>
          <w:lang w:val="pt-BR"/>
        </w:rPr>
        <w:t>z</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i/>
          <w:iCs/>
          <w:lang w:val="pt-BR"/>
        </w:rPr>
        <w:t>z̄</w:t>
      </w:r>
      <w:r w:rsidRPr="000F5F0B">
        <w:rPr>
          <w:rFonts w:ascii="Times New Roman" w:hAnsi="Times New Roman" w:cs="Times New Roman"/>
          <w:lang w:val="pt-BR"/>
        </w:rPr>
        <w:t>)</w:t>
      </w:r>
      <w:r w:rsidRPr="000F5F0B">
        <w:rPr>
          <w:rFonts w:ascii="Times New Roman" w:hAnsi="Times New Roman" w:cs="Times New Roman"/>
          <w:vertAlign w:val="superscript"/>
          <w:lang w:val="pt-BR"/>
        </w:rPr>
        <w:t>2</w:t>
      </w:r>
      <w:r w:rsidRPr="000F5F0B">
        <w:rPr>
          <w:rFonts w:ascii="Times New Roman" w:hAnsi="Times New Roman" w:cs="Times New Roman"/>
          <w:lang w:val="pt-BR"/>
        </w:rPr>
        <w:t>]</w:t>
      </w:r>
      <w:r w:rsidRPr="000F5F0B">
        <w:rPr>
          <w:rFonts w:ascii="Times New Roman" w:hAnsi="Times New Roman" w:cs="Times New Roman"/>
          <w:lang w:val="pt-BR"/>
        </w:rPr>
        <w:tab/>
        <w:t>(16)</w:t>
      </w:r>
    </w:p>
    <w:p w14:paraId="4F2CC5CF"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339D253F"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r w:rsidRPr="000F5F0B">
        <w:rPr>
          <w:rFonts w:ascii="Times New Roman" w:hAnsi="Times New Roman" w:cs="Times New Roman"/>
          <w:i/>
          <w:iCs/>
        </w:rPr>
        <w:t>n</w:t>
      </w:r>
      <w:r w:rsidRPr="000F5F0B">
        <w:rPr>
          <w:rFonts w:ascii="Times New Roman" w:hAnsi="Times New Roman" w:cs="Times New Roman"/>
        </w:rPr>
        <w:t xml:space="preserve"> is the number of sample points, </w:t>
      </w:r>
      <w:proofErr w:type="spellStart"/>
      <w:r w:rsidRPr="000F5F0B">
        <w:rPr>
          <w:rFonts w:ascii="Times New Roman" w:hAnsi="Times New Roman" w:cs="Times New Roman"/>
          <w:i/>
          <w:iCs/>
        </w:rPr>
        <w:t>w</w:t>
      </w:r>
      <w:r w:rsidRPr="000F5F0B">
        <w:rPr>
          <w:rFonts w:ascii="Times New Roman" w:hAnsi="Times New Roman" w:cs="Times New Roman"/>
          <w:vertAlign w:val="subscript"/>
        </w:rPr>
        <w:t>ij</w:t>
      </w:r>
      <w:proofErr w:type="spellEnd"/>
      <w:r w:rsidRPr="000F5F0B">
        <w:rPr>
          <w:rFonts w:ascii="Times New Roman" w:hAnsi="Times New Roman" w:cs="Times New Roman"/>
        </w:rPr>
        <w:t xml:space="preserve"> is 1 if location </w:t>
      </w:r>
      <w:r w:rsidRPr="000F5F0B">
        <w:rPr>
          <w:rFonts w:ascii="Times New Roman" w:hAnsi="Times New Roman" w:cs="Times New Roman"/>
          <w:i/>
          <w:iCs/>
        </w:rPr>
        <w:t>j</w:t>
      </w:r>
      <w:r w:rsidRPr="000F5F0B">
        <w:rPr>
          <w:rFonts w:ascii="Times New Roman" w:hAnsi="Times New Roman" w:cs="Times New Roman"/>
        </w:rPr>
        <w:t xml:space="preserve"> is among the </w:t>
      </w:r>
      <w:r w:rsidRPr="000F5F0B">
        <w:rPr>
          <w:rFonts w:ascii="Times New Roman" w:hAnsi="Times New Roman" w:cs="Times New Roman"/>
          <w:i/>
          <w:iCs/>
        </w:rPr>
        <w:t>k</w:t>
      </w:r>
      <w:r w:rsidRPr="000F5F0B">
        <w:rPr>
          <w:rFonts w:ascii="Times New Roman" w:hAnsi="Times New Roman" w:cs="Times New Roman"/>
        </w:rPr>
        <w:t xml:space="preserve"> nearest </w:t>
      </w:r>
      <w:proofErr w:type="spellStart"/>
      <w:r w:rsidRPr="000F5F0B">
        <w:rPr>
          <w:rFonts w:ascii="Times New Roman" w:hAnsi="Times New Roman" w:cs="Times New Roman"/>
        </w:rPr>
        <w:t>neighbours</w:t>
      </w:r>
      <w:proofErr w:type="spellEnd"/>
      <w:r w:rsidRPr="000F5F0B">
        <w:rPr>
          <w:rFonts w:ascii="Times New Roman" w:hAnsi="Times New Roman" w:cs="Times New Roman"/>
        </w:rPr>
        <w:t xml:space="preserve"> of location </w:t>
      </w:r>
      <w:proofErr w:type="spellStart"/>
      <w:r w:rsidRPr="000F5F0B">
        <w:rPr>
          <w:rFonts w:ascii="Times New Roman" w:hAnsi="Times New Roman" w:cs="Times New Roman"/>
          <w:i/>
          <w:iCs/>
        </w:rPr>
        <w:t>i</w:t>
      </w:r>
      <w:proofErr w:type="spellEnd"/>
      <w:r w:rsidRPr="000F5F0B">
        <w:rPr>
          <w:rFonts w:ascii="Times New Roman" w:hAnsi="Times New Roman" w:cs="Times New Roman"/>
        </w:rPr>
        <w:t xml:space="preserve"> (0 otherwise), </w:t>
      </w:r>
      <w:r w:rsidRPr="000F5F0B">
        <w:rPr>
          <w:rFonts w:ascii="Times New Roman" w:hAnsi="Times New Roman" w:cs="Times New Roman"/>
          <w:i/>
          <w:iCs/>
        </w:rPr>
        <w:t>S</w:t>
      </w:r>
      <w:r w:rsidRPr="000F5F0B">
        <w:rPr>
          <w:rFonts w:ascii="Times New Roman" w:hAnsi="Times New Roman" w:cs="Times New Roman"/>
          <w:vertAlign w:val="subscript"/>
        </w:rPr>
        <w:t>0</w:t>
      </w:r>
      <w:r w:rsidRPr="000F5F0B">
        <w:rPr>
          <w:rFonts w:ascii="Times New Roman" w:hAnsi="Times New Roman" w:cs="Times New Roman"/>
        </w:rPr>
        <w:t xml:space="preserve"> = </w:t>
      </w:r>
      <w:proofErr w:type="spellStart"/>
      <w:r w:rsidRPr="000F5F0B">
        <w:rPr>
          <w:rFonts w:ascii="Times New Roman" w:hAnsi="Times New Roman" w:cs="Times New Roman"/>
          <w:i/>
          <w:iCs/>
        </w:rPr>
        <w:t>Σ</w:t>
      </w:r>
      <w:r w:rsidRPr="000F5F0B">
        <w:rPr>
          <w:rFonts w:ascii="Times New Roman" w:hAnsi="Times New Roman" w:cs="Times New Roman"/>
          <w:vertAlign w:val="subscript"/>
        </w:rPr>
        <w:t>i</w:t>
      </w:r>
      <w:r w:rsidRPr="000F5F0B">
        <w:rPr>
          <w:rFonts w:ascii="Times New Roman" w:hAnsi="Times New Roman" w:cs="Times New Roman"/>
          <w:i/>
          <w:iCs/>
        </w:rPr>
        <w:t>Σ</w:t>
      </w:r>
      <w:r w:rsidRPr="000F5F0B">
        <w:rPr>
          <w:rFonts w:ascii="Times New Roman" w:hAnsi="Times New Roman" w:cs="Times New Roman"/>
          <w:vertAlign w:val="subscript"/>
        </w:rPr>
        <w:t>j</w:t>
      </w:r>
      <w:r w:rsidRPr="000F5F0B">
        <w:rPr>
          <w:rFonts w:ascii="Times New Roman" w:hAnsi="Times New Roman" w:cs="Times New Roman"/>
          <w:i/>
          <w:iCs/>
        </w:rPr>
        <w:t>w</w:t>
      </w:r>
      <w:r w:rsidRPr="000F5F0B">
        <w:rPr>
          <w:rFonts w:ascii="Times New Roman" w:hAnsi="Times New Roman" w:cs="Times New Roman"/>
          <w:vertAlign w:val="subscript"/>
        </w:rPr>
        <w:t>ij</w:t>
      </w:r>
      <w:proofErr w:type="spellEnd"/>
      <w:r w:rsidRPr="000F5F0B">
        <w:rPr>
          <w:rFonts w:ascii="Times New Roman" w:hAnsi="Times New Roman" w:cs="Times New Roman"/>
        </w:rPr>
        <w:t xml:space="preserve">, and </w:t>
      </w:r>
      <w:r w:rsidRPr="000F5F0B">
        <w:rPr>
          <w:rFonts w:ascii="Times New Roman" w:hAnsi="Times New Roman" w:cs="Times New Roman"/>
          <w:i/>
          <w:iCs/>
        </w:rPr>
        <w:t>z</w:t>
      </w:r>
      <w:r w:rsidRPr="000F5F0B">
        <w:rPr>
          <w:rFonts w:ascii="Times New Roman" w:hAnsi="Times New Roman" w:cs="Times New Roman"/>
          <w:vertAlign w:val="subscript"/>
        </w:rPr>
        <w:t>i</w:t>
      </w:r>
      <w:r w:rsidRPr="000F5F0B">
        <w:rPr>
          <w:rFonts w:ascii="Times New Roman" w:hAnsi="Times New Roman" w:cs="Times New Roman"/>
        </w:rPr>
        <w:t xml:space="preserve"> is the Brix value at location </w:t>
      </w:r>
      <w:proofErr w:type="spellStart"/>
      <w:r w:rsidRPr="000F5F0B">
        <w:rPr>
          <w:rFonts w:ascii="Times New Roman" w:hAnsi="Times New Roman" w:cs="Times New Roman"/>
          <w:i/>
          <w:iCs/>
        </w:rPr>
        <w:t>i</w:t>
      </w:r>
      <w:proofErr w:type="spellEnd"/>
      <w:r w:rsidRPr="000F5F0B">
        <w:rPr>
          <w:rFonts w:ascii="Times New Roman" w:hAnsi="Times New Roman" w:cs="Times New Roman"/>
        </w:rPr>
        <w:t xml:space="preserve">. Under the null hypothesis of no spatial autocorrelation, </w:t>
      </w:r>
      <w:r w:rsidRPr="000F5F0B">
        <w:rPr>
          <w:rFonts w:ascii="Times New Roman" w:hAnsi="Times New Roman" w:cs="Times New Roman"/>
          <w:i/>
          <w:iCs/>
        </w:rPr>
        <w:t>I</w:t>
      </w:r>
      <w:r w:rsidRPr="000F5F0B">
        <w:rPr>
          <w:rFonts w:ascii="Times New Roman" w:hAnsi="Times New Roman" w:cs="Times New Roman"/>
        </w:rPr>
        <w:t xml:space="preserve"> has expectation </w:t>
      </w:r>
      <w:r w:rsidRPr="000F5F0B">
        <w:rPr>
          <w:rFonts w:ascii="Times New Roman" w:hAnsi="Times New Roman" w:cs="Times New Roman"/>
        </w:rPr>
        <w:t>E[</w:t>
      </w:r>
      <w:r w:rsidRPr="000F5F0B">
        <w:rPr>
          <w:rFonts w:ascii="Times New Roman" w:hAnsi="Times New Roman" w:cs="Times New Roman"/>
          <w:i/>
          <w:iCs/>
        </w:rPr>
        <w:t>I</w:t>
      </w:r>
      <w:r w:rsidRPr="000F5F0B">
        <w:rPr>
          <w:rFonts w:ascii="Times New Roman" w:hAnsi="Times New Roman" w:cs="Times New Roman"/>
        </w:rPr>
        <w:t>] = −1/(</w:t>
      </w:r>
      <w:r w:rsidRPr="000F5F0B">
        <w:rPr>
          <w:rFonts w:ascii="Times New Roman" w:hAnsi="Times New Roman" w:cs="Times New Roman"/>
          <w:i/>
          <w:iCs/>
        </w:rPr>
        <w:t>n</w:t>
      </w:r>
      <w:r w:rsidRPr="000F5F0B">
        <w:rPr>
          <w:rFonts w:ascii="Times New Roman" w:hAnsi="Times New Roman" w:cs="Times New Roman"/>
        </w:rPr>
        <w:t xml:space="preserve">−1); values of </w:t>
      </w:r>
      <w:r w:rsidRPr="000F5F0B">
        <w:rPr>
          <w:rFonts w:ascii="Times New Roman" w:hAnsi="Times New Roman" w:cs="Times New Roman"/>
          <w:i/>
          <w:iCs/>
        </w:rPr>
        <w:t>I</w:t>
      </w:r>
      <w:r w:rsidRPr="000F5F0B">
        <w:rPr>
          <w:rFonts w:ascii="Times New Roman" w:hAnsi="Times New Roman" w:cs="Times New Roman"/>
        </w:rPr>
        <w:t xml:space="preserve"> substantially above this expectation indicate positive spatial autocorrelation (nearby values more similar than expected by chance), which is the condition regression-kriging is designed to exploit.</w:t>
      </w:r>
    </w:p>
    <w:p w14:paraId="03AD78A9" w14:textId="77777777" w:rsidR="00923BD4" w:rsidRDefault="00923BD4">
      <w:pPr>
        <w:pStyle w:val="Heading3"/>
        <w:spacing w:before="200" w:after="12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2EAABF79" w14:textId="77777777" w:rsidR="00ED74D0" w:rsidRPr="00093A3F" w:rsidRDefault="00000000">
      <w:pPr>
        <w:pStyle w:val="Heading3"/>
        <w:spacing w:before="200" w:after="120"/>
        <w:rPr>
          <w:rFonts w:ascii="Times New Roman" w:hAnsi="Times New Roman" w:cs="Times New Roman"/>
          <w:color w:val="auto"/>
        </w:rPr>
      </w:pPr>
      <w:r w:rsidRPr="00093A3F">
        <w:rPr>
          <w:rFonts w:ascii="Times New Roman" w:hAnsi="Times New Roman" w:cs="Times New Roman"/>
          <w:color w:val="auto"/>
        </w:rPr>
        <w:t>2.5.4 Cross-Validation Design and Performance Metrics</w:t>
      </w:r>
    </w:p>
    <w:p w14:paraId="678059C6"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Two complementary cross-validation designs were used to avoid the optimistic bias that a single in-sample regression fit can produce. First, a </w:t>
      </w:r>
      <w:r w:rsidRPr="00923BD4">
        <w:rPr>
          <w:rFonts w:ascii="Times New Roman" w:hAnsi="Times New Roman" w:cs="Times New Roman"/>
        </w:rPr>
        <w:t xml:space="preserve">pooled </w:t>
      </w:r>
      <w:proofErr w:type="spellStart"/>
      <w:r w:rsidRPr="00923BD4">
        <w:rPr>
          <w:rFonts w:ascii="Times New Roman" w:hAnsi="Times New Roman" w:cs="Times New Roman"/>
        </w:rPr>
        <w:t>spatio</w:t>
      </w:r>
      <w:proofErr w:type="spellEnd"/>
      <w:r w:rsidRPr="00923BD4">
        <w:rPr>
          <w:rFonts w:ascii="Times New Roman" w:hAnsi="Times New Roman" w:cs="Times New Roman"/>
        </w:rPr>
        <w:t>-temporal</w:t>
      </w:r>
      <w:r w:rsidRPr="000F5F0B">
        <w:rPr>
          <w:rFonts w:ascii="Times New Roman" w:hAnsi="Times New Roman" w:cs="Times New Roman"/>
        </w:rPr>
        <w:t xml:space="preserve"> design combined all five sampling dates into one dataset and used five-fold </w:t>
      </w:r>
      <w:r w:rsidRPr="000F5F0B">
        <w:rPr>
          <w:rFonts w:ascii="Times New Roman" w:hAnsi="Times New Roman" w:cs="Times New Roman"/>
          <w:i/>
          <w:iCs/>
        </w:rPr>
        <w:t>grouped</w:t>
      </w:r>
      <w:r w:rsidRPr="000F5F0B">
        <w:rPr>
          <w:rFonts w:ascii="Times New Roman" w:hAnsi="Times New Roman" w:cs="Times New Roman"/>
        </w:rPr>
        <w:t xml:space="preserve"> cross-validation, with folds defined by sampling location (all five dates for a given point held out together), repeated six times with different random fold assignments. This directly tests the practically relevant scenario of </w:t>
      </w:r>
      <w:r w:rsidRPr="000F5F0B">
        <w:rPr>
          <w:rFonts w:ascii="Times New Roman" w:hAnsi="Times New Roman" w:cs="Times New Roman"/>
        </w:rPr>
        <w:t xml:space="preserve">predicting the full ripening trajectory at a vineyard location that has never been sampled. Second, a </w:t>
      </w:r>
      <w:r w:rsidRPr="00923BD4">
        <w:rPr>
          <w:rFonts w:ascii="Times New Roman" w:hAnsi="Times New Roman" w:cs="Times New Roman"/>
        </w:rPr>
        <w:t>per-date spatial-only</w:t>
      </w:r>
      <w:r w:rsidRPr="000F5F0B">
        <w:rPr>
          <w:rFonts w:ascii="Times New Roman" w:hAnsi="Times New Roman" w:cs="Times New Roman"/>
        </w:rPr>
        <w:t xml:space="preserve"> design evaluated each of the five dates independently using standard five-fold cross-validation (four repeats), testing spatial interpolation skill using only coordinates and NDVI, without the dominant Julian-day temporal trend. All models (IDW, RFR, GBR, MLP, Stacking Ensemble, RF-regression-kriging [RF-RK], and GB-regression-kriging [GB-RK]) were compared, strictly on held-out data in every fold, using:</w:t>
      </w:r>
    </w:p>
    <w:p w14:paraId="30FAA970"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4200F272" w14:textId="77777777"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rPr>
        <w:tab/>
      </w:r>
      <w:r w:rsidRPr="000F5F0B">
        <w:rPr>
          <w:rFonts w:ascii="Times New Roman" w:hAnsi="Times New Roman" w:cs="Times New Roman"/>
          <w:i/>
          <w:iCs/>
          <w:lang w:val="pt-BR"/>
        </w:rPr>
        <w:t>RMSE</w:t>
      </w:r>
      <w:r w:rsidRPr="000F5F0B">
        <w:rPr>
          <w:rFonts w:ascii="Times New Roman" w:hAnsi="Times New Roman" w:cs="Times New Roman"/>
          <w:lang w:val="pt-BR"/>
        </w:rPr>
        <w:t xml:space="preserve"> = √[(1/</w:t>
      </w:r>
      <w:r w:rsidRPr="000F5F0B">
        <w:rPr>
          <w:rFonts w:ascii="Times New Roman" w:hAnsi="Times New Roman" w:cs="Times New Roman"/>
          <w:i/>
          <w:iCs/>
          <w:lang w:val="pt-BR"/>
        </w:rPr>
        <w:t>n</w:t>
      </w:r>
      <w:r w:rsidRPr="000F5F0B">
        <w:rPr>
          <w:rFonts w:ascii="Times New Roman" w:hAnsi="Times New Roman" w:cs="Times New Roman"/>
          <w:lang w:val="pt-BR"/>
        </w:rPr>
        <w:t xml:space="preserve">) </w:t>
      </w:r>
      <w:r w:rsidRPr="000F5F0B">
        <w:rPr>
          <w:rFonts w:ascii="Times New Roman" w:hAnsi="Times New Roman" w:cs="Times New Roman"/>
          <w:i/>
          <w:iCs/>
        </w:rPr>
        <w:t>Σ</w:t>
      </w:r>
      <w:r w:rsidRPr="000F5F0B">
        <w:rPr>
          <w:rFonts w:ascii="Times New Roman" w:hAnsi="Times New Roman" w:cs="Times New Roman"/>
          <w:vertAlign w:val="subscript"/>
          <w:lang w:val="pt-BR"/>
        </w:rPr>
        <w:t>i=1</w:t>
      </w:r>
      <w:r w:rsidRPr="000F5F0B">
        <w:rPr>
          <w:rFonts w:ascii="Times New Roman" w:hAnsi="Times New Roman" w:cs="Times New Roman"/>
          <w:vertAlign w:val="superscript"/>
          <w:lang w:val="pt-BR"/>
        </w:rPr>
        <w:t>n</w:t>
      </w:r>
      <w:r w:rsidRPr="000F5F0B">
        <w:rPr>
          <w:rFonts w:ascii="Times New Roman" w:hAnsi="Times New Roman" w:cs="Times New Roman"/>
          <w:lang w:val="pt-BR"/>
        </w:rPr>
        <w:t xml:space="preserve"> (</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vertAlign w:val="superscript"/>
          <w:lang w:val="pt-BR"/>
        </w:rPr>
        <w:t>2</w:t>
      </w:r>
      <w:r w:rsidRPr="000F5F0B">
        <w:rPr>
          <w:rFonts w:ascii="Times New Roman" w:hAnsi="Times New Roman" w:cs="Times New Roman"/>
          <w:lang w:val="pt-BR"/>
        </w:rPr>
        <w:t>]</w:t>
      </w:r>
      <w:r w:rsidRPr="000F5F0B">
        <w:rPr>
          <w:rFonts w:ascii="Times New Roman" w:hAnsi="Times New Roman" w:cs="Times New Roman"/>
          <w:lang w:val="pt-BR"/>
        </w:rPr>
        <w:tab/>
        <w:t>(17)</w:t>
      </w:r>
    </w:p>
    <w:p w14:paraId="3961E05F" w14:textId="77777777"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lang w:val="pt-BR"/>
        </w:rPr>
        <w:tab/>
      </w:r>
      <w:r w:rsidRPr="000F5F0B">
        <w:rPr>
          <w:rFonts w:ascii="Times New Roman" w:hAnsi="Times New Roman" w:cs="Times New Roman"/>
          <w:i/>
          <w:iCs/>
          <w:lang w:val="pt-BR"/>
        </w:rPr>
        <w:t>MAE</w:t>
      </w:r>
      <w:r w:rsidRPr="000F5F0B">
        <w:rPr>
          <w:rFonts w:ascii="Times New Roman" w:hAnsi="Times New Roman" w:cs="Times New Roman"/>
          <w:lang w:val="pt-BR"/>
        </w:rPr>
        <w:t xml:space="preserve"> = (1/</w:t>
      </w:r>
      <w:r w:rsidRPr="000F5F0B">
        <w:rPr>
          <w:rFonts w:ascii="Times New Roman" w:hAnsi="Times New Roman" w:cs="Times New Roman"/>
          <w:i/>
          <w:iCs/>
          <w:lang w:val="pt-BR"/>
        </w:rPr>
        <w:t>n</w:t>
      </w:r>
      <w:r w:rsidRPr="000F5F0B">
        <w:rPr>
          <w:rFonts w:ascii="Times New Roman" w:hAnsi="Times New Roman" w:cs="Times New Roman"/>
          <w:lang w:val="pt-BR"/>
        </w:rPr>
        <w:t xml:space="preserve">) </w:t>
      </w:r>
      <w:r w:rsidRPr="000F5F0B">
        <w:rPr>
          <w:rFonts w:ascii="Times New Roman" w:hAnsi="Times New Roman" w:cs="Times New Roman"/>
          <w:i/>
          <w:iCs/>
        </w:rPr>
        <w:t>Σ</w:t>
      </w:r>
      <w:r w:rsidRPr="000F5F0B">
        <w:rPr>
          <w:rFonts w:ascii="Times New Roman" w:hAnsi="Times New Roman" w:cs="Times New Roman"/>
          <w:vertAlign w:val="subscript"/>
          <w:lang w:val="pt-BR"/>
        </w:rPr>
        <w:t>i=1</w:t>
      </w:r>
      <w:r w:rsidRPr="000F5F0B">
        <w:rPr>
          <w:rFonts w:ascii="Times New Roman" w:hAnsi="Times New Roman" w:cs="Times New Roman"/>
          <w:vertAlign w:val="superscript"/>
          <w:lang w:val="pt-BR"/>
        </w:rPr>
        <w:t>n</w:t>
      </w:r>
      <w:r w:rsidRPr="000F5F0B">
        <w:rPr>
          <w:rFonts w:ascii="Times New Roman" w:hAnsi="Times New Roman" w:cs="Times New Roman"/>
          <w:lang w:val="pt-BR"/>
        </w:rPr>
        <w:t xml:space="preserve"> |</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lang w:val="pt-BR"/>
        </w:rPr>
        <w:tab/>
        <w:t>(18)</w:t>
      </w:r>
    </w:p>
    <w:p w14:paraId="7AE977FF" w14:textId="77777777" w:rsidR="00ED74D0" w:rsidRPr="000F5F0B" w:rsidRDefault="00000000">
      <w:pPr>
        <w:tabs>
          <w:tab w:val="center" w:pos="4680"/>
          <w:tab w:val="right" w:pos="9350"/>
        </w:tabs>
        <w:spacing w:before="160" w:after="160"/>
        <w:rPr>
          <w:rFonts w:ascii="Times New Roman" w:hAnsi="Times New Roman" w:cs="Times New Roman"/>
          <w:lang w:val="pt-BR"/>
        </w:rPr>
      </w:pPr>
      <w:r w:rsidRPr="000F5F0B">
        <w:rPr>
          <w:rFonts w:ascii="Times New Roman" w:hAnsi="Times New Roman" w:cs="Times New Roman"/>
          <w:lang w:val="pt-BR"/>
        </w:rPr>
        <w:tab/>
      </w:r>
      <w:r w:rsidRPr="000F5F0B">
        <w:rPr>
          <w:rFonts w:ascii="Times New Roman" w:hAnsi="Times New Roman" w:cs="Times New Roman"/>
          <w:i/>
          <w:iCs/>
          <w:lang w:val="pt-BR"/>
        </w:rPr>
        <w:t>R</w:t>
      </w:r>
      <w:r w:rsidRPr="000F5F0B">
        <w:rPr>
          <w:rFonts w:ascii="Times New Roman" w:hAnsi="Times New Roman" w:cs="Times New Roman"/>
          <w:vertAlign w:val="superscript"/>
          <w:lang w:val="pt-BR"/>
        </w:rPr>
        <w:t>2</w:t>
      </w:r>
      <w:r w:rsidRPr="000F5F0B">
        <w:rPr>
          <w:rFonts w:ascii="Times New Roman" w:hAnsi="Times New Roman" w:cs="Times New Roman"/>
          <w:lang w:val="pt-BR"/>
        </w:rPr>
        <w:t xml:space="preserve"> = 1 − [</w:t>
      </w:r>
      <w:r w:rsidRPr="000F5F0B">
        <w:rPr>
          <w:rFonts w:ascii="Times New Roman" w:hAnsi="Times New Roman" w:cs="Times New Roman"/>
          <w:i/>
          <w:iCs/>
        </w:rPr>
        <w:t>Σ</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vertAlign w:val="superscript"/>
          <w:lang w:val="pt-BR"/>
        </w:rPr>
        <w:t>2</w:t>
      </w:r>
      <w:r w:rsidRPr="000F5F0B">
        <w:rPr>
          <w:rFonts w:ascii="Times New Roman" w:hAnsi="Times New Roman" w:cs="Times New Roman"/>
          <w:lang w:val="pt-BR"/>
        </w:rPr>
        <w:t>] / [</w:t>
      </w:r>
      <w:r w:rsidRPr="000F5F0B">
        <w:rPr>
          <w:rFonts w:ascii="Times New Roman" w:hAnsi="Times New Roman" w:cs="Times New Roman"/>
          <w:i/>
          <w:iCs/>
        </w:rPr>
        <w:t>Σ</w:t>
      </w:r>
      <w:r w:rsidRPr="000F5F0B">
        <w:rPr>
          <w:rFonts w:ascii="Times New Roman" w:hAnsi="Times New Roman" w:cs="Times New Roman"/>
          <w:vertAlign w:val="subscript"/>
          <w:lang w:val="pt-BR"/>
        </w:rPr>
        <w:t>i</w:t>
      </w:r>
      <w:r w:rsidRPr="000F5F0B">
        <w:rPr>
          <w:rFonts w:ascii="Times New Roman" w:hAnsi="Times New Roman" w:cs="Times New Roman"/>
          <w:lang w:val="pt-BR"/>
        </w:rPr>
        <w:t>(</w:t>
      </w:r>
      <w:r w:rsidRPr="000F5F0B">
        <w:rPr>
          <w:rFonts w:ascii="Times New Roman" w:hAnsi="Times New Roman" w:cs="Times New Roman"/>
          <w:i/>
          <w:iCs/>
          <w:lang w:val="pt-BR"/>
        </w:rPr>
        <w:t>y</w:t>
      </w:r>
      <w:r w:rsidRPr="000F5F0B">
        <w:rPr>
          <w:rFonts w:ascii="Times New Roman" w:hAnsi="Times New Roman" w:cs="Times New Roman"/>
          <w:vertAlign w:val="subscript"/>
          <w:lang w:val="pt-BR"/>
        </w:rPr>
        <w:t>i</w:t>
      </w:r>
      <w:r w:rsidRPr="000F5F0B">
        <w:rPr>
          <w:rFonts w:ascii="Times New Roman" w:hAnsi="Times New Roman" w:cs="Times New Roman"/>
          <w:lang w:val="pt-BR"/>
        </w:rPr>
        <w:t xml:space="preserve"> − </w:t>
      </w:r>
      <w:r w:rsidRPr="000F5F0B">
        <w:rPr>
          <w:rFonts w:ascii="Times New Roman" w:hAnsi="Times New Roman" w:cs="Times New Roman"/>
          <w:i/>
          <w:iCs/>
          <w:lang w:val="pt-BR"/>
        </w:rPr>
        <w:t>ȳ</w:t>
      </w:r>
      <w:r w:rsidRPr="000F5F0B">
        <w:rPr>
          <w:rFonts w:ascii="Times New Roman" w:hAnsi="Times New Roman" w:cs="Times New Roman"/>
          <w:lang w:val="pt-BR"/>
        </w:rPr>
        <w:t>)</w:t>
      </w:r>
      <w:r w:rsidRPr="000F5F0B">
        <w:rPr>
          <w:rFonts w:ascii="Times New Roman" w:hAnsi="Times New Roman" w:cs="Times New Roman"/>
          <w:vertAlign w:val="superscript"/>
          <w:lang w:val="pt-BR"/>
        </w:rPr>
        <w:t>2</w:t>
      </w:r>
      <w:r w:rsidRPr="000F5F0B">
        <w:rPr>
          <w:rFonts w:ascii="Times New Roman" w:hAnsi="Times New Roman" w:cs="Times New Roman"/>
          <w:lang w:val="pt-BR"/>
        </w:rPr>
        <w:t>]</w:t>
      </w:r>
      <w:r w:rsidRPr="000F5F0B">
        <w:rPr>
          <w:rFonts w:ascii="Times New Roman" w:hAnsi="Times New Roman" w:cs="Times New Roman"/>
          <w:lang w:val="pt-BR"/>
        </w:rPr>
        <w:tab/>
        <w:t>(19)</w:t>
      </w:r>
    </w:p>
    <w:p w14:paraId="1B42F074"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69AD6985"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where </w:t>
      </w:r>
      <w:proofErr w:type="spellStart"/>
      <w:r w:rsidRPr="000F5F0B">
        <w:rPr>
          <w:rFonts w:ascii="Times New Roman" w:hAnsi="Times New Roman" w:cs="Times New Roman"/>
          <w:i/>
          <w:iCs/>
        </w:rPr>
        <w:t>y</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is the observed (held-out) Brix value, </w:t>
      </w:r>
      <w:proofErr w:type="spellStart"/>
      <w:r w:rsidRPr="000F5F0B">
        <w:rPr>
          <w:rFonts w:ascii="Times New Roman" w:hAnsi="Times New Roman" w:cs="Times New Roman"/>
          <w:i/>
          <w:iCs/>
        </w:rPr>
        <w:t>ŷ</w:t>
      </w:r>
      <w:r w:rsidRPr="000F5F0B">
        <w:rPr>
          <w:rFonts w:ascii="Times New Roman" w:hAnsi="Times New Roman" w:cs="Times New Roman"/>
          <w:vertAlign w:val="subscript"/>
        </w:rPr>
        <w:t>i</w:t>
      </w:r>
      <w:proofErr w:type="spellEnd"/>
      <w:r w:rsidRPr="000F5F0B">
        <w:rPr>
          <w:rFonts w:ascii="Times New Roman" w:hAnsi="Times New Roman" w:cs="Times New Roman"/>
        </w:rPr>
        <w:t xml:space="preserve"> is the model prediction, and </w:t>
      </w:r>
      <w:r w:rsidRPr="000F5F0B">
        <w:rPr>
          <w:rFonts w:ascii="Times New Roman" w:hAnsi="Times New Roman" w:cs="Times New Roman"/>
          <w:i/>
          <w:iCs/>
        </w:rPr>
        <w:t>ȳ</w:t>
      </w:r>
      <w:r w:rsidRPr="000F5F0B">
        <w:rPr>
          <w:rFonts w:ascii="Times New Roman" w:hAnsi="Times New Roman" w:cs="Times New Roman"/>
        </w:rPr>
        <w:t xml:space="preserve"> is the mean observed Brix. Unlike an in-sample </w:t>
      </w:r>
      <w:r w:rsidRPr="000F5F0B">
        <w:rPr>
          <w:rFonts w:ascii="Times New Roman" w:hAnsi="Times New Roman" w:cs="Times New Roman"/>
          <w:i/>
          <w:iCs/>
        </w:rPr>
        <w:t>R</w:t>
      </w:r>
      <w:r w:rsidRPr="000F5F0B">
        <w:rPr>
          <w:rFonts w:ascii="Times New Roman" w:hAnsi="Times New Roman" w:cs="Times New Roman"/>
          <w:vertAlign w:val="superscript"/>
        </w:rPr>
        <w:t>2</w:t>
      </w:r>
      <w:r w:rsidRPr="000F5F0B">
        <w:rPr>
          <w:rFonts w:ascii="Times New Roman" w:hAnsi="Times New Roman" w:cs="Times New Roman"/>
        </w:rPr>
        <w:t xml:space="preserve"> computed on the training data itself, the cross-validated </w:t>
      </w:r>
      <w:r w:rsidRPr="000F5F0B">
        <w:rPr>
          <w:rFonts w:ascii="Times New Roman" w:hAnsi="Times New Roman" w:cs="Times New Roman"/>
          <w:i/>
          <w:iCs/>
        </w:rPr>
        <w:t>R</w:t>
      </w:r>
      <w:r w:rsidRPr="000F5F0B">
        <w:rPr>
          <w:rFonts w:ascii="Times New Roman" w:hAnsi="Times New Roman" w:cs="Times New Roman"/>
          <w:vertAlign w:val="superscript"/>
        </w:rPr>
        <w:t>2</w:t>
      </w:r>
      <w:r w:rsidRPr="000F5F0B">
        <w:rPr>
          <w:rFonts w:ascii="Times New Roman" w:hAnsi="Times New Roman" w:cs="Times New Roman"/>
        </w:rPr>
        <w:t xml:space="preserve"> in Equation 19 can legitimately be negative, </w:t>
      </w:r>
      <w:r w:rsidRPr="000F5F0B">
        <w:rPr>
          <w:rFonts w:ascii="Times New Roman" w:hAnsi="Times New Roman" w:cs="Times New Roman"/>
        </w:rPr>
        <w:t>indicating a model that performs worse than simply predicting the mean.</w:t>
      </w:r>
    </w:p>
    <w:p w14:paraId="0A364F54" w14:textId="77777777" w:rsidR="00580DA6" w:rsidRDefault="00580DA6">
      <w:pPr>
        <w:pStyle w:val="Heading1"/>
        <w:spacing w:before="320" w:after="160"/>
        <w:rPr>
          <w:rFonts w:ascii="Times New Roman" w:hAnsi="Times New Roman" w:cs="Times New Roman"/>
        </w:rPr>
      </w:pPr>
    </w:p>
    <w:p w14:paraId="3CB60522" w14:textId="55CBE5A8" w:rsidR="00ED74D0" w:rsidRPr="007A37AF" w:rsidRDefault="00000000">
      <w:pPr>
        <w:pStyle w:val="Heading1"/>
        <w:spacing w:before="320" w:after="160"/>
        <w:rPr>
          <w:rFonts w:ascii="Times New Roman" w:hAnsi="Times New Roman" w:cs="Times New Roman"/>
          <w:color w:val="auto"/>
        </w:rPr>
      </w:pPr>
      <w:r w:rsidRPr="007A37AF">
        <w:rPr>
          <w:rFonts w:ascii="Times New Roman" w:hAnsi="Times New Roman" w:cs="Times New Roman"/>
          <w:color w:val="auto"/>
        </w:rPr>
        <w:lastRenderedPageBreak/>
        <w:t>3. Results</w:t>
      </w:r>
    </w:p>
    <w:p w14:paraId="2DEFBFD2"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3.1 Maize Fertility Zoning and Variable-Rate Prescription</w:t>
      </w:r>
    </w:p>
    <w:p w14:paraId="619EA64A" w14:textId="27EBA80C"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Soil pH averaged 5.39 across the field (SD = 0.09), indicating uniformly moderate acidity, whereas organic matter (1.80–2.50%), calcium (350–750 units), potassium, and phosphorus concentrations varied considerably among sampling points, indicating distinct fertility zones. Surface and deep water content ranged 0.24–0.35 and 0.29–0.35, respectively</w:t>
      </w:r>
      <w:r w:rsidR="000F5F0B">
        <w:rPr>
          <w:rFonts w:ascii="Times New Roman" w:hAnsi="Times New Roman" w:cs="Times New Roman"/>
        </w:rPr>
        <w:t xml:space="preserve"> </w:t>
      </w:r>
      <w:r w:rsidRPr="000F5F0B">
        <w:rPr>
          <w:rFonts w:ascii="Times New Roman" w:hAnsi="Times New Roman" w:cs="Times New Roman"/>
        </w:rPr>
        <w:t xml:space="preserve">comparatively stable but agronomically relevant. PivotTable </w:t>
      </w:r>
      <w:proofErr w:type="spellStart"/>
      <w:r w:rsidRPr="000F5F0B">
        <w:rPr>
          <w:rFonts w:ascii="Times New Roman" w:hAnsi="Times New Roman" w:cs="Times New Roman"/>
        </w:rPr>
        <w:t>summarisation</w:t>
      </w:r>
      <w:proofErr w:type="spellEnd"/>
      <w:r w:rsidRPr="000F5F0B">
        <w:rPr>
          <w:rFonts w:ascii="Times New Roman" w:hAnsi="Times New Roman" w:cs="Times New Roman"/>
        </w:rPr>
        <w:t xml:space="preserve"> across the sixteen Thiessen-defined soil-influence zones showed consistent above- or below-average yield performance by zone, supporting the presence of spatially structured, rather than random, yield variability.</w:t>
      </w:r>
    </w:p>
    <w:p w14:paraId="1E5E5E45"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Pairwise correlation analysis (Table 2) identified deep soil-water content as the variable most strongly associated with corn yield (r = 0.972), followed by potassium oxide (r = 0.751) and organic matter (r = 0.711); phosphorus pentoxide was moderately negatively correlated with yield (r = −0.592), and calcium and magnesium were weakly-to-moderately negatively correlated with yield (r = −0.491 and −0.364, respectively) despite being strongly positively correlated with each other (r = 0.956), indicating that the two nutrients co-vary spatially rather than independently limiting yield.</w:t>
      </w:r>
    </w:p>
    <w:p w14:paraId="3CF48722" w14:textId="77777777" w:rsidR="00923BD4" w:rsidRPr="00923BD4" w:rsidRDefault="00923BD4" w:rsidP="00923BD4">
      <w:pPr>
        <w:spacing w:after="220"/>
        <w:jc w:val="both"/>
        <w:rPr>
          <w:rFonts w:ascii="Times New Roman" w:hAnsi="Times New Roman" w:cs="Times New Roman"/>
          <w:b/>
          <w:bCs/>
        </w:rPr>
      </w:pPr>
      <w:r w:rsidRPr="00923BD4">
        <w:rPr>
          <w:rFonts w:ascii="Times New Roman" w:hAnsi="Times New Roman" w:cs="Times New Roman"/>
          <w:b/>
          <w:bCs/>
        </w:rPr>
        <w:t>Table 2. Pearson correlation coefficients between corn yield and principal soil/water covariates, Coimbra maize field (n = field-wide Thiessen-zoned samples).</w:t>
      </w:r>
    </w:p>
    <w:p w14:paraId="720F3F8B" w14:textId="77777777" w:rsidR="00923BD4" w:rsidRDefault="00923BD4" w:rsidP="00A45A65">
      <w:pPr>
        <w:pBdr>
          <w:bottom w:val="single" w:sz="4" w:space="1" w:color="auto"/>
        </w:pBdr>
        <w:rPr>
          <w:rFonts w:ascii="Times New Roman" w:hAnsi="Times New Roman" w:cs="Times New Roman"/>
          <w:b/>
          <w:bCs/>
          <w:sz w:val="20"/>
          <w:szCs w:val="20"/>
        </w:rPr>
        <w:sectPr w:rsidR="00923BD4" w:rsidSect="00923BD4">
          <w:type w:val="continuous"/>
          <w:pgSz w:w="12240" w:h="15840"/>
          <w:pgMar w:top="1440" w:right="1440" w:bottom="1440" w:left="1440" w:header="708" w:footer="708" w:gutter="0"/>
          <w:cols w:num="2" w:space="720"/>
          <w:docGrid w:linePitch="360"/>
        </w:sectPr>
      </w:pPr>
    </w:p>
    <w:tbl>
      <w:tblPr>
        <w:tblStyle w:val="PlainTable3"/>
        <w:tblW w:w="9350" w:type="dxa"/>
        <w:tblBorders>
          <w:top w:val="single" w:sz="4" w:space="0" w:color="auto"/>
          <w:bottom w:val="single" w:sz="4" w:space="0" w:color="auto"/>
        </w:tblBorders>
        <w:tblLook w:val="0000" w:firstRow="0" w:lastRow="0" w:firstColumn="0" w:lastColumn="0" w:noHBand="0" w:noVBand="0"/>
      </w:tblPr>
      <w:tblGrid>
        <w:gridCol w:w="4400"/>
        <w:gridCol w:w="1800"/>
        <w:gridCol w:w="3150"/>
      </w:tblGrid>
      <w:tr w:rsidR="00ED74D0" w:rsidRPr="000F5F0B" w14:paraId="48A42114" w14:textId="77777777" w:rsidTr="00A45A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Pr>
          <w:p w14:paraId="25533A6F" w14:textId="77777777" w:rsidR="00ED74D0" w:rsidRPr="000F5F0B" w:rsidRDefault="00000000" w:rsidP="00A45A65">
            <w:pPr>
              <w:pBdr>
                <w:bottom w:val="single" w:sz="4" w:space="1" w:color="auto"/>
              </w:pBdr>
              <w:rPr>
                <w:rFonts w:ascii="Times New Roman" w:hAnsi="Times New Roman" w:cs="Times New Roman"/>
              </w:rPr>
            </w:pPr>
            <w:r w:rsidRPr="000F5F0B">
              <w:rPr>
                <w:rFonts w:ascii="Times New Roman" w:hAnsi="Times New Roman" w:cs="Times New Roman"/>
                <w:b/>
                <w:bCs/>
                <w:sz w:val="20"/>
                <w:szCs w:val="20"/>
              </w:rPr>
              <w:t>Variable pair</w:t>
            </w:r>
          </w:p>
        </w:tc>
        <w:tc>
          <w:tcPr>
            <w:tcW w:w="1800" w:type="dxa"/>
          </w:tcPr>
          <w:p w14:paraId="04F5851A" w14:textId="77777777" w:rsidR="00ED74D0" w:rsidRPr="000F5F0B" w:rsidRDefault="00000000" w:rsidP="00A45A65">
            <w:pPr>
              <w:pBdr>
                <w:bottom w:val="single" w:sz="4" w:space="1" w:color="auto"/>
              </w:pBd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b/>
                <w:bCs/>
                <w:sz w:val="20"/>
                <w:szCs w:val="20"/>
              </w:rPr>
              <w:t>Pearson r</w:t>
            </w:r>
          </w:p>
        </w:tc>
        <w:tc>
          <w:tcPr>
            <w:cnfStyle w:val="000010000000" w:firstRow="0" w:lastRow="0" w:firstColumn="0" w:lastColumn="0" w:oddVBand="1" w:evenVBand="0" w:oddHBand="0" w:evenHBand="0" w:firstRowFirstColumn="0" w:firstRowLastColumn="0" w:lastRowFirstColumn="0" w:lastRowLastColumn="0"/>
            <w:tcW w:w="3150" w:type="dxa"/>
          </w:tcPr>
          <w:p w14:paraId="59FFE294" w14:textId="77777777" w:rsidR="00ED74D0" w:rsidRPr="000F5F0B" w:rsidRDefault="00000000" w:rsidP="00A45A65">
            <w:pPr>
              <w:pBdr>
                <w:bottom w:val="single" w:sz="4" w:space="1" w:color="auto"/>
              </w:pBdr>
              <w:rPr>
                <w:rFonts w:ascii="Times New Roman" w:hAnsi="Times New Roman" w:cs="Times New Roman"/>
              </w:rPr>
            </w:pPr>
            <w:r w:rsidRPr="000F5F0B">
              <w:rPr>
                <w:rFonts w:ascii="Times New Roman" w:hAnsi="Times New Roman" w:cs="Times New Roman"/>
                <w:b/>
                <w:bCs/>
                <w:sz w:val="20"/>
                <w:szCs w:val="20"/>
              </w:rPr>
              <w:t>Interpretation</w:t>
            </w:r>
          </w:p>
        </w:tc>
      </w:tr>
      <w:tr w:rsidR="00ED74D0" w:rsidRPr="000F5F0B" w14:paraId="525337A8" w14:textId="77777777" w:rsidTr="00A45A65">
        <w:tc>
          <w:tcPr>
            <w:cnfStyle w:val="000010000000" w:firstRow="0" w:lastRow="0" w:firstColumn="0" w:lastColumn="0" w:oddVBand="1" w:evenVBand="0" w:oddHBand="0" w:evenHBand="0" w:firstRowFirstColumn="0" w:firstRowLastColumn="0" w:lastRowFirstColumn="0" w:lastRowLastColumn="0"/>
            <w:tcW w:w="4400" w:type="dxa"/>
          </w:tcPr>
          <w:p w14:paraId="5B95E9E2"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Corn yield – Deep water content</w:t>
            </w:r>
          </w:p>
        </w:tc>
        <w:tc>
          <w:tcPr>
            <w:tcW w:w="1800" w:type="dxa"/>
          </w:tcPr>
          <w:p w14:paraId="213A7957" w14:textId="77777777" w:rsidR="00ED74D0" w:rsidRPr="000F5F0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0.972</w:t>
            </w:r>
          </w:p>
        </w:tc>
        <w:tc>
          <w:tcPr>
            <w:cnfStyle w:val="000010000000" w:firstRow="0" w:lastRow="0" w:firstColumn="0" w:lastColumn="0" w:oddVBand="1" w:evenVBand="0" w:oddHBand="0" w:evenHBand="0" w:firstRowFirstColumn="0" w:firstRowLastColumn="0" w:lastRowFirstColumn="0" w:lastRowLastColumn="0"/>
            <w:tcW w:w="3150" w:type="dxa"/>
          </w:tcPr>
          <w:p w14:paraId="5B4DCA35"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Dominant positive driver of yield</w:t>
            </w:r>
          </w:p>
        </w:tc>
      </w:tr>
      <w:tr w:rsidR="00ED74D0" w:rsidRPr="000F5F0B" w14:paraId="62F76651" w14:textId="77777777" w:rsidTr="00A45A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Pr>
          <w:p w14:paraId="5D8B112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Corn yield – Potassium oxide (K₂O)</w:t>
            </w:r>
          </w:p>
        </w:tc>
        <w:tc>
          <w:tcPr>
            <w:tcW w:w="1800" w:type="dxa"/>
          </w:tcPr>
          <w:p w14:paraId="3B1DFF4D" w14:textId="77777777" w:rsidR="00ED74D0" w:rsidRPr="000F5F0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0.751</w:t>
            </w:r>
          </w:p>
        </w:tc>
        <w:tc>
          <w:tcPr>
            <w:cnfStyle w:val="000010000000" w:firstRow="0" w:lastRow="0" w:firstColumn="0" w:lastColumn="0" w:oddVBand="1" w:evenVBand="0" w:oddHBand="0" w:evenHBand="0" w:firstRowFirstColumn="0" w:firstRowLastColumn="0" w:lastRowFirstColumn="0" w:lastRowLastColumn="0"/>
            <w:tcW w:w="3150" w:type="dxa"/>
          </w:tcPr>
          <w:p w14:paraId="08D809AA"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Strong positive</w:t>
            </w:r>
          </w:p>
        </w:tc>
      </w:tr>
      <w:tr w:rsidR="00ED74D0" w:rsidRPr="000F5F0B" w14:paraId="62E8F203" w14:textId="77777777" w:rsidTr="00A45A65">
        <w:tc>
          <w:tcPr>
            <w:cnfStyle w:val="000010000000" w:firstRow="0" w:lastRow="0" w:firstColumn="0" w:lastColumn="0" w:oddVBand="1" w:evenVBand="0" w:oddHBand="0" w:evenHBand="0" w:firstRowFirstColumn="0" w:firstRowLastColumn="0" w:lastRowFirstColumn="0" w:lastRowLastColumn="0"/>
            <w:tcW w:w="4400" w:type="dxa"/>
          </w:tcPr>
          <w:p w14:paraId="481D2E08"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Corn yield – Organic matter</w:t>
            </w:r>
          </w:p>
        </w:tc>
        <w:tc>
          <w:tcPr>
            <w:tcW w:w="1800" w:type="dxa"/>
          </w:tcPr>
          <w:p w14:paraId="227BC55F" w14:textId="77777777" w:rsidR="00ED74D0" w:rsidRPr="000F5F0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0.711</w:t>
            </w:r>
          </w:p>
        </w:tc>
        <w:tc>
          <w:tcPr>
            <w:cnfStyle w:val="000010000000" w:firstRow="0" w:lastRow="0" w:firstColumn="0" w:lastColumn="0" w:oddVBand="1" w:evenVBand="0" w:oddHBand="0" w:evenHBand="0" w:firstRowFirstColumn="0" w:firstRowLastColumn="0" w:lastRowFirstColumn="0" w:lastRowLastColumn="0"/>
            <w:tcW w:w="3150" w:type="dxa"/>
          </w:tcPr>
          <w:p w14:paraId="014F8689"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Strong positive</w:t>
            </w:r>
          </w:p>
        </w:tc>
      </w:tr>
      <w:tr w:rsidR="00ED74D0" w:rsidRPr="000F5F0B" w14:paraId="354ACB94" w14:textId="77777777" w:rsidTr="00A45A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Pr>
          <w:p w14:paraId="1D99386E"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Corn yield – Phosphorus pentoxide (P₂O₅)</w:t>
            </w:r>
          </w:p>
        </w:tc>
        <w:tc>
          <w:tcPr>
            <w:tcW w:w="1800" w:type="dxa"/>
          </w:tcPr>
          <w:p w14:paraId="1A16A303" w14:textId="77777777" w:rsidR="00ED74D0" w:rsidRPr="000F5F0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−0.592</w:t>
            </w:r>
          </w:p>
        </w:tc>
        <w:tc>
          <w:tcPr>
            <w:cnfStyle w:val="000010000000" w:firstRow="0" w:lastRow="0" w:firstColumn="0" w:lastColumn="0" w:oddVBand="1" w:evenVBand="0" w:oddHBand="0" w:evenHBand="0" w:firstRowFirstColumn="0" w:firstRowLastColumn="0" w:lastRowFirstColumn="0" w:lastRowLastColumn="0"/>
            <w:tcW w:w="3150" w:type="dxa"/>
          </w:tcPr>
          <w:p w14:paraId="717875C4"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Moderate negative</w:t>
            </w:r>
          </w:p>
        </w:tc>
      </w:tr>
      <w:tr w:rsidR="00ED74D0" w:rsidRPr="000F5F0B" w14:paraId="1461CB3B" w14:textId="77777777" w:rsidTr="00A45A65">
        <w:tc>
          <w:tcPr>
            <w:cnfStyle w:val="000010000000" w:firstRow="0" w:lastRow="0" w:firstColumn="0" w:lastColumn="0" w:oddVBand="1" w:evenVBand="0" w:oddHBand="0" w:evenHBand="0" w:firstRowFirstColumn="0" w:firstRowLastColumn="0" w:lastRowFirstColumn="0" w:lastRowLastColumn="0"/>
            <w:tcW w:w="4400" w:type="dxa"/>
          </w:tcPr>
          <w:p w14:paraId="1170AB7C"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Corn yield – Calcium oxide (CaO)</w:t>
            </w:r>
          </w:p>
        </w:tc>
        <w:tc>
          <w:tcPr>
            <w:tcW w:w="1800" w:type="dxa"/>
          </w:tcPr>
          <w:p w14:paraId="2A6F68CC" w14:textId="77777777" w:rsidR="00ED74D0" w:rsidRPr="000F5F0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−0.491</w:t>
            </w:r>
          </w:p>
        </w:tc>
        <w:tc>
          <w:tcPr>
            <w:cnfStyle w:val="000010000000" w:firstRow="0" w:lastRow="0" w:firstColumn="0" w:lastColumn="0" w:oddVBand="1" w:evenVBand="0" w:oddHBand="0" w:evenHBand="0" w:firstRowFirstColumn="0" w:firstRowLastColumn="0" w:lastRowFirstColumn="0" w:lastRowLastColumn="0"/>
            <w:tcW w:w="3150" w:type="dxa"/>
          </w:tcPr>
          <w:p w14:paraId="0F142F28"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Moderate negative</w:t>
            </w:r>
          </w:p>
        </w:tc>
      </w:tr>
      <w:tr w:rsidR="00ED74D0" w:rsidRPr="000F5F0B" w14:paraId="11CFC6F6" w14:textId="77777777" w:rsidTr="00A45A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Pr>
          <w:p w14:paraId="06BE44A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Corn yield – Magnesium oxide (MgO)</w:t>
            </w:r>
          </w:p>
        </w:tc>
        <w:tc>
          <w:tcPr>
            <w:tcW w:w="1800" w:type="dxa"/>
          </w:tcPr>
          <w:p w14:paraId="4C5D0A5E" w14:textId="77777777" w:rsidR="00ED74D0" w:rsidRPr="000F5F0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−0.364</w:t>
            </w:r>
          </w:p>
        </w:tc>
        <w:tc>
          <w:tcPr>
            <w:cnfStyle w:val="000010000000" w:firstRow="0" w:lastRow="0" w:firstColumn="0" w:lastColumn="0" w:oddVBand="1" w:evenVBand="0" w:oddHBand="0" w:evenHBand="0" w:firstRowFirstColumn="0" w:firstRowLastColumn="0" w:lastRowFirstColumn="0" w:lastRowLastColumn="0"/>
            <w:tcW w:w="3150" w:type="dxa"/>
          </w:tcPr>
          <w:p w14:paraId="2863A578"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Weak-to-moderate negative</w:t>
            </w:r>
          </w:p>
        </w:tc>
      </w:tr>
      <w:tr w:rsidR="00ED74D0" w:rsidRPr="000F5F0B" w14:paraId="5F91DBFA" w14:textId="77777777" w:rsidTr="00A45A65">
        <w:tc>
          <w:tcPr>
            <w:cnfStyle w:val="000010000000" w:firstRow="0" w:lastRow="0" w:firstColumn="0" w:lastColumn="0" w:oddVBand="1" w:evenVBand="0" w:oddHBand="0" w:evenHBand="0" w:firstRowFirstColumn="0" w:firstRowLastColumn="0" w:lastRowFirstColumn="0" w:lastRowLastColumn="0"/>
            <w:tcW w:w="4400" w:type="dxa"/>
          </w:tcPr>
          <w:p w14:paraId="6B10811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Calcium oxide – Magnesium oxide</w:t>
            </w:r>
          </w:p>
        </w:tc>
        <w:tc>
          <w:tcPr>
            <w:tcW w:w="1800" w:type="dxa"/>
          </w:tcPr>
          <w:p w14:paraId="73353242" w14:textId="77777777" w:rsidR="00ED74D0" w:rsidRPr="000F5F0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5F0B">
              <w:rPr>
                <w:rFonts w:ascii="Times New Roman" w:hAnsi="Times New Roman" w:cs="Times New Roman"/>
                <w:sz w:val="20"/>
                <w:szCs w:val="20"/>
              </w:rPr>
              <w:t>0.956</w:t>
            </w:r>
          </w:p>
        </w:tc>
        <w:tc>
          <w:tcPr>
            <w:cnfStyle w:val="000010000000" w:firstRow="0" w:lastRow="0" w:firstColumn="0" w:lastColumn="0" w:oddVBand="1" w:evenVBand="0" w:oddHBand="0" w:evenHBand="0" w:firstRowFirstColumn="0" w:firstRowLastColumn="0" w:lastRowFirstColumn="0" w:lastRowLastColumn="0"/>
            <w:tcW w:w="3150" w:type="dxa"/>
          </w:tcPr>
          <w:p w14:paraId="5AD6053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Strong positive co-variation</w:t>
            </w:r>
          </w:p>
        </w:tc>
      </w:tr>
    </w:tbl>
    <w:p w14:paraId="11DA440F" w14:textId="77777777" w:rsidR="00ED74D0" w:rsidRPr="000F5F0B" w:rsidRDefault="00000000">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554310F7" wp14:editId="08EEA961">
            <wp:extent cx="5762625" cy="3609975"/>
            <wp:effectExtent l="0" t="0" r="0" b="0"/>
            <wp:docPr id="863755240" name="Picture 8637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9975"/>
                    </a:xfrm>
                    <a:prstGeom prst="rect">
                      <a:avLst/>
                    </a:prstGeom>
                  </pic:spPr>
                </pic:pic>
              </a:graphicData>
            </a:graphic>
          </wp:inline>
        </w:drawing>
      </w:r>
    </w:p>
    <w:p w14:paraId="7D71C03F" w14:textId="77777777" w:rsidR="00ED74D0" w:rsidRPr="000F5F0B" w:rsidRDefault="00000000">
      <w:pPr>
        <w:spacing w:after="220"/>
        <w:jc w:val="both"/>
        <w:rPr>
          <w:rFonts w:ascii="Times New Roman" w:hAnsi="Times New Roman" w:cs="Times New Roman"/>
        </w:rPr>
      </w:pPr>
      <w:r w:rsidRPr="000F5F0B">
        <w:rPr>
          <w:rFonts w:ascii="Times New Roman" w:hAnsi="Times New Roman" w:cs="Times New Roman"/>
          <w:b/>
          <w:bCs/>
          <w:sz w:val="20"/>
          <w:szCs w:val="20"/>
        </w:rPr>
        <w:lastRenderedPageBreak/>
        <w:t>Figure 14. Descriptive and correlation analysis for the Coimbra maize field: (A) mean values of soil/water variables; (B) full correlation matrix of variable-rate variables; (C) correlation heat-map of environmental stressors; (D) correlation-coefficient summary; (E) yield–pH regression used for lime prescription.</w:t>
      </w:r>
    </w:p>
    <w:p w14:paraId="0BF0FBB2"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0FE93810" w14:textId="42AFFF06"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The quadratic lime-requirement model (</w:t>
      </w:r>
      <w:proofErr w:type="spellStart"/>
      <w:r w:rsidRPr="000F5F0B">
        <w:rPr>
          <w:rFonts w:ascii="Times New Roman" w:hAnsi="Times New Roman" w:cs="Times New Roman"/>
        </w:rPr>
        <w:t>CaCO</w:t>
      </w:r>
      <w:proofErr w:type="spellEnd"/>
      <w:r w:rsidRPr="000F5F0B">
        <w:rPr>
          <w:rFonts w:ascii="Times New Roman" w:hAnsi="Times New Roman" w:cs="Times New Roman"/>
        </w:rPr>
        <w:t>₃ = 3419.5(pH)² − 42630(pH) + 132738) indicated that a soil pH of 5.30 required ≈ 2853 kg ha⁻¹ of lime, compared with only ≈ 148 kg ha⁻¹ at pH 5.95. Relative to a uniform application rate of 2.5 t ha⁻¹ across the 16.85-ha field (42.125 t total), the variable-rate liming prescription reduced total lime demand to 39.429 t</w:t>
      </w:r>
      <w:r w:rsidR="000F5F0B">
        <w:rPr>
          <w:rFonts w:ascii="Times New Roman" w:hAnsi="Times New Roman" w:cs="Times New Roman"/>
        </w:rPr>
        <w:t xml:space="preserve"> </w:t>
      </w:r>
      <w:r w:rsidRPr="000F5F0B">
        <w:rPr>
          <w:rFonts w:ascii="Times New Roman" w:hAnsi="Times New Roman" w:cs="Times New Roman"/>
        </w:rPr>
        <w:t xml:space="preserve">a saving of 2.694 t. The </w:t>
      </w:r>
      <w:r w:rsidRPr="000F5F0B">
        <w:rPr>
          <w:rFonts w:ascii="Times New Roman" w:hAnsi="Times New Roman" w:cs="Times New Roman"/>
        </w:rPr>
        <w:t xml:space="preserve">NPK </w:t>
      </w:r>
      <w:proofErr w:type="spellStart"/>
      <w:r w:rsidRPr="000F5F0B">
        <w:rPr>
          <w:rFonts w:ascii="Times New Roman" w:hAnsi="Times New Roman" w:cs="Times New Roman"/>
        </w:rPr>
        <w:t>fertiliser</w:t>
      </w:r>
      <w:proofErr w:type="spellEnd"/>
      <w:r w:rsidRPr="000F5F0B">
        <w:rPr>
          <w:rFonts w:ascii="Times New Roman" w:hAnsi="Times New Roman" w:cs="Times New Roman"/>
        </w:rPr>
        <w:t xml:space="preserve">-requirement model (NPK = 39.795(Y)² − 230.22(Y) + 390.45, where Y is corn yield in kg m⁻²) achieved R² = 0.995, and predicted a roughly 4.6-fold difference in </w:t>
      </w:r>
      <w:proofErr w:type="spellStart"/>
      <w:r w:rsidRPr="000F5F0B">
        <w:rPr>
          <w:rFonts w:ascii="Times New Roman" w:hAnsi="Times New Roman" w:cs="Times New Roman"/>
        </w:rPr>
        <w:t>fertiliser</w:t>
      </w:r>
      <w:proofErr w:type="spellEnd"/>
      <w:r w:rsidRPr="000F5F0B">
        <w:rPr>
          <w:rFonts w:ascii="Times New Roman" w:hAnsi="Times New Roman" w:cs="Times New Roman"/>
        </w:rPr>
        <w:t xml:space="preserve"> demand between the lowest- and highest-yielding zones (358 versus 78 kg ha⁻¹ NPK).</w:t>
      </w:r>
    </w:p>
    <w:p w14:paraId="36F4950F"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01186501"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46E492F4" wp14:editId="49E674A1">
            <wp:extent cx="5762625" cy="4352925"/>
            <wp:effectExtent l="0" t="0" r="0" b="0"/>
            <wp:docPr id="997619690" name="Picture 99761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4352925"/>
                    </a:xfrm>
                    <a:prstGeom prst="rect">
                      <a:avLst/>
                    </a:prstGeom>
                  </pic:spPr>
                </pic:pic>
              </a:graphicData>
            </a:graphic>
          </wp:inline>
        </w:drawing>
      </w:r>
    </w:p>
    <w:p w14:paraId="1FE78AC4"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 xml:space="preserve">Figure 15. Model performance and zonation outputs: (A) NPK–yield quadratic regression; (B) observed-versus-predicted </w:t>
      </w:r>
      <w:proofErr w:type="spellStart"/>
      <w:r w:rsidRPr="000F5F0B">
        <w:rPr>
          <w:rFonts w:ascii="Times New Roman" w:hAnsi="Times New Roman" w:cs="Times New Roman"/>
          <w:b/>
          <w:bCs/>
          <w:sz w:val="20"/>
          <w:szCs w:val="20"/>
        </w:rPr>
        <w:t>fertiliser</w:t>
      </w:r>
      <w:proofErr w:type="spellEnd"/>
      <w:r w:rsidRPr="000F5F0B">
        <w:rPr>
          <w:rFonts w:ascii="Times New Roman" w:hAnsi="Times New Roman" w:cs="Times New Roman"/>
          <w:b/>
          <w:bCs/>
          <w:sz w:val="20"/>
          <w:szCs w:val="20"/>
        </w:rPr>
        <w:t xml:space="preserve"> requirement; (C) Thiessen-polygon soil/water sampling zones; (D) combined soil–water–fertility composite surface.</w:t>
      </w:r>
    </w:p>
    <w:p w14:paraId="10C34BE9"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lastRenderedPageBreak/>
        <w:drawing>
          <wp:inline distT="0" distB="0" distL="0" distR="0" wp14:anchorId="29152419" wp14:editId="2B16A43B">
            <wp:extent cx="5762625" cy="2200275"/>
            <wp:effectExtent l="0" t="0" r="0" b="0"/>
            <wp:docPr id="2085550161" name="Picture 208555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200275"/>
                    </a:xfrm>
                    <a:prstGeom prst="rect">
                      <a:avLst/>
                    </a:prstGeom>
                  </pic:spPr>
                </pic:pic>
              </a:graphicData>
            </a:graphic>
          </wp:inline>
        </w:drawing>
      </w:r>
    </w:p>
    <w:p w14:paraId="2F43EC4B"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16. Variable-rate prescription maps: (A) lime (pH-correction) variable-rate application map; (B) NPK variable-rate application map.</w:t>
      </w:r>
    </w:p>
    <w:p w14:paraId="60073F88" w14:textId="77777777" w:rsidR="00923BD4" w:rsidRDefault="00923BD4">
      <w:pPr>
        <w:pStyle w:val="Heading2"/>
        <w:spacing w:before="260" w:after="140"/>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5BCCD5BE"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 xml:space="preserve">3.2 </w:t>
      </w:r>
      <w:proofErr w:type="spellStart"/>
      <w:r w:rsidRPr="00093A3F">
        <w:rPr>
          <w:rFonts w:ascii="Times New Roman" w:hAnsi="Times New Roman" w:cs="Times New Roman"/>
          <w:color w:val="auto"/>
        </w:rPr>
        <w:t>Spatio</w:t>
      </w:r>
      <w:proofErr w:type="spellEnd"/>
      <w:r w:rsidRPr="00093A3F">
        <w:rPr>
          <w:rFonts w:ascii="Times New Roman" w:hAnsi="Times New Roman" w:cs="Times New Roman"/>
          <w:color w:val="auto"/>
        </w:rPr>
        <w:t>-Temporal Dynamics of the Grapevine Moth</w:t>
      </w:r>
    </w:p>
    <w:p w14:paraId="5C30D012"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Terrain analysis confirmed pronounced heterogeneity across Quinta da Senhora da Graça, with altitude ranging 61–400 m and slope 0–111% in the steepest sections adjacent to the </w:t>
      </w:r>
      <w:proofErr w:type="spellStart"/>
      <w:r w:rsidRPr="000F5F0B">
        <w:rPr>
          <w:rFonts w:ascii="Times New Roman" w:hAnsi="Times New Roman" w:cs="Times New Roman"/>
        </w:rPr>
        <w:t>Corgo</w:t>
      </w:r>
      <w:proofErr w:type="spellEnd"/>
      <w:r w:rsidRPr="000F5F0B">
        <w:rPr>
          <w:rFonts w:ascii="Times New Roman" w:hAnsi="Times New Roman" w:cs="Times New Roman"/>
        </w:rPr>
        <w:t xml:space="preserve"> River, consistent with the topographic complexity reported generally for the Douro Demarcated Region (</w:t>
      </w:r>
      <w:hyperlink w:anchor="fraga2018" w:history="1">
        <w:r w:rsidRPr="000F5F0B">
          <w:rPr>
            <w:rStyle w:val="Hyperlink"/>
            <w:rFonts w:ascii="Times New Roman" w:hAnsi="Times New Roman" w:cs="Times New Roman"/>
          </w:rPr>
          <w:t>Fraga et al., 2018</w:t>
        </w:r>
      </w:hyperlink>
      <w:r w:rsidRPr="000F5F0B">
        <w:rPr>
          <w:rFonts w:ascii="Times New Roman" w:hAnsi="Times New Roman" w:cs="Times New Roman"/>
        </w:rPr>
        <w:t>). Across the pheromone-trap network, first-generation (April–May) captures were low-intensity and spatially confined to the south-eastern and upper-central boundaries adjoining riparian forest and groves, consistent with an edge-effect pattern in which forested margins act as overwintering refugia; associated damage in May was minor (index 2–4).</w:t>
      </w:r>
    </w:p>
    <w:p w14:paraId="57AB363A" w14:textId="072C5AEA"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The second generation (June–July) produced the most significant escalation, with trap captures reaching 16–18 and a corresponding rise in July </w:t>
      </w:r>
      <w:r w:rsidRPr="000F5F0B">
        <w:rPr>
          <w:rFonts w:ascii="Times New Roman" w:hAnsi="Times New Roman" w:cs="Times New Roman"/>
        </w:rPr>
        <w:t>damage across the north-eastern and south-eastern sectors, indicating that the pest population had expanded beyond the initial refugial margins into the vineyard interior</w:t>
      </w:r>
      <w:r w:rsidR="000F5F0B">
        <w:rPr>
          <w:rFonts w:ascii="Times New Roman" w:hAnsi="Times New Roman" w:cs="Times New Roman"/>
        </w:rPr>
        <w:t xml:space="preserve"> </w:t>
      </w:r>
      <w:r w:rsidRPr="000F5F0B">
        <w:rPr>
          <w:rFonts w:ascii="Times New Roman" w:hAnsi="Times New Roman" w:cs="Times New Roman"/>
        </w:rPr>
        <w:t>the critical window for integrated pest-management intervention. By the third generation (August–September), trap captures declined to 0–6, though September damage (index 6–8) remained agronomically significant and more spatially dispersed than in the first generation, consistent with late-season population dispersal into previously less-affected zones and continuing quality risk from wound-associated Botrytis infection.</w:t>
      </w:r>
    </w:p>
    <w:p w14:paraId="5E4C3A4B"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3.3 Brix Accumulation, Regression Forecasting, and NDVI Prediction</w:t>
      </w:r>
    </w:p>
    <w:p w14:paraId="2D652650"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Average vineyard Brix rose progressively from 9.19 ºBx (15 July) to 20.54 ºBx (30 August), consistent with the expected acceleration of sugar accumulation through </w:t>
      </w:r>
      <w:proofErr w:type="spellStart"/>
      <w:r w:rsidRPr="000F5F0B">
        <w:rPr>
          <w:rFonts w:ascii="Times New Roman" w:hAnsi="Times New Roman" w:cs="Times New Roman"/>
        </w:rPr>
        <w:t>véraison</w:t>
      </w:r>
      <w:proofErr w:type="spellEnd"/>
      <w:r w:rsidRPr="000F5F0B">
        <w:rPr>
          <w:rFonts w:ascii="Times New Roman" w:hAnsi="Times New Roman" w:cs="Times New Roman"/>
        </w:rPr>
        <w:t>. A logarithmic regression of Brix on Julian day (</w:t>
      </w:r>
      <w:r w:rsidRPr="000F5F0B">
        <w:rPr>
          <w:rFonts w:ascii="Times New Roman" w:hAnsi="Times New Roman" w:cs="Times New Roman"/>
          <w:i/>
          <w:iCs/>
        </w:rPr>
        <w:t>x</w:t>
      </w:r>
      <w:r w:rsidRPr="000F5F0B">
        <w:rPr>
          <w:rFonts w:ascii="Times New Roman" w:hAnsi="Times New Roman" w:cs="Times New Roman"/>
        </w:rPr>
        <w:t>) was fitted:</w:t>
      </w:r>
    </w:p>
    <w:p w14:paraId="111D3181" w14:textId="77777777" w:rsidR="00923BD4" w:rsidRDefault="00923BD4">
      <w:pPr>
        <w:tabs>
          <w:tab w:val="center" w:pos="4680"/>
          <w:tab w:val="right" w:pos="9350"/>
        </w:tabs>
        <w:spacing w:before="160" w:after="160"/>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1C7BA774" w14:textId="172CD7DD" w:rsidR="00ED74D0" w:rsidRPr="000F5F0B" w:rsidRDefault="00000000">
      <w:pPr>
        <w:tabs>
          <w:tab w:val="center" w:pos="4680"/>
          <w:tab w:val="right" w:pos="9350"/>
        </w:tabs>
        <w:spacing w:before="160" w:after="160"/>
        <w:rPr>
          <w:rFonts w:ascii="Times New Roman" w:hAnsi="Times New Roman" w:cs="Times New Roman"/>
        </w:rPr>
      </w:pPr>
      <w:r w:rsidRPr="000F5F0B">
        <w:rPr>
          <w:rFonts w:ascii="Times New Roman" w:hAnsi="Times New Roman" w:cs="Times New Roman"/>
        </w:rPr>
        <w:tab/>
      </w:r>
      <w:r w:rsidRPr="000F5F0B">
        <w:rPr>
          <w:rFonts w:ascii="Times New Roman" w:hAnsi="Times New Roman" w:cs="Times New Roman"/>
          <w:i/>
          <w:iCs/>
        </w:rPr>
        <w:t>Brix</w:t>
      </w:r>
      <w:r w:rsidRPr="000F5F0B">
        <w:rPr>
          <w:rFonts w:ascii="Times New Roman" w:hAnsi="Times New Roman" w:cs="Times New Roman"/>
        </w:rPr>
        <w:t>(</w:t>
      </w:r>
      <w:r w:rsidRPr="000F5F0B">
        <w:rPr>
          <w:rFonts w:ascii="Times New Roman" w:hAnsi="Times New Roman" w:cs="Times New Roman"/>
          <w:i/>
          <w:iCs/>
        </w:rPr>
        <w:t>x</w:t>
      </w:r>
      <w:r w:rsidRPr="000F5F0B">
        <w:rPr>
          <w:rFonts w:ascii="Times New Roman" w:hAnsi="Times New Roman" w:cs="Times New Roman"/>
        </w:rPr>
        <w:t>) = 65.139 ln(</w:t>
      </w:r>
      <w:r w:rsidRPr="000F5F0B">
        <w:rPr>
          <w:rFonts w:ascii="Times New Roman" w:hAnsi="Times New Roman" w:cs="Times New Roman"/>
          <w:i/>
          <w:iCs/>
        </w:rPr>
        <w:t>x</w:t>
      </w:r>
      <w:r w:rsidRPr="000F5F0B">
        <w:rPr>
          <w:rFonts w:ascii="Times New Roman" w:hAnsi="Times New Roman" w:cs="Times New Roman"/>
        </w:rPr>
        <w:t>) − 335.44,</w:t>
      </w:r>
      <w:r w:rsidR="000F5F0B">
        <w:rPr>
          <w:rFonts w:ascii="Times New Roman" w:hAnsi="Times New Roman" w:cs="Times New Roman"/>
        </w:rPr>
        <w:t xml:space="preserve"> </w:t>
      </w:r>
      <w:r w:rsidRPr="000F5F0B">
        <w:rPr>
          <w:rFonts w:ascii="Times New Roman" w:hAnsi="Times New Roman" w:cs="Times New Roman"/>
          <w:i/>
          <w:iCs/>
        </w:rPr>
        <w:t>R</w:t>
      </w:r>
      <w:r w:rsidRPr="000F5F0B">
        <w:rPr>
          <w:rFonts w:ascii="Times New Roman" w:hAnsi="Times New Roman" w:cs="Times New Roman"/>
          <w:vertAlign w:val="superscript"/>
        </w:rPr>
        <w:t>2</w:t>
      </w:r>
      <w:r w:rsidRPr="000F5F0B">
        <w:rPr>
          <w:rFonts w:ascii="Times New Roman" w:hAnsi="Times New Roman" w:cs="Times New Roman"/>
        </w:rPr>
        <w:t xml:space="preserve"> = 0.978</w:t>
      </w:r>
      <w:r w:rsidRPr="000F5F0B">
        <w:rPr>
          <w:rFonts w:ascii="Times New Roman" w:hAnsi="Times New Roman" w:cs="Times New Roman"/>
        </w:rPr>
        <w:tab/>
        <w:t>(20)</w:t>
      </w:r>
    </w:p>
    <w:p w14:paraId="2800E753"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4ED3BF31"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indicating that essentially all of the observed temporal variation in vineyard-average Brix was captured by the model (in-sample fit, all 68 points). Extrapolating the fitted curve forward, the target harvest window of 25.5–27 ºBx (≈ 14% potential alcohol) was forecast to occur near Julian day 256 (13 September).</w:t>
      </w:r>
    </w:p>
    <w:p w14:paraId="2C5AA187"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NDVI, computed from clipped near-infrared/red reflectance across the vineyard, was significantly </w:t>
      </w:r>
      <w:r w:rsidRPr="000F5F0B">
        <w:rPr>
          <w:rFonts w:ascii="Times New Roman" w:hAnsi="Times New Roman" w:cs="Times New Roman"/>
        </w:rPr>
        <w:t xml:space="preserve">and strongly related to spatially matched Brix observations (R² = 0.880), and parcels classified as high-NDVI </w:t>
      </w:r>
      <w:proofErr w:type="spellStart"/>
      <w:r w:rsidRPr="000F5F0B">
        <w:rPr>
          <w:rFonts w:ascii="Times New Roman" w:hAnsi="Times New Roman" w:cs="Times New Roman"/>
        </w:rPr>
        <w:t>vigour</w:t>
      </w:r>
      <w:proofErr w:type="spellEnd"/>
      <w:r w:rsidRPr="000F5F0B">
        <w:rPr>
          <w:rFonts w:ascii="Times New Roman" w:hAnsi="Times New Roman" w:cs="Times New Roman"/>
        </w:rPr>
        <w:t xml:space="preserve"> consistently exhibited the highest Brix values throughout the monitoring period. Spatial Brix mapping (traditional sampling, UTAD Enology experimental plots, and Thiessen-zoned polygons; Figures 10–12) consistently distinguished early-ripening from late-ripening sectors across all five sampling </w:t>
      </w:r>
      <w:r w:rsidRPr="000F5F0B">
        <w:rPr>
          <w:rFonts w:ascii="Times New Roman" w:hAnsi="Times New Roman" w:cs="Times New Roman"/>
        </w:rPr>
        <w:lastRenderedPageBreak/>
        <w:t xml:space="preserve">dates, supporting parcel-level selective-harvest </w:t>
      </w:r>
      <w:proofErr w:type="spellStart"/>
      <w:r w:rsidRPr="000F5F0B">
        <w:rPr>
          <w:rFonts w:ascii="Times New Roman" w:hAnsi="Times New Roman" w:cs="Times New Roman"/>
        </w:rPr>
        <w:t>prioritisation</w:t>
      </w:r>
      <w:proofErr w:type="spellEnd"/>
      <w:r w:rsidRPr="000F5F0B">
        <w:rPr>
          <w:rFonts w:ascii="Times New Roman" w:hAnsi="Times New Roman" w:cs="Times New Roman"/>
        </w:rPr>
        <w:t xml:space="preserve"> ahead of the predicted harvest date.</w:t>
      </w:r>
    </w:p>
    <w:p w14:paraId="2BF39302"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3.4 Hybrid Machine-Learning Regression-Kriging: Cross-Validated Model Comparison</w:t>
      </w:r>
    </w:p>
    <w:p w14:paraId="60E1DEFB" w14:textId="77777777" w:rsidR="00A45A65" w:rsidRDefault="00000000" w:rsidP="00A45A65">
      <w:pPr>
        <w:spacing w:after="220"/>
        <w:jc w:val="both"/>
        <w:rPr>
          <w:rFonts w:ascii="Times New Roman" w:hAnsi="Times New Roman" w:cs="Times New Roman"/>
        </w:rPr>
      </w:pPr>
      <w:r w:rsidRPr="000F5F0B">
        <w:rPr>
          <w:rFonts w:ascii="Times New Roman" w:hAnsi="Times New Roman" w:cs="Times New Roman"/>
        </w:rPr>
        <w:t>The in-sample NDVI–Brix regression reported in Section 3.3 (R² = 0.880) is a single fit to all 68 points with no held-out data, and is consequently expected to overstate genuine predictive skill. Under the stricter, spatially grouped cross-validation described in Section 2.5.4</w:t>
      </w:r>
      <w:r w:rsidR="000F5F0B">
        <w:rPr>
          <w:rFonts w:ascii="Times New Roman" w:hAnsi="Times New Roman" w:cs="Times New Roman"/>
        </w:rPr>
        <w:t xml:space="preserve"> </w:t>
      </w:r>
      <w:r w:rsidRPr="000F5F0B">
        <w:rPr>
          <w:rFonts w:ascii="Times New Roman" w:hAnsi="Times New Roman" w:cs="Times New Roman"/>
        </w:rPr>
        <w:t>in which each vineyard location is held out in its entirety and its full five-date ripening trajectory is predicted from unrelated locations</w:t>
      </w:r>
      <w:r w:rsidR="000F5F0B">
        <w:rPr>
          <w:rFonts w:ascii="Times New Roman" w:hAnsi="Times New Roman" w:cs="Times New Roman"/>
        </w:rPr>
        <w:t xml:space="preserve"> </w:t>
      </w:r>
      <w:r w:rsidRPr="000F5F0B">
        <w:rPr>
          <w:rFonts w:ascii="Times New Roman" w:hAnsi="Times New Roman" w:cs="Times New Roman"/>
        </w:rPr>
        <w:t xml:space="preserve">the picture is more modest and considerably more informative for practical deployment (Table 3, Figure 17). The IDW baseline achieved a mean cross-validated R² of 0.538 (RMSE = 3.65 ºBx); Random Forest achieved a closely comparable R² of 0.520 (RMSE = 3.70 ºBx); Gradient Boosting achieved R² = 0.453 (RMSE = 3.94 ºBx); the Multi-Layer Perceptron neural network performed worst of all trend models (R² = 0.370, </w:t>
      </w:r>
      <w:r w:rsidRPr="000F5F0B">
        <w:rPr>
          <w:rFonts w:ascii="Times New Roman" w:hAnsi="Times New Roman" w:cs="Times New Roman"/>
        </w:rPr>
        <w:t>RMSE = 4.23 ºBx), consistent with neural networks' well-documented tendency to require larger training samples than tree ensembles to avoid overfitting; the Stacking Ensemble (RFR + GBR + MLP with a ridge meta-learner) achieved the best result among the machine-learning models (R² = 0.467, RMSE = 3.91 ºBx), modestly exceeding its three individual base learners but still below the simple IDW baseline; and the hybrid regression-kriging variants (RF-RK and GB-RK) did not outperform their respective plain trend models (R² = 0.378 and 0.454), with RF-RK in particular showing markedly higher variance across folds (R² std = 0.451), indicative of unstable variogram fitting at this sample size.</w:t>
      </w:r>
      <w:r w:rsidR="00A45A65">
        <w:rPr>
          <w:rFonts w:ascii="Times New Roman" w:hAnsi="Times New Roman" w:cs="Times New Roman"/>
        </w:rPr>
        <w:br/>
      </w:r>
    </w:p>
    <w:p w14:paraId="468AEF68" w14:textId="7CBFB078" w:rsidR="00A45A65" w:rsidRPr="000F5F0B" w:rsidRDefault="00A45A65" w:rsidP="00A45A65">
      <w:pPr>
        <w:spacing w:after="220"/>
        <w:jc w:val="both"/>
        <w:rPr>
          <w:rFonts w:ascii="Times New Roman" w:hAnsi="Times New Roman" w:cs="Times New Roman"/>
        </w:rPr>
      </w:pPr>
      <w:r w:rsidRPr="00A45A65">
        <w:rPr>
          <w:rFonts w:ascii="Times New Roman" w:hAnsi="Times New Roman" w:cs="Times New Roman"/>
          <w:b/>
          <w:bCs/>
        </w:rPr>
        <w:t xml:space="preserve">Table 3. Pooled </w:t>
      </w:r>
      <w:proofErr w:type="spellStart"/>
      <w:r w:rsidRPr="00A45A65">
        <w:rPr>
          <w:rFonts w:ascii="Times New Roman" w:hAnsi="Times New Roman" w:cs="Times New Roman"/>
          <w:b/>
          <w:bCs/>
        </w:rPr>
        <w:t>spatio</w:t>
      </w:r>
      <w:proofErr w:type="spellEnd"/>
      <w:r w:rsidRPr="00A45A65">
        <w:rPr>
          <w:rFonts w:ascii="Times New Roman" w:hAnsi="Times New Roman" w:cs="Times New Roman"/>
          <w:b/>
          <w:bCs/>
        </w:rPr>
        <w:t>-temporal cross-validation results (</w:t>
      </w:r>
      <w:proofErr w:type="spellStart"/>
      <w:r w:rsidRPr="00A45A65">
        <w:rPr>
          <w:rFonts w:ascii="Times New Roman" w:hAnsi="Times New Roman" w:cs="Times New Roman"/>
          <w:b/>
          <w:bCs/>
        </w:rPr>
        <w:t>GroupKFold</w:t>
      </w:r>
      <w:proofErr w:type="spellEnd"/>
      <w:r w:rsidRPr="00A45A65">
        <w:rPr>
          <w:rFonts w:ascii="Times New Roman" w:hAnsi="Times New Roman" w:cs="Times New Roman"/>
          <w:b/>
          <w:bCs/>
        </w:rPr>
        <w:t xml:space="preserve"> by sampling location, 5 folds × 6 repeats; predictors: Easting, Northing, Julian day, NDVI). Values are mean ± standard deviation across folds/repeats</w:t>
      </w:r>
      <w:r w:rsidRPr="000F5F0B">
        <w:rPr>
          <w:rFonts w:ascii="Times New Roman" w:hAnsi="Times New Roman" w:cs="Times New Roman"/>
        </w:rPr>
        <w:t>.</w:t>
      </w:r>
    </w:p>
    <w:p w14:paraId="3A5B7AD6" w14:textId="5B0F37FB" w:rsidR="00ED74D0" w:rsidRPr="000F5F0B" w:rsidRDefault="00ED74D0">
      <w:pPr>
        <w:spacing w:after="160"/>
        <w:jc w:val="both"/>
        <w:rPr>
          <w:rFonts w:ascii="Times New Roman" w:hAnsi="Times New Roman" w:cs="Times New Roman"/>
        </w:rPr>
      </w:pPr>
    </w:p>
    <w:p w14:paraId="45B71D3D" w14:textId="77777777" w:rsidR="00923BD4" w:rsidRDefault="00923BD4">
      <w:pPr>
        <w:rPr>
          <w:rFonts w:ascii="Times New Roman" w:hAnsi="Times New Roman" w:cs="Times New Roman"/>
          <w:b/>
          <w:bCs/>
          <w:sz w:val="20"/>
          <w:szCs w:val="20"/>
        </w:rPr>
        <w:sectPr w:rsidR="00923BD4" w:rsidSect="00923BD4">
          <w:type w:val="continuous"/>
          <w:pgSz w:w="12240" w:h="15840"/>
          <w:pgMar w:top="1440" w:right="1440" w:bottom="1440" w:left="1440" w:header="708" w:footer="708" w:gutter="0"/>
          <w:cols w:num="2" w:space="720"/>
          <w:docGrid w:linePitch="360"/>
        </w:sect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1910"/>
        <w:gridCol w:w="1715"/>
        <w:gridCol w:w="2442"/>
      </w:tblGrid>
      <w:tr w:rsidR="00ED74D0" w:rsidRPr="000F5F0B" w14:paraId="75C540A2" w14:textId="77777777">
        <w:tblPrEx>
          <w:tblCellMar>
            <w:top w:w="0" w:type="dxa"/>
            <w:bottom w:w="0" w:type="dxa"/>
          </w:tblCellMar>
        </w:tblPrEx>
        <w:tc>
          <w:tcPr>
            <w:tcW w:w="3400" w:type="dxa"/>
            <w:shd w:val="clear" w:color="auto" w:fill="D9D9D9"/>
          </w:tcPr>
          <w:p w14:paraId="628425AD"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Model</w:t>
            </w:r>
          </w:p>
        </w:tc>
        <w:tc>
          <w:tcPr>
            <w:tcW w:w="2000" w:type="dxa"/>
            <w:shd w:val="clear" w:color="auto" w:fill="D9D9D9"/>
          </w:tcPr>
          <w:p w14:paraId="02A6580F"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RMSE (ºBx)</w:t>
            </w:r>
          </w:p>
        </w:tc>
        <w:tc>
          <w:tcPr>
            <w:tcW w:w="1800" w:type="dxa"/>
            <w:shd w:val="clear" w:color="auto" w:fill="D9D9D9"/>
          </w:tcPr>
          <w:p w14:paraId="428CF4BE"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MAE (ºBx)</w:t>
            </w:r>
          </w:p>
        </w:tc>
        <w:tc>
          <w:tcPr>
            <w:tcW w:w="2550" w:type="dxa"/>
            <w:shd w:val="clear" w:color="auto" w:fill="D9D9D9"/>
          </w:tcPr>
          <w:p w14:paraId="3495E6D5" w14:textId="77777777" w:rsidR="00ED74D0" w:rsidRPr="000F5F0B" w:rsidRDefault="00000000">
            <w:pPr>
              <w:rPr>
                <w:rFonts w:ascii="Times New Roman" w:hAnsi="Times New Roman" w:cs="Times New Roman"/>
              </w:rPr>
            </w:pPr>
            <w:r w:rsidRPr="000F5F0B">
              <w:rPr>
                <w:rFonts w:ascii="Times New Roman" w:hAnsi="Times New Roman" w:cs="Times New Roman"/>
                <w:b/>
                <w:bCs/>
                <w:sz w:val="20"/>
                <w:szCs w:val="20"/>
              </w:rPr>
              <w:t>R² (cross-validated)</w:t>
            </w:r>
          </w:p>
        </w:tc>
      </w:tr>
      <w:tr w:rsidR="00ED74D0" w:rsidRPr="000F5F0B" w14:paraId="79BEEF74" w14:textId="77777777">
        <w:tblPrEx>
          <w:tblCellMar>
            <w:top w:w="0" w:type="dxa"/>
            <w:bottom w:w="0" w:type="dxa"/>
          </w:tblCellMar>
        </w:tblPrEx>
        <w:tc>
          <w:tcPr>
            <w:tcW w:w="3400" w:type="dxa"/>
          </w:tcPr>
          <w:p w14:paraId="2B4D7D1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IDW (baseline)</w:t>
            </w:r>
          </w:p>
        </w:tc>
        <w:tc>
          <w:tcPr>
            <w:tcW w:w="2000" w:type="dxa"/>
          </w:tcPr>
          <w:p w14:paraId="56C4A71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3.65 ± 0.46</w:t>
            </w:r>
          </w:p>
        </w:tc>
        <w:tc>
          <w:tcPr>
            <w:tcW w:w="1800" w:type="dxa"/>
          </w:tcPr>
          <w:p w14:paraId="514BA92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3.02</w:t>
            </w:r>
          </w:p>
        </w:tc>
        <w:tc>
          <w:tcPr>
            <w:tcW w:w="2550" w:type="dxa"/>
          </w:tcPr>
          <w:p w14:paraId="5EA4F7AF"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0.538 ± 0.084</w:t>
            </w:r>
          </w:p>
        </w:tc>
      </w:tr>
      <w:tr w:rsidR="00ED74D0" w:rsidRPr="000F5F0B" w14:paraId="24187715" w14:textId="77777777">
        <w:tblPrEx>
          <w:tblCellMar>
            <w:top w:w="0" w:type="dxa"/>
            <w:bottom w:w="0" w:type="dxa"/>
          </w:tblCellMar>
        </w:tblPrEx>
        <w:tc>
          <w:tcPr>
            <w:tcW w:w="3400" w:type="dxa"/>
          </w:tcPr>
          <w:p w14:paraId="2CF5312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Random Forest (RFR)</w:t>
            </w:r>
          </w:p>
        </w:tc>
        <w:tc>
          <w:tcPr>
            <w:tcW w:w="2000" w:type="dxa"/>
          </w:tcPr>
          <w:p w14:paraId="556B49F5"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3.70 ± 0.42</w:t>
            </w:r>
          </w:p>
        </w:tc>
        <w:tc>
          <w:tcPr>
            <w:tcW w:w="1800" w:type="dxa"/>
          </w:tcPr>
          <w:p w14:paraId="10011CF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3.10</w:t>
            </w:r>
          </w:p>
        </w:tc>
        <w:tc>
          <w:tcPr>
            <w:tcW w:w="2550" w:type="dxa"/>
          </w:tcPr>
          <w:p w14:paraId="15C0E4DC"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0.520 ± 0.099</w:t>
            </w:r>
          </w:p>
        </w:tc>
      </w:tr>
      <w:tr w:rsidR="00ED74D0" w:rsidRPr="000F5F0B" w14:paraId="5E98ABB0" w14:textId="77777777">
        <w:tblPrEx>
          <w:tblCellMar>
            <w:top w:w="0" w:type="dxa"/>
            <w:bottom w:w="0" w:type="dxa"/>
          </w:tblCellMar>
        </w:tblPrEx>
        <w:tc>
          <w:tcPr>
            <w:tcW w:w="3400" w:type="dxa"/>
          </w:tcPr>
          <w:p w14:paraId="599D2C15"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Gradient Boosting (GBR)</w:t>
            </w:r>
          </w:p>
        </w:tc>
        <w:tc>
          <w:tcPr>
            <w:tcW w:w="2000" w:type="dxa"/>
          </w:tcPr>
          <w:p w14:paraId="7DB0F818"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3.94 ± 0.53</w:t>
            </w:r>
          </w:p>
        </w:tc>
        <w:tc>
          <w:tcPr>
            <w:tcW w:w="1800" w:type="dxa"/>
          </w:tcPr>
          <w:p w14:paraId="092AA21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3.21</w:t>
            </w:r>
          </w:p>
        </w:tc>
        <w:tc>
          <w:tcPr>
            <w:tcW w:w="2550" w:type="dxa"/>
          </w:tcPr>
          <w:p w14:paraId="4398F91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0.453 ± 0.127</w:t>
            </w:r>
          </w:p>
        </w:tc>
      </w:tr>
      <w:tr w:rsidR="00ED74D0" w:rsidRPr="000F5F0B" w14:paraId="75FE8624" w14:textId="77777777">
        <w:tblPrEx>
          <w:tblCellMar>
            <w:top w:w="0" w:type="dxa"/>
            <w:bottom w:w="0" w:type="dxa"/>
          </w:tblCellMar>
        </w:tblPrEx>
        <w:tc>
          <w:tcPr>
            <w:tcW w:w="3400" w:type="dxa"/>
          </w:tcPr>
          <w:p w14:paraId="21FF71F4"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Neural Network (MLP)</w:t>
            </w:r>
          </w:p>
        </w:tc>
        <w:tc>
          <w:tcPr>
            <w:tcW w:w="2000" w:type="dxa"/>
          </w:tcPr>
          <w:p w14:paraId="5FC37082"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4.23 ± 0.66</w:t>
            </w:r>
          </w:p>
        </w:tc>
        <w:tc>
          <w:tcPr>
            <w:tcW w:w="1800" w:type="dxa"/>
          </w:tcPr>
          <w:p w14:paraId="67C02761"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3.46</w:t>
            </w:r>
          </w:p>
        </w:tc>
        <w:tc>
          <w:tcPr>
            <w:tcW w:w="2550" w:type="dxa"/>
          </w:tcPr>
          <w:p w14:paraId="51B3B39E"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0.370 ± 0.185</w:t>
            </w:r>
          </w:p>
        </w:tc>
      </w:tr>
      <w:tr w:rsidR="00ED74D0" w:rsidRPr="000F5F0B" w14:paraId="3064D5FD" w14:textId="77777777">
        <w:tblPrEx>
          <w:tblCellMar>
            <w:top w:w="0" w:type="dxa"/>
            <w:bottom w:w="0" w:type="dxa"/>
          </w:tblCellMar>
        </w:tblPrEx>
        <w:tc>
          <w:tcPr>
            <w:tcW w:w="3400" w:type="dxa"/>
          </w:tcPr>
          <w:p w14:paraId="406D19CD"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Stacking Ensemble (RFR+GBR+MLP)</w:t>
            </w:r>
          </w:p>
        </w:tc>
        <w:tc>
          <w:tcPr>
            <w:tcW w:w="2000" w:type="dxa"/>
          </w:tcPr>
          <w:p w14:paraId="348397BA"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3.91 ± 0.40</w:t>
            </w:r>
          </w:p>
        </w:tc>
        <w:tc>
          <w:tcPr>
            <w:tcW w:w="1800" w:type="dxa"/>
          </w:tcPr>
          <w:p w14:paraId="376094A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3.25</w:t>
            </w:r>
          </w:p>
        </w:tc>
        <w:tc>
          <w:tcPr>
            <w:tcW w:w="2550" w:type="dxa"/>
          </w:tcPr>
          <w:p w14:paraId="0F32F16F"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0.467 ± 0.096</w:t>
            </w:r>
          </w:p>
        </w:tc>
      </w:tr>
      <w:tr w:rsidR="00ED74D0" w:rsidRPr="000F5F0B" w14:paraId="1957C7CB" w14:textId="77777777">
        <w:tblPrEx>
          <w:tblCellMar>
            <w:top w:w="0" w:type="dxa"/>
            <w:bottom w:w="0" w:type="dxa"/>
          </w:tblCellMar>
        </w:tblPrEx>
        <w:tc>
          <w:tcPr>
            <w:tcW w:w="3400" w:type="dxa"/>
          </w:tcPr>
          <w:p w14:paraId="27721A43"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RF + Kriged Residuals (RF-RK)</w:t>
            </w:r>
          </w:p>
        </w:tc>
        <w:tc>
          <w:tcPr>
            <w:tcW w:w="2000" w:type="dxa"/>
          </w:tcPr>
          <w:p w14:paraId="5F663D87"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4.10 ± 0.98</w:t>
            </w:r>
          </w:p>
        </w:tc>
        <w:tc>
          <w:tcPr>
            <w:tcW w:w="1800" w:type="dxa"/>
          </w:tcPr>
          <w:p w14:paraId="70533EEE"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3.32</w:t>
            </w:r>
          </w:p>
        </w:tc>
        <w:tc>
          <w:tcPr>
            <w:tcW w:w="2550" w:type="dxa"/>
          </w:tcPr>
          <w:p w14:paraId="44A216F6"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0.378 ± 0.451</w:t>
            </w:r>
          </w:p>
        </w:tc>
      </w:tr>
      <w:tr w:rsidR="00ED74D0" w:rsidRPr="000F5F0B" w14:paraId="7EB873DD" w14:textId="77777777">
        <w:tblPrEx>
          <w:tblCellMar>
            <w:top w:w="0" w:type="dxa"/>
            <w:bottom w:w="0" w:type="dxa"/>
          </w:tblCellMar>
        </w:tblPrEx>
        <w:tc>
          <w:tcPr>
            <w:tcW w:w="3400" w:type="dxa"/>
          </w:tcPr>
          <w:p w14:paraId="579863DA"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GB + Kriged Residuals (GB-RK)</w:t>
            </w:r>
          </w:p>
        </w:tc>
        <w:tc>
          <w:tcPr>
            <w:tcW w:w="2000" w:type="dxa"/>
          </w:tcPr>
          <w:p w14:paraId="0C3B8960"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3.94 ± 0.53</w:t>
            </w:r>
          </w:p>
        </w:tc>
        <w:tc>
          <w:tcPr>
            <w:tcW w:w="1800" w:type="dxa"/>
          </w:tcPr>
          <w:p w14:paraId="6311DFE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3.21</w:t>
            </w:r>
          </w:p>
        </w:tc>
        <w:tc>
          <w:tcPr>
            <w:tcW w:w="2550" w:type="dxa"/>
          </w:tcPr>
          <w:p w14:paraId="3FC8357B" w14:textId="77777777" w:rsidR="00ED74D0" w:rsidRPr="000F5F0B" w:rsidRDefault="00000000">
            <w:pPr>
              <w:rPr>
                <w:rFonts w:ascii="Times New Roman" w:hAnsi="Times New Roman" w:cs="Times New Roman"/>
              </w:rPr>
            </w:pPr>
            <w:r w:rsidRPr="000F5F0B">
              <w:rPr>
                <w:rFonts w:ascii="Times New Roman" w:hAnsi="Times New Roman" w:cs="Times New Roman"/>
                <w:sz w:val="20"/>
                <w:szCs w:val="20"/>
              </w:rPr>
              <w:t>0.454 ± 0.127</w:t>
            </w:r>
          </w:p>
        </w:tc>
      </w:tr>
    </w:tbl>
    <w:p w14:paraId="4DBCEAC2"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1EA73A69" wp14:editId="107892DB">
            <wp:extent cx="5762625" cy="2181225"/>
            <wp:effectExtent l="0" t="0" r="0" b="0"/>
            <wp:docPr id="42187280" name="Picture 4218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181225"/>
                    </a:xfrm>
                    <a:prstGeom prst="rect">
                      <a:avLst/>
                    </a:prstGeom>
                  </pic:spPr>
                </pic:pic>
              </a:graphicData>
            </a:graphic>
          </wp:inline>
        </w:drawing>
      </w:r>
    </w:p>
    <w:p w14:paraId="6386F07D"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17. Cross-validated model comparison for Brix prediction across seven models: (A) root-mean-square error (RMSE), lower is better; (B) coefficient of determination (R²), higher is better. Error bars show standard deviation across cross-validation folds/repeats.</w:t>
      </w:r>
    </w:p>
    <w:p w14:paraId="1CE98EF2"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4AC4C759"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lastRenderedPageBreak/>
        <w:t>Feature-importance analysis (Figure 18) clarified why the more complex models did not outperform the simpler baselines. Both the built-in (impurity-based) importances for Random Forest and Gradient Boosting and the model-agnostic permutation importance (computed by randomly shuffling each feature and measuring the resulting drop in R², averaged over 30 repeats) agreed closely: Julian day overwhelmingly dominated predictive importance (permutation-</w:t>
      </w:r>
      <w:r w:rsidRPr="000F5F0B">
        <w:rPr>
          <w:rFonts w:ascii="Times New Roman" w:hAnsi="Times New Roman" w:cs="Times New Roman"/>
        </w:rPr>
        <w:t>importance mean R² decrease = 1.113), roughly five times larger than Northing (0.211) or NDVI (0.205), and more than ten times larger than Easting (0.093). This indicates that, at the sampling density available here (68 points), the spatial and NDVI signal is comparatively weak relative to the temporal signal, leaving a tree-ensemble trend model or its kriged residuals little additional structure to exploit beyond a simple date-matched IDW interpolation.</w:t>
      </w:r>
    </w:p>
    <w:p w14:paraId="471D8EF7"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7A20764C"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7CA6A4AF" wp14:editId="2008D892">
            <wp:extent cx="5762625" cy="1524000"/>
            <wp:effectExtent l="0" t="0" r="0" b="0"/>
            <wp:docPr id="328352054" name="Picture 32835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524000"/>
                    </a:xfrm>
                    <a:prstGeom prst="rect">
                      <a:avLst/>
                    </a:prstGeom>
                  </pic:spPr>
                </pic:pic>
              </a:graphicData>
            </a:graphic>
          </wp:inline>
        </w:drawing>
      </w:r>
    </w:p>
    <w:p w14:paraId="4A674110"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Figure 18. Feature importance for Brix prediction: (A) Random Forest impurity-based feature importance; (B) Gradient Boosting impurity-based feature importance; (C) permutation importance (model-agnostic, computed on Random Forest). All three methods agree that Julian day dominates over spatial coordinates and NDVI.</w:t>
      </w:r>
    </w:p>
    <w:p w14:paraId="54026449" w14:textId="77777777" w:rsidR="00923BD4" w:rsidRDefault="00923BD4">
      <w:pPr>
        <w:spacing w:after="160"/>
        <w:jc w:val="both"/>
        <w:rPr>
          <w:rFonts w:ascii="Times New Roman" w:hAnsi="Times New Roman" w:cs="Times New Roman"/>
        </w:rPr>
        <w:sectPr w:rsidR="00923BD4" w:rsidSect="000F5F0B">
          <w:type w:val="continuous"/>
          <w:pgSz w:w="12240" w:h="15840"/>
          <w:pgMar w:top="1440" w:right="1440" w:bottom="1440" w:left="1440" w:header="708" w:footer="708" w:gutter="0"/>
          <w:cols w:space="720"/>
          <w:docGrid w:linePitch="360"/>
        </w:sectPr>
      </w:pPr>
    </w:p>
    <w:p w14:paraId="7637DB99" w14:textId="2E889ADA"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This weak spatial signal was corroborated directly by the Moran's </w:t>
      </w:r>
      <w:r w:rsidRPr="000F5F0B">
        <w:rPr>
          <w:rFonts w:ascii="Times New Roman" w:hAnsi="Times New Roman" w:cs="Times New Roman"/>
          <w:i/>
          <w:iCs/>
        </w:rPr>
        <w:t>I</w:t>
      </w:r>
      <w:r w:rsidRPr="000F5F0B">
        <w:rPr>
          <w:rFonts w:ascii="Times New Roman" w:hAnsi="Times New Roman" w:cs="Times New Roman"/>
        </w:rPr>
        <w:t xml:space="preserve"> spatial-autocorrelation diagnostic (Equation 16, Figure 19): raw Brix values at each of the five sampling dates showed only weak positive spatial autocorrelation (</w:t>
      </w:r>
      <w:r w:rsidRPr="000F5F0B">
        <w:rPr>
          <w:rFonts w:ascii="Times New Roman" w:hAnsi="Times New Roman" w:cs="Times New Roman"/>
          <w:i/>
          <w:iCs/>
        </w:rPr>
        <w:t>I</w:t>
      </w:r>
      <w:r w:rsidRPr="000F5F0B">
        <w:rPr>
          <w:rFonts w:ascii="Times New Roman" w:hAnsi="Times New Roman" w:cs="Times New Roman"/>
        </w:rPr>
        <w:t xml:space="preserve"> = 0.005–0.040), only modestly above the value expected under complete spatial randomness (E[</w:t>
      </w:r>
      <w:r w:rsidRPr="000F5F0B">
        <w:rPr>
          <w:rFonts w:ascii="Times New Roman" w:hAnsi="Times New Roman" w:cs="Times New Roman"/>
          <w:i/>
          <w:iCs/>
        </w:rPr>
        <w:t>I</w:t>
      </w:r>
      <w:r w:rsidRPr="000F5F0B">
        <w:rPr>
          <w:rFonts w:ascii="Times New Roman" w:hAnsi="Times New Roman" w:cs="Times New Roman"/>
        </w:rPr>
        <w:t xml:space="preserve">] = −0.015 for </w:t>
      </w:r>
      <w:r w:rsidRPr="000F5F0B">
        <w:rPr>
          <w:rFonts w:ascii="Times New Roman" w:hAnsi="Times New Roman" w:cs="Times New Roman"/>
          <w:i/>
          <w:iCs/>
        </w:rPr>
        <w:t>n</w:t>
      </w:r>
      <w:r w:rsidRPr="000F5F0B">
        <w:rPr>
          <w:rFonts w:ascii="Times New Roman" w:hAnsi="Times New Roman" w:cs="Times New Roman"/>
        </w:rPr>
        <w:t xml:space="preserve"> = 68). This confirms, </w:t>
      </w:r>
      <w:r w:rsidRPr="000F5F0B">
        <w:rPr>
          <w:rFonts w:ascii="Times New Roman" w:hAnsi="Times New Roman" w:cs="Times New Roman"/>
        </w:rPr>
        <w:t>independently of the cross-validation results, that the Brix surface at this vineyard and sampling density is close to spatially unstructured once the temporal trend is removed</w:t>
      </w:r>
      <w:r w:rsidR="000F5F0B">
        <w:rPr>
          <w:rFonts w:ascii="Times New Roman" w:hAnsi="Times New Roman" w:cs="Times New Roman"/>
        </w:rPr>
        <w:t xml:space="preserve"> </w:t>
      </w:r>
      <w:r w:rsidRPr="000F5F0B">
        <w:rPr>
          <w:rFonts w:ascii="Times New Roman" w:hAnsi="Times New Roman" w:cs="Times New Roman"/>
        </w:rPr>
        <w:t>precisely the condition under which regression-kriging is expected to add little value over its underlying trend model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xml:space="preserve">;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w:t>
      </w:r>
    </w:p>
    <w:p w14:paraId="7ACE1417" w14:textId="77777777" w:rsidR="00923BD4" w:rsidRDefault="00923BD4">
      <w:pPr>
        <w:spacing w:before="120" w:after="80"/>
        <w:jc w:val="center"/>
        <w:rPr>
          <w:rFonts w:ascii="Times New Roman" w:hAnsi="Times New Roman" w:cs="Times New Roman"/>
        </w:rPr>
        <w:sectPr w:rsidR="00923BD4" w:rsidSect="00923BD4">
          <w:type w:val="continuous"/>
          <w:pgSz w:w="12240" w:h="15840"/>
          <w:pgMar w:top="1440" w:right="1440" w:bottom="1440" w:left="1440" w:header="708" w:footer="708" w:gutter="0"/>
          <w:cols w:num="2" w:space="720"/>
          <w:docGrid w:linePitch="360"/>
        </w:sectPr>
      </w:pPr>
    </w:p>
    <w:p w14:paraId="57F08626" w14:textId="77777777" w:rsidR="00ED74D0" w:rsidRPr="000F5F0B" w:rsidRDefault="00000000" w:rsidP="00923BD4">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0E690A6C" wp14:editId="51DB07B2">
            <wp:extent cx="4667885" cy="2362200"/>
            <wp:effectExtent l="0" t="0" r="0" b="0"/>
            <wp:docPr id="237705270" name="Picture 23770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71695" cy="2364128"/>
                    </a:xfrm>
                    <a:prstGeom prst="rect">
                      <a:avLst/>
                    </a:prstGeom>
                  </pic:spPr>
                </pic:pic>
              </a:graphicData>
            </a:graphic>
          </wp:inline>
        </w:drawing>
      </w:r>
    </w:p>
    <w:p w14:paraId="41574C87" w14:textId="77777777" w:rsidR="00ED74D0" w:rsidRPr="000F5F0B" w:rsidRDefault="00000000" w:rsidP="00923BD4">
      <w:pPr>
        <w:spacing w:after="220"/>
        <w:jc w:val="center"/>
        <w:rPr>
          <w:rFonts w:ascii="Times New Roman" w:hAnsi="Times New Roman" w:cs="Times New Roman"/>
        </w:rPr>
      </w:pPr>
      <w:r w:rsidRPr="000F5F0B">
        <w:rPr>
          <w:rFonts w:ascii="Times New Roman" w:hAnsi="Times New Roman" w:cs="Times New Roman"/>
          <w:b/>
          <w:bCs/>
          <w:sz w:val="20"/>
          <w:szCs w:val="20"/>
        </w:rPr>
        <w:t xml:space="preserve">Figure 19. Global Moran's I spatial autocorrelation of raw Brix values by sampling date (k = 8 nearest </w:t>
      </w:r>
      <w:proofErr w:type="spellStart"/>
      <w:r w:rsidRPr="000F5F0B">
        <w:rPr>
          <w:rFonts w:ascii="Times New Roman" w:hAnsi="Times New Roman" w:cs="Times New Roman"/>
          <w:b/>
          <w:bCs/>
          <w:sz w:val="20"/>
          <w:szCs w:val="20"/>
        </w:rPr>
        <w:t>neighbours</w:t>
      </w:r>
      <w:proofErr w:type="spellEnd"/>
      <w:r w:rsidRPr="000F5F0B">
        <w:rPr>
          <w:rFonts w:ascii="Times New Roman" w:hAnsi="Times New Roman" w:cs="Times New Roman"/>
          <w:b/>
          <w:bCs/>
          <w:sz w:val="20"/>
          <w:szCs w:val="20"/>
        </w:rPr>
        <w:t>). The dashed red line shows the value expected under complete spatial randomness.</w:t>
      </w:r>
    </w:p>
    <w:p w14:paraId="140E860A" w14:textId="77777777" w:rsidR="00A45A65" w:rsidRDefault="00A45A65">
      <w:pPr>
        <w:spacing w:after="160"/>
        <w:jc w:val="both"/>
        <w:rPr>
          <w:rFonts w:ascii="Times New Roman" w:hAnsi="Times New Roman" w:cs="Times New Roman"/>
        </w:rPr>
        <w:sectPr w:rsidR="00A45A65" w:rsidSect="000F5F0B">
          <w:type w:val="continuous"/>
          <w:pgSz w:w="12240" w:h="15840"/>
          <w:pgMar w:top="1440" w:right="1440" w:bottom="1440" w:left="1440" w:header="708" w:footer="708" w:gutter="0"/>
          <w:cols w:space="720"/>
          <w:docGrid w:linePitch="360"/>
        </w:sectPr>
      </w:pPr>
    </w:p>
    <w:p w14:paraId="4D1FA006" w14:textId="019C703C"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lastRenderedPageBreak/>
        <w:t xml:space="preserve">Observed-versus-predicted plots for the out-of-fold predictions (Figure 20) show that IDW, Random Forest, and the Stacking Ensemble all track the overall Brix range reasonably well, with none of the three models showing a strong systematic bias, though all three under-predict the </w:t>
      </w:r>
      <w:r w:rsidRPr="000F5F0B">
        <w:rPr>
          <w:rFonts w:ascii="Times New Roman" w:hAnsi="Times New Roman" w:cs="Times New Roman"/>
        </w:rPr>
        <w:t>small number of the highest-Brix observations</w:t>
      </w:r>
      <w:r w:rsidR="000F5F0B">
        <w:rPr>
          <w:rFonts w:ascii="Times New Roman" w:hAnsi="Times New Roman" w:cs="Times New Roman"/>
        </w:rPr>
        <w:t xml:space="preserve"> </w:t>
      </w:r>
      <w:r w:rsidRPr="000F5F0B">
        <w:rPr>
          <w:rFonts w:ascii="Times New Roman" w:hAnsi="Times New Roman" w:cs="Times New Roman"/>
        </w:rPr>
        <w:t>a common characteristic of distance-weighted interpolation, tree-ensemble methods, and linear-combination ensembles alike, all of which tend to smooth extreme values toward the local mean.</w:t>
      </w:r>
    </w:p>
    <w:p w14:paraId="0C38FB56" w14:textId="77777777" w:rsidR="00A45A65" w:rsidRDefault="00A45A65">
      <w:pPr>
        <w:spacing w:before="120" w:after="80"/>
        <w:jc w:val="center"/>
        <w:rPr>
          <w:rFonts w:ascii="Times New Roman" w:hAnsi="Times New Roman" w:cs="Times New Roman"/>
        </w:rPr>
        <w:sectPr w:rsidR="00A45A65" w:rsidSect="00A45A65">
          <w:type w:val="continuous"/>
          <w:pgSz w:w="12240" w:h="15840"/>
          <w:pgMar w:top="1440" w:right="1440" w:bottom="1440" w:left="1440" w:header="708" w:footer="708" w:gutter="0"/>
          <w:cols w:num="2" w:space="720"/>
          <w:docGrid w:linePitch="360"/>
        </w:sectPr>
      </w:pPr>
    </w:p>
    <w:p w14:paraId="514ADCDF" w14:textId="77777777" w:rsidR="00ED74D0" w:rsidRPr="000F5F0B" w:rsidRDefault="00000000" w:rsidP="00A45A65">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0F553F94" wp14:editId="5474D493">
            <wp:extent cx="5762625" cy="1885950"/>
            <wp:effectExtent l="0" t="0" r="0" b="0"/>
            <wp:docPr id="930115350" name="Picture 9301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1885950"/>
                    </a:xfrm>
                    <a:prstGeom prst="rect">
                      <a:avLst/>
                    </a:prstGeom>
                  </pic:spPr>
                </pic:pic>
              </a:graphicData>
            </a:graphic>
          </wp:inline>
        </w:drawing>
      </w:r>
    </w:p>
    <w:p w14:paraId="400836EC" w14:textId="77777777" w:rsidR="00ED74D0" w:rsidRPr="000F5F0B" w:rsidRDefault="00000000" w:rsidP="00A45A65">
      <w:pPr>
        <w:spacing w:after="220"/>
        <w:jc w:val="center"/>
        <w:rPr>
          <w:rFonts w:ascii="Times New Roman" w:hAnsi="Times New Roman" w:cs="Times New Roman"/>
        </w:rPr>
      </w:pPr>
      <w:r w:rsidRPr="000F5F0B">
        <w:rPr>
          <w:rFonts w:ascii="Times New Roman" w:hAnsi="Times New Roman" w:cs="Times New Roman"/>
          <w:b/>
          <w:bCs/>
          <w:sz w:val="20"/>
          <w:szCs w:val="20"/>
        </w:rPr>
        <w:t>Figure 20. Out-of-fold observed-versus-predicted Brix values: (A) IDW baseline; (B) Random Forest; (C) Stacking Ensemble. The dashed line indicates perfect agreement (1:1).</w:t>
      </w:r>
    </w:p>
    <w:p w14:paraId="010ED395" w14:textId="77777777" w:rsidR="00A45A65" w:rsidRDefault="00A45A65">
      <w:pPr>
        <w:spacing w:after="160"/>
        <w:jc w:val="both"/>
        <w:rPr>
          <w:rFonts w:ascii="Times New Roman" w:hAnsi="Times New Roman" w:cs="Times New Roman"/>
        </w:rPr>
        <w:sectPr w:rsidR="00A45A65" w:rsidSect="000F5F0B">
          <w:type w:val="continuous"/>
          <w:pgSz w:w="12240" w:h="15840"/>
          <w:pgMar w:top="1440" w:right="1440" w:bottom="1440" w:left="1440" w:header="708" w:footer="708" w:gutter="0"/>
          <w:cols w:space="720"/>
          <w:docGrid w:linePitch="360"/>
        </w:sectPr>
      </w:pPr>
    </w:p>
    <w:p w14:paraId="162FC265"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Finally, mapping the fitted hybrid regression-kriging surface for the final (30 August) sampling date alongside the IDW baseline and the interpolated NDVI covariate (Figure 21) illustrates that, while the three Brix surfaces (IDW, RF trend, RF-RK) are broadly similar in </w:t>
      </w:r>
      <w:r w:rsidRPr="000F5F0B">
        <w:rPr>
          <w:rFonts w:ascii="Times New Roman" w:hAnsi="Times New Roman" w:cs="Times New Roman"/>
        </w:rPr>
        <w:t>their large-scale pattern, the RF-based surfaces are visibly smoother in the field interior and more strongly shaped by the NDVI covariate near the vineyard margins, where NDVI values are most extreme.</w:t>
      </w:r>
    </w:p>
    <w:p w14:paraId="30D7BD97" w14:textId="77777777" w:rsidR="00A45A65" w:rsidRDefault="00A45A65">
      <w:pPr>
        <w:spacing w:before="120" w:after="80"/>
        <w:jc w:val="center"/>
        <w:rPr>
          <w:rFonts w:ascii="Times New Roman" w:hAnsi="Times New Roman" w:cs="Times New Roman"/>
        </w:rPr>
        <w:sectPr w:rsidR="00A45A65" w:rsidSect="00A45A65">
          <w:type w:val="continuous"/>
          <w:pgSz w:w="12240" w:h="15840"/>
          <w:pgMar w:top="1440" w:right="1440" w:bottom="1440" w:left="1440" w:header="708" w:footer="708" w:gutter="0"/>
          <w:cols w:num="2" w:space="720"/>
          <w:docGrid w:linePitch="360"/>
        </w:sectPr>
      </w:pPr>
    </w:p>
    <w:p w14:paraId="41415B2F" w14:textId="77777777" w:rsidR="00ED74D0" w:rsidRPr="000F5F0B" w:rsidRDefault="00000000" w:rsidP="00A45A65">
      <w:pPr>
        <w:spacing w:before="120" w:after="80"/>
        <w:jc w:val="center"/>
        <w:rPr>
          <w:rFonts w:ascii="Times New Roman" w:hAnsi="Times New Roman" w:cs="Times New Roman"/>
        </w:rPr>
      </w:pPr>
      <w:r w:rsidRPr="000F5F0B">
        <w:rPr>
          <w:rFonts w:ascii="Times New Roman" w:hAnsi="Times New Roman" w:cs="Times New Roman"/>
          <w:noProof/>
        </w:rPr>
        <w:drawing>
          <wp:inline distT="0" distB="0" distL="0" distR="0" wp14:anchorId="210BF401" wp14:editId="629C93B7">
            <wp:extent cx="5762625" cy="1419225"/>
            <wp:effectExtent l="0" t="0" r="0" b="0"/>
            <wp:docPr id="1682920983" name="Picture 168292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1419225"/>
                    </a:xfrm>
                    <a:prstGeom prst="rect">
                      <a:avLst/>
                    </a:prstGeom>
                  </pic:spPr>
                </pic:pic>
              </a:graphicData>
            </a:graphic>
          </wp:inline>
        </w:drawing>
      </w:r>
    </w:p>
    <w:p w14:paraId="0353E049" w14:textId="77777777" w:rsidR="00ED74D0" w:rsidRPr="000F5F0B" w:rsidRDefault="00000000" w:rsidP="00A45A65">
      <w:pPr>
        <w:spacing w:after="220"/>
        <w:jc w:val="center"/>
        <w:rPr>
          <w:rFonts w:ascii="Times New Roman" w:hAnsi="Times New Roman" w:cs="Times New Roman"/>
        </w:rPr>
      </w:pPr>
      <w:r w:rsidRPr="000F5F0B">
        <w:rPr>
          <w:rFonts w:ascii="Times New Roman" w:hAnsi="Times New Roman" w:cs="Times New Roman"/>
          <w:b/>
          <w:bCs/>
          <w:sz w:val="20"/>
          <w:szCs w:val="20"/>
        </w:rPr>
        <w:t>Figure 21. Spatial interpolation surfaces for 30 August Brix: (A) IDW baseline; (B) Random Forest trend surface; (C) hybrid RF + kriged-residual (regression-kriging) surface; (D) interpolated NDVI covariate surface used as a predictor. Black dots show sampling locations.</w:t>
      </w:r>
    </w:p>
    <w:p w14:paraId="159E6584" w14:textId="77777777" w:rsidR="00A45A65" w:rsidRDefault="00A45A65">
      <w:pPr>
        <w:pStyle w:val="Heading1"/>
        <w:spacing w:before="320" w:after="160"/>
        <w:rPr>
          <w:rFonts w:ascii="Times New Roman" w:hAnsi="Times New Roman" w:cs="Times New Roman"/>
        </w:rPr>
        <w:sectPr w:rsidR="00A45A65" w:rsidSect="000F5F0B">
          <w:type w:val="continuous"/>
          <w:pgSz w:w="12240" w:h="15840"/>
          <w:pgMar w:top="1440" w:right="1440" w:bottom="1440" w:left="1440" w:header="708" w:footer="708" w:gutter="0"/>
          <w:cols w:space="720"/>
          <w:docGrid w:linePitch="360"/>
        </w:sectPr>
      </w:pPr>
    </w:p>
    <w:p w14:paraId="43D00B90" w14:textId="77777777" w:rsidR="00ED74D0" w:rsidRPr="00093A3F" w:rsidRDefault="00000000">
      <w:pPr>
        <w:pStyle w:val="Heading1"/>
        <w:spacing w:before="320" w:after="160"/>
        <w:rPr>
          <w:rFonts w:ascii="Times New Roman" w:hAnsi="Times New Roman" w:cs="Times New Roman"/>
          <w:color w:val="auto"/>
        </w:rPr>
      </w:pPr>
      <w:r w:rsidRPr="00093A3F">
        <w:rPr>
          <w:rFonts w:ascii="Times New Roman" w:hAnsi="Times New Roman" w:cs="Times New Roman"/>
          <w:color w:val="auto"/>
        </w:rPr>
        <w:t>4. Discussion</w:t>
      </w:r>
    </w:p>
    <w:p w14:paraId="1F587240"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4.1 Cross-System Comparison of Environment–Response Relationships</w:t>
      </w:r>
    </w:p>
    <w:p w14:paraId="1F23D10D" w14:textId="7D6C2478"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The three case studies, despite covering structurally different agricultural problems, showed a consistent pattern: a small number of environmental or spectral covariates explained a very large share of the observed variability in the </w:t>
      </w:r>
      <w:r w:rsidRPr="000F5F0B">
        <w:rPr>
          <w:rFonts w:ascii="Times New Roman" w:hAnsi="Times New Roman" w:cs="Times New Roman"/>
        </w:rPr>
        <w:t>outcome of interest</w:t>
      </w:r>
      <w:r w:rsidR="000F5F0B">
        <w:rPr>
          <w:rFonts w:ascii="Times New Roman" w:hAnsi="Times New Roman" w:cs="Times New Roman"/>
        </w:rPr>
        <w:t xml:space="preserve"> </w:t>
      </w:r>
      <w:r w:rsidRPr="000F5F0B">
        <w:rPr>
          <w:rFonts w:ascii="Times New Roman" w:hAnsi="Times New Roman" w:cs="Times New Roman"/>
        </w:rPr>
        <w:t>deep soil-water content and potassium for maize yield (r = 0.972 and 0.751), NDVI for grape Brix (R² = 0.880), and time (Julian day) for Brix accumulation itself (R² = 0.978). This pattern is broadly consistent with prior reports that NDVI and related vegetation indices carry strong predictive power for both maize yield (</w:t>
      </w:r>
      <w:hyperlink w:anchor="burglewski2024" w:history="1">
        <w:r w:rsidRPr="000F5F0B">
          <w:rPr>
            <w:rStyle w:val="Hyperlink"/>
            <w:rFonts w:ascii="Times New Roman" w:hAnsi="Times New Roman" w:cs="Times New Roman"/>
          </w:rPr>
          <w:t>Burglewski et al., 2024</w:t>
        </w:r>
      </w:hyperlink>
      <w:r w:rsidRPr="000F5F0B">
        <w:rPr>
          <w:rFonts w:ascii="Times New Roman" w:hAnsi="Times New Roman" w:cs="Times New Roman"/>
        </w:rPr>
        <w:t xml:space="preserve">) and grape sugar accumulation in independently studied vineyards, and reinforces the case for remote-sensing proxies as a practical complement to, </w:t>
      </w:r>
      <w:r w:rsidRPr="000F5F0B">
        <w:rPr>
          <w:rFonts w:ascii="Times New Roman" w:hAnsi="Times New Roman" w:cs="Times New Roman"/>
        </w:rPr>
        <w:lastRenderedPageBreak/>
        <w:t xml:space="preserve">rather than replacement for, direct field sampling. At the same time, the very high coefficients obtained here (R² routinely above 0.87) are somewhat higher than is typical in larger, multi-season precision-agriculture datasets, and most plausibly reflect the modest number of sampling dates/points and the restriction of each case study to a single growing season, rather than an unusually strong or </w:t>
      </w:r>
      <w:proofErr w:type="spellStart"/>
      <w:r w:rsidRPr="000F5F0B">
        <w:rPr>
          <w:rFonts w:ascii="Times New Roman" w:hAnsi="Times New Roman" w:cs="Times New Roman"/>
        </w:rPr>
        <w:t>generalisable</w:t>
      </w:r>
      <w:proofErr w:type="spellEnd"/>
      <w:r w:rsidRPr="000F5F0B">
        <w:rPr>
          <w:rFonts w:ascii="Times New Roman" w:hAnsi="Times New Roman" w:cs="Times New Roman"/>
        </w:rPr>
        <w:t xml:space="preserve"> underlying relationship.</w:t>
      </w:r>
    </w:p>
    <w:p w14:paraId="3C17A45C" w14:textId="2BEF2F34"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A further point of comparison, made possible only by </w:t>
      </w:r>
      <w:proofErr w:type="spellStart"/>
      <w:r w:rsidRPr="000F5F0B">
        <w:rPr>
          <w:rFonts w:ascii="Times New Roman" w:hAnsi="Times New Roman" w:cs="Times New Roman"/>
        </w:rPr>
        <w:t>analysing</w:t>
      </w:r>
      <w:proofErr w:type="spellEnd"/>
      <w:r w:rsidRPr="000F5F0B">
        <w:rPr>
          <w:rFonts w:ascii="Times New Roman" w:hAnsi="Times New Roman" w:cs="Times New Roman"/>
        </w:rPr>
        <w:t xml:space="preserve"> the three case studies within one framework, concerns where machine learning is and is not likely to add value. The maize system (Section 3.1) has six correlated soil/water covariates and a comparatively strong multivariate signal (|r| up to 0.972); the Brix system (Sections 3.3–3.4) has a single covariate (NDVI) alongside a dominant temporal trend, and, as demonstrated directly by the cross-validated machine-learning comparison and the Moran's </w:t>
      </w:r>
      <w:r w:rsidRPr="000F5F0B">
        <w:rPr>
          <w:rFonts w:ascii="Times New Roman" w:hAnsi="Times New Roman" w:cs="Times New Roman"/>
          <w:i/>
          <w:iCs/>
        </w:rPr>
        <w:t>I</w:t>
      </w:r>
      <w:r w:rsidRPr="000F5F0B">
        <w:rPr>
          <w:rFonts w:ascii="Times New Roman" w:hAnsi="Times New Roman" w:cs="Times New Roman"/>
        </w:rPr>
        <w:t xml:space="preserve"> diagnostic (Section 3.4), too little residual spatial structure for regression-kriging or tree-ensemble methods to outperform simple IDW. This contrast suggests, as a testable hypothesis for future work, that the maize dataset</w:t>
      </w:r>
      <w:r w:rsidR="000F5F0B">
        <w:rPr>
          <w:rFonts w:ascii="Times New Roman" w:hAnsi="Times New Roman" w:cs="Times New Roman"/>
        </w:rPr>
        <w:t xml:space="preserve"> </w:t>
      </w:r>
      <w:r w:rsidRPr="000F5F0B">
        <w:rPr>
          <w:rFonts w:ascii="Times New Roman" w:hAnsi="Times New Roman" w:cs="Times New Roman"/>
        </w:rPr>
        <w:t>with its richer, multi-covariate auxiliary information</w:t>
      </w:r>
      <w:r w:rsidR="000F5F0B">
        <w:rPr>
          <w:rFonts w:ascii="Times New Roman" w:hAnsi="Times New Roman" w:cs="Times New Roman"/>
        </w:rPr>
        <w:t xml:space="preserve"> </w:t>
      </w:r>
      <w:r w:rsidRPr="000F5F0B">
        <w:rPr>
          <w:rFonts w:ascii="Times New Roman" w:hAnsi="Times New Roman" w:cs="Times New Roman"/>
        </w:rPr>
        <w:t>is the more promising candidate among the three systems studied here for a machine-learning approach to show a genuine advantage over deterministic interpolation, precisely because it offers the multivariate, spatially structured covariate signal that regression-kriging and ensemble learning are designed to exploit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xml:space="preserve">;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w:t>
      </w:r>
    </w:p>
    <w:p w14:paraId="72091F95"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4.2 Practical Value and Current Limitations of the GIS/Remote-Sensing Workflow</w:t>
      </w:r>
    </w:p>
    <w:p w14:paraId="630D7FE0" w14:textId="27AA70AB"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In the maize system, the combination of IDW-interpolated fertility mapping and quadratic yield–input regression produced prescription maps with a demonstrable, if modest, input saving (≈ 6.4% reduction in total lime demand) and a substantially more efficient spatial allocation of </w:t>
      </w:r>
      <w:proofErr w:type="spellStart"/>
      <w:r w:rsidRPr="000F5F0B">
        <w:rPr>
          <w:rFonts w:ascii="Times New Roman" w:hAnsi="Times New Roman" w:cs="Times New Roman"/>
        </w:rPr>
        <w:t>fertiliser</w:t>
      </w:r>
      <w:proofErr w:type="spellEnd"/>
      <w:r w:rsidRPr="000F5F0B">
        <w:rPr>
          <w:rFonts w:ascii="Times New Roman" w:hAnsi="Times New Roman" w:cs="Times New Roman"/>
        </w:rPr>
        <w:t xml:space="preserve"> than uniform application</w:t>
      </w:r>
      <w:r w:rsidR="000F5F0B">
        <w:rPr>
          <w:rFonts w:ascii="Times New Roman" w:hAnsi="Times New Roman" w:cs="Times New Roman"/>
        </w:rPr>
        <w:t xml:space="preserve"> </w:t>
      </w:r>
      <w:r w:rsidRPr="000F5F0B">
        <w:rPr>
          <w:rFonts w:ascii="Times New Roman" w:hAnsi="Times New Roman" w:cs="Times New Roman"/>
        </w:rPr>
        <w:t xml:space="preserve">consistent with the general rationale for variable-rate technology in heterogeneous fields </w:t>
      </w:r>
      <w:r w:rsidRPr="000F5F0B">
        <w:rPr>
          <w:rFonts w:ascii="Times New Roman" w:hAnsi="Times New Roman" w:cs="Times New Roman"/>
        </w:rPr>
        <w:t>(</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"chuvieco2020"</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Chuvieco</w:t>
      </w:r>
      <w:proofErr w:type="spellEnd"/>
      <w:r w:rsidRPr="000F5F0B">
        <w:rPr>
          <w:rStyle w:val="Hyperlink"/>
          <w:rFonts w:ascii="Times New Roman" w:hAnsi="Times New Roman" w:cs="Times New Roman"/>
        </w:rPr>
        <w:t>, 2020</w:t>
      </w:r>
      <w:r w:rsidRPr="000F5F0B">
        <w:rPr>
          <w:rFonts w:ascii="Times New Roman" w:hAnsi="Times New Roman" w:cs="Times New Roman"/>
        </w:rPr>
        <w:fldChar w:fldCharType="end"/>
      </w:r>
      <w:r w:rsidRPr="000F5F0B">
        <w:rPr>
          <w:rFonts w:ascii="Times New Roman" w:hAnsi="Times New Roman" w:cs="Times New Roman"/>
        </w:rPr>
        <w:t xml:space="preserve">; </w:t>
      </w:r>
      <w:hyperlink w:anchor="jensen2015" w:history="1">
        <w:r w:rsidRPr="000F5F0B">
          <w:rPr>
            <w:rStyle w:val="Hyperlink"/>
            <w:rFonts w:ascii="Times New Roman" w:hAnsi="Times New Roman" w:cs="Times New Roman"/>
          </w:rPr>
          <w:t>Jensen, 2015</w:t>
        </w:r>
      </w:hyperlink>
      <w:r w:rsidRPr="000F5F0B">
        <w:rPr>
          <w:rFonts w:ascii="Times New Roman" w:hAnsi="Times New Roman" w:cs="Times New Roman"/>
        </w:rPr>
        <w:t>). However, IDW and Thiessen tessellation are both deterministic interpolators that do not provide a formal measure of prediction uncertainty, unlike geostatistical kriging; their use here reflects a pragmatic choice given sampling density rather than a claim that they are the optimal interpolator for this field (</w:t>
      </w:r>
      <w:hyperlink w:anchor="wong2017" w:history="1">
        <w:r w:rsidRPr="000F5F0B">
          <w:rPr>
            <w:rStyle w:val="Hyperlink"/>
            <w:rFonts w:ascii="Times New Roman" w:hAnsi="Times New Roman" w:cs="Times New Roman"/>
          </w:rPr>
          <w:t>Wong, 2017</w:t>
        </w:r>
      </w:hyperlink>
      <w:r w:rsidRPr="000F5F0B">
        <w:rPr>
          <w:rFonts w:ascii="Times New Roman" w:hAnsi="Times New Roman" w:cs="Times New Roman"/>
        </w:rPr>
        <w:t xml:space="preserve">;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 xml:space="preserve">; </w:t>
      </w:r>
      <w:hyperlink w:anchor="shaddad2016" w:history="1">
        <w:r w:rsidRPr="000F5F0B">
          <w:rPr>
            <w:rStyle w:val="Hyperlink"/>
            <w:rFonts w:ascii="Times New Roman" w:hAnsi="Times New Roman" w:cs="Times New Roman"/>
          </w:rPr>
          <w:t>Shaddad et al., 2016</w:t>
        </w:r>
      </w:hyperlink>
      <w:r w:rsidRPr="000F5F0B">
        <w:rPr>
          <w:rFonts w:ascii="Times New Roman" w:hAnsi="Times New Roman" w:cs="Times New Roman"/>
        </w:rPr>
        <w:t xml:space="preserve">; </w:t>
      </w:r>
      <w:hyperlink w:anchor="sekulic2020" w:history="1">
        <w:r w:rsidRPr="000F5F0B">
          <w:rPr>
            <w:rStyle w:val="Hyperlink"/>
            <w:rFonts w:ascii="Times New Roman" w:hAnsi="Times New Roman" w:cs="Times New Roman"/>
          </w:rPr>
          <w:t>Sekulić et al., 2020</w:t>
        </w:r>
      </w:hyperlink>
      <w:r w:rsidRPr="000F5F0B">
        <w:rPr>
          <w:rFonts w:ascii="Times New Roman" w:hAnsi="Times New Roman" w:cs="Times New Roman"/>
        </w:rPr>
        <w:t xml:space="preserve">). Future work at this and comparable sites would benefit from denser or multi-season sampling sufficient to support </w:t>
      </w:r>
      <w:proofErr w:type="spellStart"/>
      <w:r w:rsidRPr="000F5F0B">
        <w:rPr>
          <w:rFonts w:ascii="Times New Roman" w:hAnsi="Times New Roman" w:cs="Times New Roman"/>
        </w:rPr>
        <w:t>semivariogram</w:t>
      </w:r>
      <w:proofErr w:type="spellEnd"/>
      <w:r w:rsidRPr="000F5F0B">
        <w:rPr>
          <w:rFonts w:ascii="Times New Roman" w:hAnsi="Times New Roman" w:cs="Times New Roman"/>
        </w:rPr>
        <w:t>-based geostatistical interpolation and explicit quantification of prediction uncertainty.</w:t>
      </w:r>
    </w:p>
    <w:p w14:paraId="17EFB22F" w14:textId="54154CB9"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In the vineyard-pest system, the clear generational structure observed in the trap-capture data</w:t>
      </w:r>
      <w:r w:rsidR="000F5F0B">
        <w:rPr>
          <w:rFonts w:ascii="Times New Roman" w:hAnsi="Times New Roman" w:cs="Times New Roman"/>
        </w:rPr>
        <w:t xml:space="preserve"> </w:t>
      </w:r>
      <w:r w:rsidRPr="000F5F0B">
        <w:rPr>
          <w:rFonts w:ascii="Times New Roman" w:hAnsi="Times New Roman" w:cs="Times New Roman"/>
        </w:rPr>
        <w:t>edge-effect establishment, interior expansion, and late-season dispersal</w:t>
      </w:r>
      <w:r w:rsidR="000F5F0B">
        <w:rPr>
          <w:rFonts w:ascii="Times New Roman" w:hAnsi="Times New Roman" w:cs="Times New Roman"/>
        </w:rPr>
        <w:t xml:space="preserve"> </w:t>
      </w:r>
      <w:r w:rsidRPr="000F5F0B">
        <w:rPr>
          <w:rFonts w:ascii="Times New Roman" w:hAnsi="Times New Roman" w:cs="Times New Roman"/>
        </w:rPr>
        <w:t xml:space="preserve">is consistent with the general phenology of </w:t>
      </w:r>
      <w:r w:rsidRPr="000F5F0B">
        <w:rPr>
          <w:rFonts w:ascii="Times New Roman" w:hAnsi="Times New Roman" w:cs="Times New Roman"/>
          <w:i/>
          <w:iCs/>
        </w:rPr>
        <w:t xml:space="preserve">L. </w:t>
      </w:r>
      <w:proofErr w:type="spellStart"/>
      <w:r w:rsidRPr="000F5F0B">
        <w:rPr>
          <w:rFonts w:ascii="Times New Roman" w:hAnsi="Times New Roman" w:cs="Times New Roman"/>
          <w:i/>
          <w:iCs/>
        </w:rPr>
        <w:t>botrana</w:t>
      </w:r>
      <w:proofErr w:type="spellEnd"/>
      <w:r w:rsidRPr="000F5F0B">
        <w:rPr>
          <w:rFonts w:ascii="Times New Roman" w:hAnsi="Times New Roman" w:cs="Times New Roman"/>
        </w:rPr>
        <w:t xml:space="preserve"> reported elsewhere and supports the geospatial trap network as an effective, low-cost diagnostic tool for timing integrated pest-management interventions, particularly ahead of the second-generation flight period identified here as the critical control window, in line with mating-disruption and monitoring strategies documented for other Mediterranean vineyard systems (</w:t>
      </w:r>
      <w:hyperlink w:anchor="benelli2023" w:history="1">
        <w:r w:rsidRPr="000F5F0B">
          <w:rPr>
            <w:rStyle w:val="Hyperlink"/>
            <w:rFonts w:ascii="Times New Roman" w:hAnsi="Times New Roman" w:cs="Times New Roman"/>
          </w:rPr>
          <w:t>Benelli et al., 2023</w:t>
        </w:r>
      </w:hyperlink>
      <w:r w:rsidRPr="000F5F0B">
        <w:rPr>
          <w:rFonts w:ascii="Times New Roman" w:hAnsi="Times New Roman" w:cs="Times New Roman"/>
        </w:rPr>
        <w:t xml:space="preserve">; </w:t>
      </w:r>
      <w:hyperlink w:anchor="ricciardi2024" w:history="1">
        <w:r w:rsidRPr="000F5F0B">
          <w:rPr>
            <w:rStyle w:val="Hyperlink"/>
            <w:rFonts w:ascii="Times New Roman" w:hAnsi="Times New Roman" w:cs="Times New Roman"/>
          </w:rPr>
          <w:t>Ricciardi et al., 2024</w:t>
        </w:r>
      </w:hyperlink>
      <w:r w:rsidRPr="000F5F0B">
        <w:rPr>
          <w:rFonts w:ascii="Times New Roman" w:hAnsi="Times New Roman" w:cs="Times New Roman"/>
        </w:rPr>
        <w:t>). This case study, however, is limited to a single season and a single estate; multi-year replication would be required to establish whether the observed spatial pattern (forest-edge origin, interior expansion, late dispersal) is a stable feature of this landscape or contingent on the particular climatic conditions of the monitored season.</w:t>
      </w:r>
    </w:p>
    <w:p w14:paraId="61936793"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In the Brix/ripening system, the strong logarithmic time–Brix relationship and the substantial NDVI–Brix association together indicate that combining a small number of destructive field samples with a remote vegetation index can meaningfully extend the spatial and temporal resolution of ripening monitoring beyond what routine refractometer sampling alone would allow, consistent with the broader precision-viticulture literature on </w:t>
      </w:r>
      <w:proofErr w:type="spellStart"/>
      <w:r w:rsidRPr="000F5F0B">
        <w:rPr>
          <w:rFonts w:ascii="Times New Roman" w:hAnsi="Times New Roman" w:cs="Times New Roman"/>
        </w:rPr>
        <w:t>vigour</w:t>
      </w:r>
      <w:proofErr w:type="spellEnd"/>
      <w:r w:rsidRPr="000F5F0B">
        <w:rPr>
          <w:rFonts w:ascii="Times New Roman" w:hAnsi="Times New Roman" w:cs="Times New Roman"/>
        </w:rPr>
        <w:t>–quality relationships (</w:t>
      </w:r>
      <w:proofErr w:type="spellStart"/>
      <w:r w:rsidRPr="000F5F0B">
        <w:rPr>
          <w:rFonts w:ascii="Times New Roman" w:hAnsi="Times New Roman" w:cs="Times New Roman"/>
        </w:rPr>
        <w:fldChar w:fldCharType="begin"/>
      </w:r>
      <w:r w:rsidRPr="000F5F0B">
        <w:rPr>
          <w:rFonts w:ascii="Times New Roman" w:hAnsi="Times New Roman" w:cs="Times New Roman"/>
        </w:rPr>
        <w:instrText>HYPERLINK \l "matese2015a"</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rPr>
        <w:t>Matese</w:t>
      </w:r>
      <w:proofErr w:type="spellEnd"/>
      <w:r w:rsidRPr="000F5F0B">
        <w:rPr>
          <w:rStyle w:val="Hyperlink"/>
          <w:rFonts w:ascii="Times New Roman" w:hAnsi="Times New Roman" w:cs="Times New Roman"/>
        </w:rPr>
        <w:t xml:space="preserve"> and Di Gennaro, 2015</w:t>
      </w:r>
      <w:r w:rsidRPr="000F5F0B">
        <w:rPr>
          <w:rFonts w:ascii="Times New Roman" w:hAnsi="Times New Roman" w:cs="Times New Roman"/>
        </w:rPr>
        <w:fldChar w:fldCharType="end"/>
      </w:r>
      <w:r w:rsidRPr="000F5F0B">
        <w:rPr>
          <w:rFonts w:ascii="Times New Roman" w:hAnsi="Times New Roman" w:cs="Times New Roman"/>
        </w:rPr>
        <w:t xml:space="preserve">; </w:t>
      </w:r>
      <w:hyperlink w:anchor="matese2015b" w:history="1">
        <w:proofErr w:type="spellStart"/>
        <w:r w:rsidRPr="000F5F0B">
          <w:rPr>
            <w:rStyle w:val="Hyperlink"/>
            <w:rFonts w:ascii="Times New Roman" w:hAnsi="Times New Roman" w:cs="Times New Roman"/>
          </w:rPr>
          <w:t>Matese</w:t>
        </w:r>
        <w:proofErr w:type="spellEnd"/>
        <w:r w:rsidRPr="000F5F0B">
          <w:rPr>
            <w:rStyle w:val="Hyperlink"/>
            <w:rFonts w:ascii="Times New Roman" w:hAnsi="Times New Roman" w:cs="Times New Roman"/>
          </w:rPr>
          <w:t xml:space="preserve"> et al., 2015</w:t>
        </w:r>
      </w:hyperlink>
      <w:r w:rsidRPr="000F5F0B">
        <w:rPr>
          <w:rFonts w:ascii="Times New Roman" w:hAnsi="Times New Roman" w:cs="Times New Roman"/>
        </w:rPr>
        <w:t xml:space="preserve">). The regression-based harvest-date forecast should nonetheless be treated as indicative rather than definitive: it was </w:t>
      </w:r>
      <w:r w:rsidRPr="000F5F0B">
        <w:rPr>
          <w:rFonts w:ascii="Times New Roman" w:hAnsi="Times New Roman" w:cs="Times New Roman"/>
        </w:rPr>
        <w:lastRenderedPageBreak/>
        <w:t>fitted to a single season's five sampling dates, and the logarithmic functional form, while biologically motivated, was not compared here against alternative non-linear forms (e.g., logistic or Gompertz growth curves) that are also plausible descriptions of sugar accumulation.</w:t>
      </w:r>
    </w:p>
    <w:p w14:paraId="6EF95C93"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4.3 Shared Constraints and Implications for Future Precision-Agriculture Trial Design</w:t>
      </w:r>
    </w:p>
    <w:p w14:paraId="6F615C00"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Three constraints recur across all three case studies and merit explicit attention in any attempt to </w:t>
      </w:r>
      <w:proofErr w:type="spellStart"/>
      <w:r w:rsidRPr="000F5F0B">
        <w:rPr>
          <w:rFonts w:ascii="Times New Roman" w:hAnsi="Times New Roman" w:cs="Times New Roman"/>
        </w:rPr>
        <w:t>generalise</w:t>
      </w:r>
      <w:proofErr w:type="spellEnd"/>
      <w:r w:rsidRPr="000F5F0B">
        <w:rPr>
          <w:rFonts w:ascii="Times New Roman" w:hAnsi="Times New Roman" w:cs="Times New Roman"/>
        </w:rPr>
        <w:t xml:space="preserve"> beyond the individual farms studied here. First, each case study is based on a single growing season; inter-annual climatic variability is known to substantially affect vegetation-index–yield and vegetation-index–quality relationships, so the strong single-season coefficients reported here should be interpreted as an upper bound on likely multi-season performance. Second, sample sizes at the level of individual soil, trap, or Brix sampling points were modest (tens of points per farm), which </w:t>
      </w:r>
      <w:proofErr w:type="spellStart"/>
      <w:r w:rsidRPr="000F5F0B">
        <w:rPr>
          <w:rFonts w:ascii="Times New Roman" w:hAnsi="Times New Roman" w:cs="Times New Roman"/>
        </w:rPr>
        <w:t>favoured</w:t>
      </w:r>
      <w:proofErr w:type="spellEnd"/>
      <w:r w:rsidRPr="000F5F0B">
        <w:rPr>
          <w:rFonts w:ascii="Times New Roman" w:hAnsi="Times New Roman" w:cs="Times New Roman"/>
        </w:rPr>
        <w:t xml:space="preserve"> deterministic interpolation (IDW, Thiessen polygons) over geostatistical alternatives and precluded formal cross-validation of the interpolated surfaces. Third, all three studies relied on a single or narrow set of remote-sensing acquisitions (Landsat-derived NDVI for maize; vineyard-scale NDVI/NIR orthophotos for the Brix study) rather than a continuous, multi-temporal sensing </w:t>
      </w:r>
      <w:proofErr w:type="spellStart"/>
      <w:r w:rsidRPr="000F5F0B">
        <w:rPr>
          <w:rFonts w:ascii="Times New Roman" w:hAnsi="Times New Roman" w:cs="Times New Roman"/>
        </w:rPr>
        <w:t>programme</w:t>
      </w:r>
      <w:proofErr w:type="spellEnd"/>
      <w:r w:rsidRPr="000F5F0B">
        <w:rPr>
          <w:rFonts w:ascii="Times New Roman" w:hAnsi="Times New Roman" w:cs="Times New Roman"/>
        </w:rPr>
        <w:t xml:space="preserve">, limiting the ability to disentangle short-term weather effects from longer-term spatial fertility or </w:t>
      </w:r>
      <w:proofErr w:type="spellStart"/>
      <w:r w:rsidRPr="000F5F0B">
        <w:rPr>
          <w:rFonts w:ascii="Times New Roman" w:hAnsi="Times New Roman" w:cs="Times New Roman"/>
        </w:rPr>
        <w:t>vigour</w:t>
      </w:r>
      <w:proofErr w:type="spellEnd"/>
      <w:r w:rsidRPr="000F5F0B">
        <w:rPr>
          <w:rFonts w:ascii="Times New Roman" w:hAnsi="Times New Roman" w:cs="Times New Roman"/>
        </w:rPr>
        <w:t xml:space="preserve"> patterns. Addressing these three constraints, through multi-season replication, denser or </w:t>
      </w:r>
      <w:proofErr w:type="spellStart"/>
      <w:r w:rsidRPr="000F5F0B">
        <w:rPr>
          <w:rFonts w:ascii="Times New Roman" w:hAnsi="Times New Roman" w:cs="Times New Roman"/>
        </w:rPr>
        <w:t>geostatistically</w:t>
      </w:r>
      <w:proofErr w:type="spellEnd"/>
      <w:r w:rsidRPr="000F5F0B">
        <w:rPr>
          <w:rFonts w:ascii="Times New Roman" w:hAnsi="Times New Roman" w:cs="Times New Roman"/>
        </w:rPr>
        <w:t xml:space="preserve"> validated sampling, and higher-frequency remote sensing, represents the most direct route to strengthening the practical reliability of the variable-rate, pest-risk, and harvest-forecasting tools demonstrated in this study.</w:t>
      </w:r>
    </w:p>
    <w:p w14:paraId="05135BB9"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For machine-learning and hybrid regression-kriging methods specifically, the analysis in Section 3.4 points to a concrete, quantitative sampling target rather than a general appeal to “more data”: reliable variogram and ensemble-model estimation in comparable geostatistical applications typically requires on the order of </w:t>
      </w:r>
      <w:r w:rsidRPr="000F5F0B">
        <w:rPr>
          <w:rFonts w:ascii="Times New Roman" w:hAnsi="Times New Roman" w:cs="Times New Roman"/>
        </w:rPr>
        <w:t>100–150 sample points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 xml:space="preserve">; </w:t>
      </w:r>
      <w:hyperlink w:anchor="sekulic2020" w:history="1">
        <w:r w:rsidRPr="000F5F0B">
          <w:rPr>
            <w:rStyle w:val="Hyperlink"/>
            <w:rFonts w:ascii="Times New Roman" w:hAnsi="Times New Roman" w:cs="Times New Roman"/>
          </w:rPr>
          <w:t>Sekulić et al., 2020</w:t>
        </w:r>
      </w:hyperlink>
      <w:r w:rsidRPr="000F5F0B">
        <w:rPr>
          <w:rFonts w:ascii="Times New Roman" w:hAnsi="Times New Roman" w:cs="Times New Roman"/>
        </w:rPr>
        <w:t xml:space="preserve">), roughly double the 68 points available for the Brix case study, and ideally spread across multiple growing seasons so that the temporal trend (Julian day; Equation 20) can be modelled jointly with inter-annual variability rather than treated as a single-season fixed effect. Future data-collection campaigns intending to apply the machine-learning pipeline documented here (Section 2.5, Supplementary Material) should therefore </w:t>
      </w:r>
      <w:proofErr w:type="spellStart"/>
      <w:r w:rsidRPr="000F5F0B">
        <w:rPr>
          <w:rFonts w:ascii="Times New Roman" w:hAnsi="Times New Roman" w:cs="Times New Roman"/>
        </w:rPr>
        <w:t>prioritise</w:t>
      </w:r>
      <w:proofErr w:type="spellEnd"/>
      <w:r w:rsidRPr="000F5F0B">
        <w:rPr>
          <w:rFonts w:ascii="Times New Roman" w:hAnsi="Times New Roman" w:cs="Times New Roman"/>
        </w:rPr>
        <w:t>, in order of expected marginal benefit: (</w:t>
      </w:r>
      <w:proofErr w:type="spellStart"/>
      <w:r w:rsidRPr="000F5F0B">
        <w:rPr>
          <w:rFonts w:ascii="Times New Roman" w:hAnsi="Times New Roman" w:cs="Times New Roman"/>
        </w:rPr>
        <w:t>i</w:t>
      </w:r>
      <w:proofErr w:type="spellEnd"/>
      <w:r w:rsidRPr="000F5F0B">
        <w:rPr>
          <w:rFonts w:ascii="Times New Roman" w:hAnsi="Times New Roman" w:cs="Times New Roman"/>
        </w:rPr>
        <w:t>) increasing the number of independent spatial sampling locations per season; (ii) adding further auxiliary covariates beyond NDVI (e.g., soil apparent electrical conductivity, canopy temperature, or additional vegetation indices) to increase the multivariate signal available to tree-ensemble and stacking models, following the multi-covariate approach that proved more informative in the maize system (Section 4.1); and (iii) repeating sampling across at least two to three growing seasons to allow the neural-network and stacking-ensemble models, which are the most data-hungry of the approaches benchmarked here, a realistic opportunity to demonstrate their potential advantage over simpler deterministic methods.</w:t>
      </w:r>
    </w:p>
    <w:p w14:paraId="52B27517" w14:textId="77777777" w:rsidR="00ED74D0" w:rsidRPr="00093A3F" w:rsidRDefault="00000000">
      <w:pPr>
        <w:pStyle w:val="Heading2"/>
        <w:spacing w:before="260" w:after="140"/>
        <w:rPr>
          <w:rFonts w:ascii="Times New Roman" w:hAnsi="Times New Roman" w:cs="Times New Roman"/>
          <w:color w:val="auto"/>
        </w:rPr>
      </w:pPr>
      <w:r w:rsidRPr="00093A3F">
        <w:rPr>
          <w:rFonts w:ascii="Times New Roman" w:hAnsi="Times New Roman" w:cs="Times New Roman"/>
          <w:color w:val="auto"/>
        </w:rPr>
        <w:t>4.4 Does Machine Learning Improve on Empirical Interpolation? An Honest Appraisal</w:t>
      </w:r>
    </w:p>
    <w:p w14:paraId="2342C5A1" w14:textId="7CE30E43"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A central motivation for implementing the hybrid regression-kriging framework (Sections 2.5, 3.4) was to test whether modern machine learning could directly overcome the acknowledged limitations of IDW and simple parametric regression identified above. The rigorously cross-validated result is more nuanced than a simple confirmation of that expectation, and we report it in full because the pattern itself is informative. Once genuine spatial hold-out validation was enforced (Section 2.5.4), predictive skill for Brix fell from the in-sample R² = 0.880 reported in Section 3.3 to a cross-validated R² of 0.538 for the IDW baseline. None of the five machine-learning configurations tested</w:t>
      </w:r>
      <w:r w:rsidR="000F5F0B">
        <w:rPr>
          <w:rFonts w:ascii="Times New Roman" w:hAnsi="Times New Roman" w:cs="Times New Roman"/>
        </w:rPr>
        <w:t xml:space="preserve"> </w:t>
      </w:r>
      <w:r w:rsidRPr="000F5F0B">
        <w:rPr>
          <w:rFonts w:ascii="Times New Roman" w:hAnsi="Times New Roman" w:cs="Times New Roman"/>
        </w:rPr>
        <w:t xml:space="preserve">Random Forest (R² = 0.520), Gradient Boosting (R² = 0.453), a Multi-Layer Perceptron neural network (R² = 0.370), a Stacking Ensemble combining all three (R² = 0.467), or either hybrid regression-kriging </w:t>
      </w:r>
      <w:r w:rsidRPr="000F5F0B">
        <w:rPr>
          <w:rFonts w:ascii="Times New Roman" w:hAnsi="Times New Roman" w:cs="Times New Roman"/>
        </w:rPr>
        <w:lastRenderedPageBreak/>
        <w:t>variant (R² = 0.378–0.454)</w:t>
      </w:r>
      <w:r w:rsidR="000F5F0B">
        <w:rPr>
          <w:rFonts w:ascii="Times New Roman" w:hAnsi="Times New Roman" w:cs="Times New Roman"/>
        </w:rPr>
        <w:t xml:space="preserve"> </w:t>
      </w:r>
      <w:r w:rsidRPr="000F5F0B">
        <w:rPr>
          <w:rFonts w:ascii="Times New Roman" w:hAnsi="Times New Roman" w:cs="Times New Roman"/>
        </w:rPr>
        <w:t>exceeded this simple baseline, although the Stacking Ensemble came closest among the learned models, consistent with the general expectation that combining diverse base learners via a meta-learner (Equation 11) recovers some, though not all, of the performance gap between any single weak learner and a well-matched baseline. The neural network's comparatively poor performance is unsurprising given that MLPs typically require substantially larger training sets than tree ensembles to estimate their weight matrices reliably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 and RF-RK showed unstable, high-variance performance consistent with unreliable variogram estimation from residuals of only ≈ 54 training points per fold (</w:t>
      </w:r>
      <w:hyperlink w:anchor="trangmar1985" w:history="1">
        <w:r w:rsidRPr="000F5F0B">
          <w:rPr>
            <w:rStyle w:val="Hyperlink"/>
            <w:rFonts w:ascii="Times New Roman" w:hAnsi="Times New Roman" w:cs="Times New Roman"/>
          </w:rPr>
          <w:t>Trangmar et al., 1985</w:t>
        </w:r>
      </w:hyperlink>
      <w:r w:rsidRPr="000F5F0B">
        <w:rPr>
          <w:rFonts w:ascii="Times New Roman" w:hAnsi="Times New Roman" w:cs="Times New Roman"/>
        </w:rPr>
        <w:t xml:space="preserve">; </w:t>
      </w:r>
      <w:hyperlink w:anchor="sekulic2020" w:history="1">
        <w:r w:rsidRPr="000F5F0B">
          <w:rPr>
            <w:rStyle w:val="Hyperlink"/>
            <w:rFonts w:ascii="Times New Roman" w:hAnsi="Times New Roman" w:cs="Times New Roman"/>
          </w:rPr>
          <w:t>Sekulić et al., 2020</w:t>
        </w:r>
      </w:hyperlink>
      <w:r w:rsidRPr="000F5F0B">
        <w:rPr>
          <w:rFonts w:ascii="Times New Roman" w:hAnsi="Times New Roman" w:cs="Times New Roman"/>
        </w:rPr>
        <w:t>). Feature-importance analysis, corroborated by both the impurity-based and model-agnostic permutation-importance methods (Figure 18), explains this outcome mechanistically: the temporal ripening signal (Julian day) so strongly dominates the spatial and NDVI signal (permutation-importance ratio of approximately 5:1 relative to the next-most-important feature) that a spatially aware model has comparatively little additional structure left to exploit once the seasonal trend is accounted for.</w:t>
      </w:r>
    </w:p>
    <w:p w14:paraId="53A475E6" w14:textId="7F47C9DC"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This mechanistic explanation was independently corroborated by the global Moran's </w:t>
      </w:r>
      <w:r w:rsidRPr="000F5F0B">
        <w:rPr>
          <w:rFonts w:ascii="Times New Roman" w:hAnsi="Times New Roman" w:cs="Times New Roman"/>
          <w:i/>
          <w:iCs/>
        </w:rPr>
        <w:t>I</w:t>
      </w:r>
      <w:r w:rsidRPr="000F5F0B">
        <w:rPr>
          <w:rFonts w:ascii="Times New Roman" w:hAnsi="Times New Roman" w:cs="Times New Roman"/>
        </w:rPr>
        <w:t xml:space="preserve"> spatial-autocorrelation diagnostic (Equation 16, Figure 19): raw Brix values showed only weak positive spatial autocorrelation at every sampling date (</w:t>
      </w:r>
      <w:r w:rsidRPr="000F5F0B">
        <w:rPr>
          <w:rFonts w:ascii="Times New Roman" w:hAnsi="Times New Roman" w:cs="Times New Roman"/>
          <w:i/>
          <w:iCs/>
        </w:rPr>
        <w:t>I</w:t>
      </w:r>
      <w:r w:rsidRPr="000F5F0B">
        <w:rPr>
          <w:rFonts w:ascii="Times New Roman" w:hAnsi="Times New Roman" w:cs="Times New Roman"/>
        </w:rPr>
        <w:t xml:space="preserve"> = 0.005–0.040, against an expected value of −0.015 under complete spatial randomness). A dataset with this little spatial structure in the response variable offers regression-kriging very little residual signal to exploit beyond what the trend model (Julian day) already captures, which is the most direct explanation for why the hybrid RK variants failed to add value here</w:t>
      </w:r>
      <w:r w:rsidR="000F5F0B">
        <w:rPr>
          <w:rFonts w:ascii="Times New Roman" w:hAnsi="Times New Roman" w:cs="Times New Roman"/>
        </w:rPr>
        <w:t xml:space="preserve"> </w:t>
      </w:r>
      <w:r w:rsidRPr="000F5F0B">
        <w:rPr>
          <w:rFonts w:ascii="Times New Roman" w:hAnsi="Times New Roman" w:cs="Times New Roman"/>
        </w:rPr>
        <w:t>not a failure of the regression-kriging methodology itself, but a property of this particular dataset at this sampling density.</w:t>
      </w:r>
    </w:p>
    <w:p w14:paraId="674BCC2C"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This finding is consistent with a broader pattern documented in the digital soil mapping, precision-agriculture, and agricultural machine-learning literature, in which regression-kriging and machine-learning interpolators tend to </w:t>
      </w:r>
      <w:r w:rsidRPr="000F5F0B">
        <w:rPr>
          <w:rFonts w:ascii="Times New Roman" w:hAnsi="Times New Roman" w:cs="Times New Roman"/>
        </w:rPr>
        <w:t>outperform simple deterministic methods primarily when (</w:t>
      </w:r>
      <w:proofErr w:type="spellStart"/>
      <w:r w:rsidRPr="000F5F0B">
        <w:rPr>
          <w:rFonts w:ascii="Times New Roman" w:hAnsi="Times New Roman" w:cs="Times New Roman"/>
        </w:rPr>
        <w:t>i</w:t>
      </w:r>
      <w:proofErr w:type="spellEnd"/>
      <w:r w:rsidRPr="000F5F0B">
        <w:rPr>
          <w:rFonts w:ascii="Times New Roman" w:hAnsi="Times New Roman" w:cs="Times New Roman"/>
        </w:rPr>
        <w:t>) sample sizes are sufficient for stable variogram or ensemble-model estimation (typically well over 100 points), and (ii) auxiliary covariates carry strong, spatially structured information that is not already captured by simpler methods (</w:t>
      </w:r>
      <w:hyperlink w:anchor="shaddad2016" w:history="1">
        <w:r w:rsidRPr="000F5F0B">
          <w:rPr>
            <w:rStyle w:val="Hyperlink"/>
            <w:rFonts w:ascii="Times New Roman" w:hAnsi="Times New Roman" w:cs="Times New Roman"/>
          </w:rPr>
          <w:t>Shaddad et al., 2016</w:t>
        </w:r>
      </w:hyperlink>
      <w:r w:rsidRPr="000F5F0B">
        <w:rPr>
          <w:rFonts w:ascii="Times New Roman" w:hAnsi="Times New Roman" w:cs="Times New Roman"/>
        </w:rPr>
        <w:t xml:space="preserve">; </w:t>
      </w:r>
      <w:hyperlink w:anchor="sekulic2020" w:history="1">
        <w:r w:rsidRPr="000F5F0B">
          <w:rPr>
            <w:rStyle w:val="Hyperlink"/>
            <w:rFonts w:ascii="Times New Roman" w:hAnsi="Times New Roman" w:cs="Times New Roman"/>
          </w:rPr>
          <w:t>Sekulić et al., 2020</w:t>
        </w:r>
      </w:hyperlink>
      <w:r w:rsidRPr="000F5F0B">
        <w:rPr>
          <w:rFonts w:ascii="Times New Roman" w:hAnsi="Times New Roman" w:cs="Times New Roman"/>
        </w:rPr>
        <w:t xml:space="preserve">;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xml:space="preserve">;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 xml:space="preserve">; </w:t>
      </w:r>
      <w:hyperlink w:anchor="chlingaryan2018" w:history="1">
        <w:proofErr w:type="spellStart"/>
        <w:r w:rsidRPr="000F5F0B">
          <w:rPr>
            <w:rStyle w:val="Hyperlink"/>
            <w:rFonts w:ascii="Times New Roman" w:hAnsi="Times New Roman" w:cs="Times New Roman"/>
          </w:rPr>
          <w:t>Chlingaryan</w:t>
        </w:r>
        <w:proofErr w:type="spellEnd"/>
        <w:r w:rsidRPr="000F5F0B">
          <w:rPr>
            <w:rStyle w:val="Hyperlink"/>
            <w:rFonts w:ascii="Times New Roman" w:hAnsi="Times New Roman" w:cs="Times New Roman"/>
          </w:rPr>
          <w:t xml:space="preserve"> et al., 2018</w:t>
        </w:r>
      </w:hyperlink>
      <w:r w:rsidRPr="000F5F0B">
        <w:rPr>
          <w:rFonts w:ascii="Times New Roman" w:hAnsi="Times New Roman" w:cs="Times New Roman"/>
        </w:rPr>
        <w:t xml:space="preserve">). Neither condition was fully met for the Brix case study </w:t>
      </w:r>
      <w:proofErr w:type="spellStart"/>
      <w:r w:rsidRPr="000F5F0B">
        <w:rPr>
          <w:rFonts w:ascii="Times New Roman" w:hAnsi="Times New Roman" w:cs="Times New Roman"/>
        </w:rPr>
        <w:t>analysed</w:t>
      </w:r>
      <w:proofErr w:type="spellEnd"/>
      <w:r w:rsidRPr="000F5F0B">
        <w:rPr>
          <w:rFonts w:ascii="Times New Roman" w:hAnsi="Times New Roman" w:cs="Times New Roman"/>
        </w:rPr>
        <w:t xml:space="preserve"> here, and we consider it important to report this null-to-modest result transparently rather than to selectively present only the scenarios in which machine learning outperforms the baseline. The methodological contribution of this section is therefore threefold: first, the pooled </w:t>
      </w:r>
      <w:proofErr w:type="spellStart"/>
      <w:r w:rsidRPr="000F5F0B">
        <w:rPr>
          <w:rFonts w:ascii="Times New Roman" w:hAnsi="Times New Roman" w:cs="Times New Roman"/>
        </w:rPr>
        <w:t>spatio</w:t>
      </w:r>
      <w:proofErr w:type="spellEnd"/>
      <w:r w:rsidRPr="000F5F0B">
        <w:rPr>
          <w:rFonts w:ascii="Times New Roman" w:hAnsi="Times New Roman" w:cs="Times New Roman"/>
        </w:rPr>
        <w:t xml:space="preserve">-temporal regression-kriging pipeline itself (Section 2.5), extended here to include neural-network and stacking-ensemble trend models alongside Random Forest and Gradient Boosting, is, to our knowledge, a novel application of hybrid machine-learning regression-kriging to vineyard Brix forecasting and is made fully available (Supplementary Material) for use on larger datasets; second, the Moran's </w:t>
      </w:r>
      <w:r w:rsidRPr="000F5F0B">
        <w:rPr>
          <w:rFonts w:ascii="Times New Roman" w:hAnsi="Times New Roman" w:cs="Times New Roman"/>
          <w:i/>
          <w:iCs/>
        </w:rPr>
        <w:t>I</w:t>
      </w:r>
      <w:r w:rsidRPr="000F5F0B">
        <w:rPr>
          <w:rFonts w:ascii="Times New Roman" w:hAnsi="Times New Roman" w:cs="Times New Roman"/>
        </w:rPr>
        <w:t xml:space="preserve"> diagnostic provides an independent, model-free explanation for the cross-validation result, rather than requiring the reader to take the negative finding on faith; and third, the cross-validated comparison demonstrates concretely why naive in-sample R² values (as in Section 3.3, and as commonly reported in similar precision-viticulture studies) can substantially overstate real-world predictive skill, underscoring the value of spatially grouped cross-validation, permutation importance, and spatial-autocorrelation diagnostics as standard practice in agricultural machine-learning studies (</w:t>
      </w:r>
      <w:hyperlink w:anchor="hengl2007" w:history="1">
        <w:r w:rsidRPr="000F5F0B">
          <w:rPr>
            <w:rStyle w:val="Hyperlink"/>
            <w:rFonts w:ascii="Times New Roman" w:hAnsi="Times New Roman" w:cs="Times New Roman"/>
          </w:rPr>
          <w:t>Hengl et al., 2007</w:t>
        </w:r>
      </w:hyperlink>
      <w:r w:rsidRPr="000F5F0B">
        <w:rPr>
          <w:rFonts w:ascii="Times New Roman" w:hAnsi="Times New Roman" w:cs="Times New Roman"/>
        </w:rPr>
        <w:t xml:space="preserve">; </w:t>
      </w:r>
      <w:hyperlink w:anchor="liakos2018" w:history="1">
        <w:r w:rsidRPr="000F5F0B">
          <w:rPr>
            <w:rStyle w:val="Hyperlink"/>
            <w:rFonts w:ascii="Times New Roman" w:hAnsi="Times New Roman" w:cs="Times New Roman"/>
          </w:rPr>
          <w:t>Liakos et al., 2018</w:t>
        </w:r>
      </w:hyperlink>
      <w:r w:rsidRPr="000F5F0B">
        <w:rPr>
          <w:rFonts w:ascii="Times New Roman" w:hAnsi="Times New Roman" w:cs="Times New Roman"/>
        </w:rPr>
        <w:t>). We expect that applying the same pipeline to the maize soil-fertility dataset (Section 2.2), which has a comparable sampling density but a stronger multi-variable auxiliary signal (six soil/water covariates rather than one) and, per Table 2, higher raw correlation coefficients than the single-covariate NDVI–Brix relationship, and to a multi-season Brix dataset with denser sampling, would be a natural and promising extension of this work, and we recommend it as a priority for follow-up data collection.</w:t>
      </w:r>
    </w:p>
    <w:p w14:paraId="61E4A918" w14:textId="77777777" w:rsidR="00ED74D0" w:rsidRPr="00093A3F" w:rsidRDefault="00000000">
      <w:pPr>
        <w:pStyle w:val="Heading1"/>
        <w:spacing w:before="320" w:after="160"/>
        <w:rPr>
          <w:rFonts w:ascii="Times New Roman" w:hAnsi="Times New Roman" w:cs="Times New Roman"/>
          <w:color w:val="auto"/>
        </w:rPr>
      </w:pPr>
      <w:r w:rsidRPr="00093A3F">
        <w:rPr>
          <w:rFonts w:ascii="Times New Roman" w:hAnsi="Times New Roman" w:cs="Times New Roman"/>
          <w:color w:val="auto"/>
        </w:rPr>
        <w:lastRenderedPageBreak/>
        <w:t>5. Conclusion</w:t>
      </w:r>
    </w:p>
    <w:p w14:paraId="1C37FA41" w14:textId="3E739118"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This study integrated three independent GIS and remote-sensing precision-agriculture campaigns</w:t>
      </w:r>
      <w:r w:rsidR="000F5F0B">
        <w:rPr>
          <w:rFonts w:ascii="Times New Roman" w:hAnsi="Times New Roman" w:cs="Times New Roman"/>
        </w:rPr>
        <w:t xml:space="preserve"> </w:t>
      </w:r>
      <w:r w:rsidRPr="000F5F0B">
        <w:rPr>
          <w:rFonts w:ascii="Times New Roman" w:hAnsi="Times New Roman" w:cs="Times New Roman"/>
        </w:rPr>
        <w:t>maize fertility zoning, vineyard grapevine-moth monitoring, and grape Brix/harvest-date forecasting</w:t>
      </w:r>
      <w:r w:rsidR="000F5F0B">
        <w:rPr>
          <w:rFonts w:ascii="Times New Roman" w:hAnsi="Times New Roman" w:cs="Times New Roman"/>
        </w:rPr>
        <w:t xml:space="preserve"> </w:t>
      </w:r>
      <w:r w:rsidRPr="000F5F0B">
        <w:rPr>
          <w:rFonts w:ascii="Times New Roman" w:hAnsi="Times New Roman" w:cs="Times New Roman"/>
        </w:rPr>
        <w:t xml:space="preserve">conducted across three farms in central and northern Portugal, into a single comparative framework, and additionally implemented and rigorously cross-validated a hybrid machine-learning regression-kriging pipeline (Random Forest and Gradient Boosting trend models with kriged-residual correction) for the Brix case study. Across all three systems, a small number of spatially interpolated or remotely sensed covariates (deep soil water and potassium for maize yield; trap-network position relative to forest edges for pest risk; NDVI and Julian day for grape Brix) explained the large majority of observed variability, and translated into concrete, farm-relevant outputs: a variable-rate lime and NPK prescription </w:t>
      </w:r>
      <w:proofErr w:type="spellStart"/>
      <w:r w:rsidRPr="000F5F0B">
        <w:rPr>
          <w:rFonts w:ascii="Times New Roman" w:hAnsi="Times New Roman" w:cs="Times New Roman"/>
        </w:rPr>
        <w:t>programme</w:t>
      </w:r>
      <w:proofErr w:type="spellEnd"/>
      <w:r w:rsidRPr="000F5F0B">
        <w:rPr>
          <w:rFonts w:ascii="Times New Roman" w:hAnsi="Times New Roman" w:cs="Times New Roman"/>
        </w:rPr>
        <w:t xml:space="preserve"> with a measurable input saving for maize; a generation-resolved pest-risk map identifying the second-generation flight period as the priority intervention window for the vineyard moth; and a harvest-date forecast for the ripening vineyard. The machine-learning analysis showed, transparently, that under strict spatial cross-validation, Random Forest, Gradient Boosting, and hybrid regression-kriging did not outperform simple IDW interpolation at the sampling density available (68 points), a finding attributable to the dominance of the temporal ripening signal over the spatial/NDVI signal at this scale, and one that usefully tempers the substantially higher in-sample R² obtained from naive, non-cross-validated regression. Considered together, the three case studies support the conclusion that low-cost, field-deployable GIS/remote-sensing workflows transfer usefully across structurally different cropping systems, while also indicating that single-season sampling, modest point-sample density, and, for machine-learning and geostatistical methods specifically, insufficient sample size relative to covariate complexity, are shared limitations that should guide the design of larger, multi-season, more densely sampled precision-agriculture trials building on this work.</w:t>
      </w:r>
    </w:p>
    <w:p w14:paraId="2A883EBF" w14:textId="77777777" w:rsidR="00ED74D0" w:rsidRPr="00093A3F" w:rsidRDefault="00000000">
      <w:pPr>
        <w:pStyle w:val="Heading1"/>
        <w:spacing w:before="320" w:after="160"/>
        <w:rPr>
          <w:rFonts w:ascii="Times New Roman" w:hAnsi="Times New Roman" w:cs="Times New Roman"/>
          <w:color w:val="auto"/>
        </w:rPr>
      </w:pPr>
      <w:proofErr w:type="spellStart"/>
      <w:r w:rsidRPr="00093A3F">
        <w:rPr>
          <w:rFonts w:ascii="Times New Roman" w:hAnsi="Times New Roman" w:cs="Times New Roman"/>
          <w:color w:val="auto"/>
        </w:rPr>
        <w:t>CRediT</w:t>
      </w:r>
      <w:proofErr w:type="spellEnd"/>
      <w:r w:rsidRPr="00093A3F">
        <w:rPr>
          <w:rFonts w:ascii="Times New Roman" w:hAnsi="Times New Roman" w:cs="Times New Roman"/>
          <w:color w:val="auto"/>
        </w:rPr>
        <w:t xml:space="preserve"> Author Statement</w:t>
      </w:r>
    </w:p>
    <w:p w14:paraId="47DBE287" w14:textId="77777777" w:rsidR="00ED74D0" w:rsidRDefault="00000000">
      <w:pPr>
        <w:spacing w:after="160"/>
        <w:jc w:val="both"/>
        <w:rPr>
          <w:rFonts w:ascii="Times New Roman" w:hAnsi="Times New Roman" w:cs="Times New Roman"/>
        </w:rPr>
      </w:pPr>
      <w:r w:rsidRPr="000F5F0B">
        <w:rPr>
          <w:rFonts w:ascii="Times New Roman" w:hAnsi="Times New Roman" w:cs="Times New Roman"/>
        </w:rPr>
        <w:t>Naziru Halilu: Conceptualization, Methodology, Software, Formal analysis, Investigation, Data curation, Writing – original draft, Writing – review &amp; editing, Visualization.</w:t>
      </w:r>
    </w:p>
    <w:p w14:paraId="4AE85623" w14:textId="43401E03" w:rsidR="001B206A" w:rsidRPr="000F5F0B" w:rsidRDefault="001B206A">
      <w:pPr>
        <w:spacing w:after="160"/>
        <w:jc w:val="both"/>
        <w:rPr>
          <w:rFonts w:ascii="Times New Roman" w:hAnsi="Times New Roman" w:cs="Times New Roman"/>
        </w:rPr>
      </w:pPr>
      <w:r>
        <w:rPr>
          <w:rFonts w:ascii="Times New Roman" w:hAnsi="Times New Roman" w:cs="Times New Roman"/>
        </w:rPr>
        <w:t>Juwairiyyah Sulaiman:</w:t>
      </w:r>
      <w:r w:rsidRPr="001B206A">
        <w:rPr>
          <w:rFonts w:ascii="Times New Roman" w:hAnsi="Times New Roman" w:cs="Times New Roman"/>
        </w:rPr>
        <w:t xml:space="preserve"> </w:t>
      </w:r>
      <w:r w:rsidRPr="000F5F0B">
        <w:rPr>
          <w:rFonts w:ascii="Times New Roman" w:hAnsi="Times New Roman" w:cs="Times New Roman"/>
        </w:rPr>
        <w:t>Writing – review &amp; editing, Visualization</w:t>
      </w:r>
    </w:p>
    <w:p w14:paraId="598E3746" w14:textId="77777777" w:rsidR="00ED74D0" w:rsidRPr="00093A3F" w:rsidRDefault="00000000">
      <w:pPr>
        <w:pStyle w:val="Heading1"/>
        <w:spacing w:before="320" w:after="160"/>
        <w:rPr>
          <w:rFonts w:ascii="Times New Roman" w:hAnsi="Times New Roman" w:cs="Times New Roman"/>
          <w:color w:val="auto"/>
        </w:rPr>
      </w:pPr>
      <w:r w:rsidRPr="00093A3F">
        <w:rPr>
          <w:rFonts w:ascii="Times New Roman" w:hAnsi="Times New Roman" w:cs="Times New Roman"/>
          <w:color w:val="auto"/>
        </w:rPr>
        <w:t>Data Availability Statement</w:t>
      </w:r>
    </w:p>
    <w:p w14:paraId="3FEB574A"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The Brix/NDVI point dataset (68 georeferenced sampling locations, five sampling dates) underlying the machine-learning and regression-kriging analysis (Sections 2.5, 3.4), together with the complete analysis code (data loading, IDW baseline, Random Forest, Gradient Boosting, Multi-Layer Perceptron, Stacking Ensemble, exponential-variogram fitting, ordinary kriging, Moran's </w:t>
      </w:r>
      <w:r w:rsidRPr="000F5F0B">
        <w:rPr>
          <w:rFonts w:ascii="Times New Roman" w:hAnsi="Times New Roman" w:cs="Times New Roman"/>
          <w:i/>
          <w:iCs/>
        </w:rPr>
        <w:t>I</w:t>
      </w:r>
      <w:r w:rsidRPr="000F5F0B">
        <w:rPr>
          <w:rFonts w:ascii="Times New Roman" w:hAnsi="Times New Roman" w:cs="Times New Roman"/>
        </w:rPr>
        <w:t>, permutation importance, and all associated figure-generation scripts), is provided in full as Supplementary Material accompanying this manuscript, together with a README documenting the folder structure and instructions for reproducing every reported cross-validation result from the raw data. The maize soil/yield dataset (Section 2.2) and vineyard-pest trap-count dataset (Section 2.3) that support the descriptive, correlation, and regression results in Sections 3.1–3.2 were collected as part of the original field campaigns and are available from the corresponding author upon reasonable request.</w:t>
      </w:r>
    </w:p>
    <w:p w14:paraId="42808A13" w14:textId="77777777" w:rsidR="00ED74D0" w:rsidRPr="00093A3F" w:rsidRDefault="00000000">
      <w:pPr>
        <w:pStyle w:val="Heading1"/>
        <w:spacing w:before="320" w:after="160"/>
        <w:rPr>
          <w:rFonts w:ascii="Times New Roman" w:hAnsi="Times New Roman" w:cs="Times New Roman"/>
          <w:color w:val="auto"/>
        </w:rPr>
      </w:pPr>
      <w:r w:rsidRPr="00093A3F">
        <w:rPr>
          <w:rFonts w:ascii="Times New Roman" w:hAnsi="Times New Roman" w:cs="Times New Roman"/>
          <w:color w:val="auto"/>
        </w:rPr>
        <w:t>Declaration of Competing Interest</w:t>
      </w:r>
    </w:p>
    <w:p w14:paraId="583DCCB9" w14:textId="755F1F1D"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The author</w:t>
      </w:r>
      <w:r w:rsidR="00093A3F">
        <w:rPr>
          <w:rFonts w:ascii="Times New Roman" w:hAnsi="Times New Roman" w:cs="Times New Roman"/>
        </w:rPr>
        <w:t>s</w:t>
      </w:r>
      <w:r w:rsidRPr="000F5F0B">
        <w:rPr>
          <w:rFonts w:ascii="Times New Roman" w:hAnsi="Times New Roman" w:cs="Times New Roman"/>
        </w:rPr>
        <w:t xml:space="preserve"> </w:t>
      </w:r>
      <w:r w:rsidR="00580DA6">
        <w:rPr>
          <w:rFonts w:ascii="Times New Roman" w:hAnsi="Times New Roman" w:cs="Times New Roman"/>
        </w:rPr>
        <w:t>declare</w:t>
      </w:r>
      <w:r w:rsidRPr="000F5F0B">
        <w:rPr>
          <w:rFonts w:ascii="Times New Roman" w:hAnsi="Times New Roman" w:cs="Times New Roman"/>
        </w:rPr>
        <w:t xml:space="preserve"> no known competing financial interests or personal relationships that could have appeared to influence the work reported in this paper.</w:t>
      </w:r>
    </w:p>
    <w:p w14:paraId="55E3BC88" w14:textId="77777777" w:rsidR="00ED74D0" w:rsidRPr="00093A3F" w:rsidRDefault="00000000">
      <w:pPr>
        <w:pStyle w:val="Heading1"/>
        <w:spacing w:before="320" w:after="160"/>
        <w:rPr>
          <w:rFonts w:ascii="Times New Roman" w:hAnsi="Times New Roman" w:cs="Times New Roman"/>
          <w:color w:val="auto"/>
        </w:rPr>
      </w:pPr>
      <w:r w:rsidRPr="00093A3F">
        <w:rPr>
          <w:rFonts w:ascii="Times New Roman" w:hAnsi="Times New Roman" w:cs="Times New Roman"/>
          <w:color w:val="auto"/>
        </w:rPr>
        <w:t>Funding</w:t>
      </w:r>
    </w:p>
    <w:p w14:paraId="1CC499C1"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This research received no specific grant from any funding agency in the public, commercial, or not-for-profit sectors. Field data collection was conducted as part of coursework and practical training activities at the University of </w:t>
      </w:r>
      <w:proofErr w:type="spellStart"/>
      <w:r w:rsidRPr="000F5F0B">
        <w:rPr>
          <w:rFonts w:ascii="Times New Roman" w:hAnsi="Times New Roman" w:cs="Times New Roman"/>
        </w:rPr>
        <w:t>Trás</w:t>
      </w:r>
      <w:proofErr w:type="spellEnd"/>
      <w:r w:rsidRPr="000F5F0B">
        <w:rPr>
          <w:rFonts w:ascii="Times New Roman" w:hAnsi="Times New Roman" w:cs="Times New Roman"/>
        </w:rPr>
        <w:t>-</w:t>
      </w:r>
      <w:proofErr w:type="spellStart"/>
      <w:r w:rsidRPr="000F5F0B">
        <w:rPr>
          <w:rFonts w:ascii="Times New Roman" w:hAnsi="Times New Roman" w:cs="Times New Roman"/>
        </w:rPr>
        <w:t>os</w:t>
      </w:r>
      <w:proofErr w:type="spellEnd"/>
      <w:r w:rsidRPr="000F5F0B">
        <w:rPr>
          <w:rFonts w:ascii="Times New Roman" w:hAnsi="Times New Roman" w:cs="Times New Roman"/>
        </w:rPr>
        <w:t>-Montes e Alto Douro (UTAD), Portugal.</w:t>
      </w:r>
    </w:p>
    <w:p w14:paraId="0B3B79EB" w14:textId="77777777" w:rsidR="00ED74D0" w:rsidRPr="00093A3F" w:rsidRDefault="00000000">
      <w:pPr>
        <w:pStyle w:val="Heading1"/>
        <w:spacing w:before="320" w:after="160"/>
        <w:rPr>
          <w:rFonts w:ascii="Times New Roman" w:hAnsi="Times New Roman" w:cs="Times New Roman"/>
          <w:color w:val="auto"/>
        </w:rPr>
      </w:pPr>
      <w:r w:rsidRPr="00093A3F">
        <w:rPr>
          <w:rFonts w:ascii="Times New Roman" w:hAnsi="Times New Roman" w:cs="Times New Roman"/>
          <w:color w:val="auto"/>
        </w:rPr>
        <w:lastRenderedPageBreak/>
        <w:t>Supplementary Material</w:t>
      </w:r>
    </w:p>
    <w:p w14:paraId="03C0DE47" w14:textId="77777777" w:rsidR="00ED74D0" w:rsidRPr="000F5F0B" w:rsidRDefault="00000000">
      <w:pPr>
        <w:spacing w:after="160"/>
        <w:jc w:val="both"/>
        <w:rPr>
          <w:rFonts w:ascii="Times New Roman" w:hAnsi="Times New Roman" w:cs="Times New Roman"/>
        </w:rPr>
      </w:pPr>
      <w:r w:rsidRPr="000F5F0B">
        <w:rPr>
          <w:rFonts w:ascii="Times New Roman" w:hAnsi="Times New Roman" w:cs="Times New Roman"/>
        </w:rPr>
        <w:t xml:space="preserve">Supplementary Material accompanying this manuscript includes: (S1) the complete Python source code implementing the IDW baseline, Random Forest, Gradient Boosting, Multi-Layer Perceptron, Stacking Ensemble, and hybrid regression-kriging models described in Section 2.5, together with the exponential-variogram fitting and ordinary-kriging routines (Equations 12–15) implemented directly in Python/SciPy; (S2) the underlying Brix/NDVI/UTM-coordinate dataset (S3) the full set of cross-validation results in machine-readable (JSON) format, including the pooled </w:t>
      </w:r>
      <w:proofErr w:type="spellStart"/>
      <w:r w:rsidRPr="000F5F0B">
        <w:rPr>
          <w:rFonts w:ascii="Times New Roman" w:hAnsi="Times New Roman" w:cs="Times New Roman"/>
        </w:rPr>
        <w:t>spatio</w:t>
      </w:r>
      <w:proofErr w:type="spellEnd"/>
      <w:r w:rsidRPr="000F5F0B">
        <w:rPr>
          <w:rFonts w:ascii="Times New Roman" w:hAnsi="Times New Roman" w:cs="Times New Roman"/>
        </w:rPr>
        <w:t xml:space="preserve">-temporal comparison (Table 3), the per-date spatial-only comparison, the Moran's </w:t>
      </w:r>
      <w:r w:rsidRPr="000F5F0B">
        <w:rPr>
          <w:rFonts w:ascii="Times New Roman" w:hAnsi="Times New Roman" w:cs="Times New Roman"/>
          <w:i/>
          <w:iCs/>
        </w:rPr>
        <w:t>I</w:t>
      </w:r>
      <w:r w:rsidRPr="000F5F0B">
        <w:rPr>
          <w:rFonts w:ascii="Times New Roman" w:hAnsi="Times New Roman" w:cs="Times New Roman"/>
        </w:rPr>
        <w:t xml:space="preserve"> diagnostic (Figure 19), and the permutation-importance results (Figure 18C); and (S4) all figure-generation scripts used to produce Figures 17–21.</w:t>
      </w:r>
    </w:p>
    <w:p w14:paraId="191BFC39" w14:textId="77777777" w:rsidR="00ED74D0" w:rsidRPr="00093A3F" w:rsidRDefault="00000000">
      <w:pPr>
        <w:pStyle w:val="Heading1"/>
        <w:spacing w:before="320" w:after="160"/>
        <w:rPr>
          <w:rFonts w:ascii="Times New Roman" w:hAnsi="Times New Roman" w:cs="Times New Roman"/>
          <w:color w:val="auto"/>
          <w:lang w:val="pt-BR"/>
        </w:rPr>
      </w:pPr>
      <w:r w:rsidRPr="00093A3F">
        <w:rPr>
          <w:rFonts w:ascii="Times New Roman" w:hAnsi="Times New Roman" w:cs="Times New Roman"/>
          <w:color w:val="auto"/>
          <w:lang w:val="pt-BR"/>
        </w:rPr>
        <w:t>References</w:t>
      </w:r>
    </w:p>
    <w:p w14:paraId="61A7D38C" w14:textId="77777777" w:rsidR="00ED74D0" w:rsidRPr="000F5F0B" w:rsidRDefault="00000000">
      <w:pPr>
        <w:spacing w:after="180"/>
        <w:jc w:val="both"/>
        <w:rPr>
          <w:rFonts w:ascii="Times New Roman" w:hAnsi="Times New Roman" w:cs="Times New Roman"/>
        </w:rPr>
      </w:pPr>
      <w:bookmarkStart w:id="0" w:name="aranha2026"/>
      <w:r w:rsidRPr="000F5F0B">
        <w:rPr>
          <w:rFonts w:ascii="Times New Roman" w:hAnsi="Times New Roman" w:cs="Times New Roman"/>
          <w:lang w:val="pt-BR"/>
        </w:rPr>
        <w:t xml:space="preserve">Aranha, J.T.M., 2026. </w:t>
      </w:r>
      <w:r w:rsidRPr="000F5F0B">
        <w:rPr>
          <w:rFonts w:ascii="Times New Roman" w:hAnsi="Times New Roman" w:cs="Times New Roman"/>
        </w:rPr>
        <w:t xml:space="preserve">UTAD Lecture and Practical Notes: Remote Sensing and GIS Applications in Environmental and Viticultural Analysis. </w:t>
      </w:r>
      <w:r w:rsidRPr="000F5F0B">
        <w:rPr>
          <w:rFonts w:ascii="Times New Roman" w:hAnsi="Times New Roman" w:cs="Times New Roman"/>
          <w:lang w:val="pt-BR"/>
        </w:rPr>
        <w:t xml:space="preserve">University of Trás-os-Montes e Alto Douro (UTAD), Portugal. </w:t>
      </w:r>
      <w:r w:rsidRPr="000F5F0B">
        <w:rPr>
          <w:rFonts w:ascii="Times New Roman" w:hAnsi="Times New Roman" w:cs="Times New Roman"/>
        </w:rPr>
        <w:t>[Unpublished course material]</w:t>
      </w:r>
      <w:bookmarkEnd w:id="0"/>
    </w:p>
    <w:p w14:paraId="7E6B8E94" w14:textId="77777777" w:rsidR="00ED74D0" w:rsidRPr="000F5F0B" w:rsidRDefault="00000000">
      <w:pPr>
        <w:spacing w:after="180"/>
        <w:jc w:val="both"/>
        <w:rPr>
          <w:rFonts w:ascii="Times New Roman" w:hAnsi="Times New Roman" w:cs="Times New Roman"/>
        </w:rPr>
      </w:pPr>
      <w:bookmarkStart w:id="1" w:name="benelli2023"/>
      <w:r w:rsidRPr="000F5F0B">
        <w:rPr>
          <w:rFonts w:ascii="Times New Roman" w:hAnsi="Times New Roman" w:cs="Times New Roman"/>
        </w:rPr>
        <w:t xml:space="preserve">Benelli, G., Ricciardi, R., </w:t>
      </w:r>
      <w:proofErr w:type="spellStart"/>
      <w:r w:rsidRPr="000F5F0B">
        <w:rPr>
          <w:rFonts w:ascii="Times New Roman" w:hAnsi="Times New Roman" w:cs="Times New Roman"/>
        </w:rPr>
        <w:t>Cosci</w:t>
      </w:r>
      <w:proofErr w:type="spellEnd"/>
      <w:r w:rsidRPr="000F5F0B">
        <w:rPr>
          <w:rFonts w:ascii="Times New Roman" w:hAnsi="Times New Roman" w:cs="Times New Roman"/>
        </w:rPr>
        <w:t xml:space="preserve">, F., Iodice, A., </w:t>
      </w:r>
      <w:proofErr w:type="spellStart"/>
      <w:r w:rsidRPr="000F5F0B">
        <w:rPr>
          <w:rFonts w:ascii="Times New Roman" w:hAnsi="Times New Roman" w:cs="Times New Roman"/>
        </w:rPr>
        <w:t>Ladurner</w:t>
      </w:r>
      <w:proofErr w:type="spellEnd"/>
      <w:r w:rsidRPr="000F5F0B">
        <w:rPr>
          <w:rFonts w:ascii="Times New Roman" w:hAnsi="Times New Roman" w:cs="Times New Roman"/>
        </w:rPr>
        <w:t xml:space="preserve">, E., Savino, F., Lucchi, A., 2023. Sex pheromone aerosol emitters for </w:t>
      </w:r>
      <w:proofErr w:type="spellStart"/>
      <w:r w:rsidRPr="000F5F0B">
        <w:rPr>
          <w:rFonts w:ascii="Times New Roman" w:hAnsi="Times New Roman" w:cs="Times New Roman"/>
        </w:rPr>
        <w:t>Lobesia</w:t>
      </w:r>
      <w:proofErr w:type="spellEnd"/>
      <w:r w:rsidRPr="000F5F0B">
        <w:rPr>
          <w:rFonts w:ascii="Times New Roman" w:hAnsi="Times New Roman" w:cs="Times New Roman"/>
        </w:rPr>
        <w:t xml:space="preserve"> </w:t>
      </w:r>
      <w:proofErr w:type="spellStart"/>
      <w:r w:rsidRPr="000F5F0B">
        <w:rPr>
          <w:rFonts w:ascii="Times New Roman" w:hAnsi="Times New Roman" w:cs="Times New Roman"/>
        </w:rPr>
        <w:t>botrana</w:t>
      </w:r>
      <w:proofErr w:type="spellEnd"/>
      <w:r w:rsidRPr="000F5F0B">
        <w:rPr>
          <w:rFonts w:ascii="Times New Roman" w:hAnsi="Times New Roman" w:cs="Times New Roman"/>
        </w:rPr>
        <w:t xml:space="preserve"> mating disruption in Italian vineyards. Insects, 14(3), 270.</w:t>
      </w:r>
      <w:bookmarkEnd w:id="1"/>
      <w:r w:rsidRPr="000F5F0B">
        <w:rPr>
          <w:rFonts w:ascii="Times New Roman" w:hAnsi="Times New Roman" w:cs="Times New Roman"/>
        </w:rPr>
        <w:t xml:space="preserve"> </w:t>
      </w:r>
      <w:hyperlink r:id="rId29" w:history="1">
        <w:r w:rsidRPr="000F5F0B">
          <w:rPr>
            <w:rStyle w:val="Hyperlink"/>
            <w:rFonts w:ascii="Times New Roman" w:hAnsi="Times New Roman" w:cs="Times New Roman"/>
          </w:rPr>
          <w:t>https://doi.org/10.3390/insects14030270</w:t>
        </w:r>
      </w:hyperlink>
    </w:p>
    <w:p w14:paraId="7F49B31B" w14:textId="77777777" w:rsidR="00ED74D0" w:rsidRPr="000F5F0B" w:rsidRDefault="00000000">
      <w:pPr>
        <w:spacing w:after="180"/>
        <w:jc w:val="both"/>
        <w:rPr>
          <w:rFonts w:ascii="Times New Roman" w:hAnsi="Times New Roman" w:cs="Times New Roman"/>
        </w:rPr>
      </w:pPr>
      <w:bookmarkStart w:id="2" w:name="breiman2001"/>
      <w:proofErr w:type="spellStart"/>
      <w:r w:rsidRPr="000F5F0B">
        <w:rPr>
          <w:rFonts w:ascii="Times New Roman" w:hAnsi="Times New Roman" w:cs="Times New Roman"/>
        </w:rPr>
        <w:t>Breiman</w:t>
      </w:r>
      <w:proofErr w:type="spellEnd"/>
      <w:r w:rsidRPr="000F5F0B">
        <w:rPr>
          <w:rFonts w:ascii="Times New Roman" w:hAnsi="Times New Roman" w:cs="Times New Roman"/>
        </w:rPr>
        <w:t>, L., 2001. Random forests. Machine Learning, 45(1), 5–32.</w:t>
      </w:r>
      <w:bookmarkEnd w:id="2"/>
      <w:r w:rsidRPr="000F5F0B">
        <w:rPr>
          <w:rFonts w:ascii="Times New Roman" w:hAnsi="Times New Roman" w:cs="Times New Roman"/>
        </w:rPr>
        <w:t xml:space="preserve"> </w:t>
      </w:r>
      <w:hyperlink r:id="rId30" w:history="1">
        <w:r w:rsidRPr="000F5F0B">
          <w:rPr>
            <w:rStyle w:val="Hyperlink"/>
            <w:rFonts w:ascii="Times New Roman" w:hAnsi="Times New Roman" w:cs="Times New Roman"/>
          </w:rPr>
          <w:t>https://doi.org/10.1023/A:1010933404324</w:t>
        </w:r>
      </w:hyperlink>
    </w:p>
    <w:p w14:paraId="49691003" w14:textId="77777777" w:rsidR="00ED74D0" w:rsidRPr="000F5F0B" w:rsidRDefault="00000000">
      <w:pPr>
        <w:spacing w:after="180"/>
        <w:jc w:val="both"/>
        <w:rPr>
          <w:rFonts w:ascii="Times New Roman" w:hAnsi="Times New Roman" w:cs="Times New Roman"/>
        </w:rPr>
      </w:pPr>
      <w:bookmarkStart w:id="3" w:name="burglewski2024"/>
      <w:r w:rsidRPr="000F5F0B">
        <w:rPr>
          <w:rFonts w:ascii="Times New Roman" w:hAnsi="Times New Roman" w:cs="Times New Roman"/>
        </w:rPr>
        <w:t xml:space="preserve">Burglewski, N., </w:t>
      </w:r>
      <w:proofErr w:type="spellStart"/>
      <w:r w:rsidRPr="000F5F0B">
        <w:rPr>
          <w:rFonts w:ascii="Times New Roman" w:hAnsi="Times New Roman" w:cs="Times New Roman"/>
        </w:rPr>
        <w:t>Srinivasagan</w:t>
      </w:r>
      <w:proofErr w:type="spellEnd"/>
      <w:r w:rsidRPr="000F5F0B">
        <w:rPr>
          <w:rFonts w:ascii="Times New Roman" w:hAnsi="Times New Roman" w:cs="Times New Roman"/>
        </w:rPr>
        <w:t xml:space="preserve">, S., </w:t>
      </w:r>
      <w:proofErr w:type="spellStart"/>
      <w:r w:rsidRPr="000F5F0B">
        <w:rPr>
          <w:rFonts w:ascii="Times New Roman" w:hAnsi="Times New Roman" w:cs="Times New Roman"/>
        </w:rPr>
        <w:t>Ketterings</w:t>
      </w:r>
      <w:proofErr w:type="spellEnd"/>
      <w:r w:rsidRPr="000F5F0B">
        <w:rPr>
          <w:rFonts w:ascii="Times New Roman" w:hAnsi="Times New Roman" w:cs="Times New Roman"/>
        </w:rPr>
        <w:t>, Q., van Aardt, J., 2024. Spatial and spectral dependencies of maize yield estimation using remote sensing. Sensors, 24(12), 3958.</w:t>
      </w:r>
      <w:bookmarkEnd w:id="3"/>
      <w:r w:rsidRPr="000F5F0B">
        <w:rPr>
          <w:rFonts w:ascii="Times New Roman" w:hAnsi="Times New Roman" w:cs="Times New Roman"/>
        </w:rPr>
        <w:t xml:space="preserve"> </w:t>
      </w:r>
      <w:hyperlink r:id="rId31" w:history="1">
        <w:r w:rsidRPr="000F5F0B">
          <w:rPr>
            <w:rStyle w:val="Hyperlink"/>
            <w:rFonts w:ascii="Times New Roman" w:hAnsi="Times New Roman" w:cs="Times New Roman"/>
          </w:rPr>
          <w:t>https://doi.org/10.3390/s24123958</w:t>
        </w:r>
      </w:hyperlink>
    </w:p>
    <w:p w14:paraId="5E983102" w14:textId="77777777" w:rsidR="00ED74D0" w:rsidRPr="000F5F0B" w:rsidRDefault="00000000">
      <w:pPr>
        <w:spacing w:after="180"/>
        <w:jc w:val="both"/>
        <w:rPr>
          <w:rFonts w:ascii="Times New Roman" w:hAnsi="Times New Roman" w:cs="Times New Roman"/>
        </w:rPr>
      </w:pPr>
      <w:bookmarkStart w:id="4" w:name="chavez1988"/>
      <w:r w:rsidRPr="000F5F0B">
        <w:rPr>
          <w:rFonts w:ascii="Times New Roman" w:hAnsi="Times New Roman" w:cs="Times New Roman"/>
        </w:rPr>
        <w:t>Chavez, P.S., 1988. An improved dark-object subtraction technique for atmospheric scattering correction of multispectral data. Remote Sensing of Environment, 24(3), 459–479.</w:t>
      </w:r>
      <w:bookmarkEnd w:id="4"/>
    </w:p>
    <w:p w14:paraId="0F9D057A" w14:textId="6CDF8AF4" w:rsidR="00ED74D0" w:rsidRPr="000F5F0B" w:rsidRDefault="00000000">
      <w:pPr>
        <w:spacing w:after="180"/>
        <w:jc w:val="both"/>
        <w:rPr>
          <w:rFonts w:ascii="Times New Roman" w:hAnsi="Times New Roman" w:cs="Times New Roman"/>
        </w:rPr>
      </w:pPr>
      <w:bookmarkStart w:id="5" w:name="chavez1996"/>
      <w:r w:rsidRPr="000F5F0B">
        <w:rPr>
          <w:rFonts w:ascii="Times New Roman" w:hAnsi="Times New Roman" w:cs="Times New Roman"/>
        </w:rPr>
        <w:t>Chavez, P.S., 1996. Image-based atmospheric corrections</w:t>
      </w:r>
      <w:r w:rsidR="000F5F0B">
        <w:rPr>
          <w:rFonts w:ascii="Times New Roman" w:hAnsi="Times New Roman" w:cs="Times New Roman"/>
        </w:rPr>
        <w:t xml:space="preserve"> </w:t>
      </w:r>
      <w:r w:rsidRPr="000F5F0B">
        <w:rPr>
          <w:rFonts w:ascii="Times New Roman" w:hAnsi="Times New Roman" w:cs="Times New Roman"/>
        </w:rPr>
        <w:t>revisited and improved. Photogrammetric Engineering &amp; Remote Sensing, 62(9), 1025–1036.</w:t>
      </w:r>
      <w:bookmarkEnd w:id="5"/>
    </w:p>
    <w:p w14:paraId="15E7D471" w14:textId="77777777" w:rsidR="00ED74D0" w:rsidRPr="000F5F0B" w:rsidRDefault="00000000">
      <w:pPr>
        <w:spacing w:after="180"/>
        <w:jc w:val="both"/>
        <w:rPr>
          <w:rFonts w:ascii="Times New Roman" w:hAnsi="Times New Roman" w:cs="Times New Roman"/>
        </w:rPr>
      </w:pPr>
      <w:bookmarkStart w:id="6" w:name="chenguestrin2016"/>
      <w:r w:rsidRPr="000F5F0B">
        <w:rPr>
          <w:rFonts w:ascii="Times New Roman" w:hAnsi="Times New Roman" w:cs="Times New Roman"/>
        </w:rPr>
        <w:t xml:space="preserve">Chen, T., </w:t>
      </w:r>
      <w:proofErr w:type="spellStart"/>
      <w:r w:rsidRPr="000F5F0B">
        <w:rPr>
          <w:rFonts w:ascii="Times New Roman" w:hAnsi="Times New Roman" w:cs="Times New Roman"/>
        </w:rPr>
        <w:t>Guestrin</w:t>
      </w:r>
      <w:proofErr w:type="spellEnd"/>
      <w:r w:rsidRPr="000F5F0B">
        <w:rPr>
          <w:rFonts w:ascii="Times New Roman" w:hAnsi="Times New Roman" w:cs="Times New Roman"/>
        </w:rPr>
        <w:t xml:space="preserve">, C., 2016. </w:t>
      </w:r>
      <w:proofErr w:type="spellStart"/>
      <w:r w:rsidRPr="000F5F0B">
        <w:rPr>
          <w:rFonts w:ascii="Times New Roman" w:hAnsi="Times New Roman" w:cs="Times New Roman"/>
        </w:rPr>
        <w:t>XGBoost</w:t>
      </w:r>
      <w:proofErr w:type="spellEnd"/>
      <w:r w:rsidRPr="000F5F0B">
        <w:rPr>
          <w:rFonts w:ascii="Times New Roman" w:hAnsi="Times New Roman" w:cs="Times New Roman"/>
        </w:rPr>
        <w:t>: A scalable tree boosting system. In: Proceedings of the 22nd ACM SIGKDD International Conference on Knowledge Discovery and Data Mining, 785–794.</w:t>
      </w:r>
      <w:bookmarkEnd w:id="6"/>
      <w:r w:rsidRPr="000F5F0B">
        <w:rPr>
          <w:rFonts w:ascii="Times New Roman" w:hAnsi="Times New Roman" w:cs="Times New Roman"/>
        </w:rPr>
        <w:t xml:space="preserve"> </w:t>
      </w:r>
      <w:hyperlink r:id="rId32" w:history="1">
        <w:r w:rsidRPr="000F5F0B">
          <w:rPr>
            <w:rStyle w:val="Hyperlink"/>
            <w:rFonts w:ascii="Times New Roman" w:hAnsi="Times New Roman" w:cs="Times New Roman"/>
          </w:rPr>
          <w:t>https://doi.org/10.1145/2939672.2939785</w:t>
        </w:r>
      </w:hyperlink>
    </w:p>
    <w:p w14:paraId="79CDB296" w14:textId="77777777" w:rsidR="00ED74D0" w:rsidRPr="000F5F0B" w:rsidRDefault="00000000">
      <w:pPr>
        <w:spacing w:after="180"/>
        <w:jc w:val="both"/>
        <w:rPr>
          <w:rFonts w:ascii="Times New Roman" w:hAnsi="Times New Roman" w:cs="Times New Roman"/>
        </w:rPr>
      </w:pPr>
      <w:bookmarkStart w:id="7" w:name="chlingaryan2018"/>
      <w:proofErr w:type="spellStart"/>
      <w:r w:rsidRPr="000F5F0B">
        <w:rPr>
          <w:rFonts w:ascii="Times New Roman" w:hAnsi="Times New Roman" w:cs="Times New Roman"/>
        </w:rPr>
        <w:t>Chlingaryan</w:t>
      </w:r>
      <w:proofErr w:type="spellEnd"/>
      <w:r w:rsidRPr="000F5F0B">
        <w:rPr>
          <w:rFonts w:ascii="Times New Roman" w:hAnsi="Times New Roman" w:cs="Times New Roman"/>
        </w:rPr>
        <w:t xml:space="preserve">, A., </w:t>
      </w:r>
      <w:proofErr w:type="spellStart"/>
      <w:r w:rsidRPr="000F5F0B">
        <w:rPr>
          <w:rFonts w:ascii="Times New Roman" w:hAnsi="Times New Roman" w:cs="Times New Roman"/>
        </w:rPr>
        <w:t>Sukkarieh</w:t>
      </w:r>
      <w:proofErr w:type="spellEnd"/>
      <w:r w:rsidRPr="000F5F0B">
        <w:rPr>
          <w:rFonts w:ascii="Times New Roman" w:hAnsi="Times New Roman" w:cs="Times New Roman"/>
        </w:rPr>
        <w:t>, S., Whelan, B., 2018. Machine learning approaches for crop yield prediction and nitrogen status estimation in precision agriculture: a review. Computers and Electronics in Agriculture, 151, 61–69.</w:t>
      </w:r>
      <w:bookmarkEnd w:id="7"/>
      <w:r w:rsidRPr="000F5F0B">
        <w:rPr>
          <w:rFonts w:ascii="Times New Roman" w:hAnsi="Times New Roman" w:cs="Times New Roman"/>
        </w:rPr>
        <w:t xml:space="preserve"> </w:t>
      </w:r>
      <w:hyperlink r:id="rId33" w:history="1">
        <w:r w:rsidRPr="000F5F0B">
          <w:rPr>
            <w:rStyle w:val="Hyperlink"/>
            <w:rFonts w:ascii="Times New Roman" w:hAnsi="Times New Roman" w:cs="Times New Roman"/>
          </w:rPr>
          <w:t>https://doi.org/10.1016/j.compag.2018.05.012</w:t>
        </w:r>
      </w:hyperlink>
    </w:p>
    <w:p w14:paraId="634925E4" w14:textId="77777777" w:rsidR="00ED74D0" w:rsidRPr="000F5F0B" w:rsidRDefault="00000000">
      <w:pPr>
        <w:spacing w:after="180"/>
        <w:jc w:val="both"/>
        <w:rPr>
          <w:rFonts w:ascii="Times New Roman" w:hAnsi="Times New Roman" w:cs="Times New Roman"/>
        </w:rPr>
      </w:pPr>
      <w:bookmarkStart w:id="8" w:name="chuvieco2020"/>
      <w:proofErr w:type="spellStart"/>
      <w:r w:rsidRPr="000F5F0B">
        <w:rPr>
          <w:rFonts w:ascii="Times New Roman" w:hAnsi="Times New Roman" w:cs="Times New Roman"/>
        </w:rPr>
        <w:t>Chuvieco</w:t>
      </w:r>
      <w:proofErr w:type="spellEnd"/>
      <w:r w:rsidRPr="000F5F0B">
        <w:rPr>
          <w:rFonts w:ascii="Times New Roman" w:hAnsi="Times New Roman" w:cs="Times New Roman"/>
        </w:rPr>
        <w:t>, E., 2020. Fundamentals of Satellite Remote Sensing (3rd ed.). CRC Press.</w:t>
      </w:r>
      <w:bookmarkEnd w:id="8"/>
    </w:p>
    <w:p w14:paraId="083F9058" w14:textId="77777777" w:rsidR="00ED74D0" w:rsidRPr="000F5F0B" w:rsidRDefault="00000000">
      <w:pPr>
        <w:spacing w:after="180"/>
        <w:jc w:val="both"/>
        <w:rPr>
          <w:rFonts w:ascii="Times New Roman" w:hAnsi="Times New Roman" w:cs="Times New Roman"/>
        </w:rPr>
      </w:pPr>
      <w:bookmarkStart w:id="9" w:name="fraga2018"/>
      <w:r w:rsidRPr="000F5F0B">
        <w:rPr>
          <w:rFonts w:ascii="Times New Roman" w:hAnsi="Times New Roman" w:cs="Times New Roman"/>
        </w:rPr>
        <w:t>Fraga, H., Costa, R., Santos, J.A., 2018. Modelling the terroir of the Douro Demarcated Region, Portugal. E3S Web of Conferences, 50, 02009.</w:t>
      </w:r>
      <w:bookmarkEnd w:id="9"/>
      <w:r w:rsidRPr="000F5F0B">
        <w:rPr>
          <w:rFonts w:ascii="Times New Roman" w:hAnsi="Times New Roman" w:cs="Times New Roman"/>
        </w:rPr>
        <w:t xml:space="preserve"> </w:t>
      </w:r>
      <w:hyperlink r:id="rId34" w:history="1">
        <w:r w:rsidRPr="000F5F0B">
          <w:rPr>
            <w:rStyle w:val="Hyperlink"/>
            <w:rFonts w:ascii="Times New Roman" w:hAnsi="Times New Roman" w:cs="Times New Roman"/>
          </w:rPr>
          <w:t>https://doi.org/10.1051/e3sconf/20185002009</w:t>
        </w:r>
      </w:hyperlink>
    </w:p>
    <w:p w14:paraId="099144C2" w14:textId="77777777" w:rsidR="00ED74D0" w:rsidRPr="000F5F0B" w:rsidRDefault="00000000">
      <w:pPr>
        <w:spacing w:after="180"/>
        <w:jc w:val="both"/>
        <w:rPr>
          <w:rFonts w:ascii="Times New Roman" w:hAnsi="Times New Roman" w:cs="Times New Roman"/>
        </w:rPr>
      </w:pPr>
      <w:bookmarkStart w:id="10" w:name="friedman2001"/>
      <w:r w:rsidRPr="000F5F0B">
        <w:rPr>
          <w:rFonts w:ascii="Times New Roman" w:hAnsi="Times New Roman" w:cs="Times New Roman"/>
        </w:rPr>
        <w:t>Friedman, J.H., 2001. Greedy function approximation: a gradient boosting machine. Annals of Statistics, 29(5), 1189–1232.</w:t>
      </w:r>
      <w:bookmarkEnd w:id="10"/>
      <w:r w:rsidRPr="000F5F0B">
        <w:rPr>
          <w:rFonts w:ascii="Times New Roman" w:hAnsi="Times New Roman" w:cs="Times New Roman"/>
        </w:rPr>
        <w:t xml:space="preserve"> </w:t>
      </w:r>
      <w:hyperlink r:id="rId35" w:history="1">
        <w:r w:rsidRPr="000F5F0B">
          <w:rPr>
            <w:rStyle w:val="Hyperlink"/>
            <w:rFonts w:ascii="Times New Roman" w:hAnsi="Times New Roman" w:cs="Times New Roman"/>
          </w:rPr>
          <w:t>https://doi.org/10.1214/aos/1013203451</w:t>
        </w:r>
      </w:hyperlink>
    </w:p>
    <w:p w14:paraId="25077037" w14:textId="77777777" w:rsidR="00ED74D0" w:rsidRPr="000F5F0B" w:rsidRDefault="00000000">
      <w:pPr>
        <w:spacing w:after="180"/>
        <w:jc w:val="both"/>
        <w:rPr>
          <w:rFonts w:ascii="Times New Roman" w:hAnsi="Times New Roman" w:cs="Times New Roman"/>
        </w:rPr>
      </w:pPr>
      <w:bookmarkStart w:id="11" w:name="hengl2007"/>
      <w:r w:rsidRPr="000F5F0B">
        <w:rPr>
          <w:rFonts w:ascii="Times New Roman" w:hAnsi="Times New Roman" w:cs="Times New Roman"/>
        </w:rPr>
        <w:t xml:space="preserve">Hengl, T., </w:t>
      </w:r>
      <w:proofErr w:type="spellStart"/>
      <w:r w:rsidRPr="000F5F0B">
        <w:rPr>
          <w:rFonts w:ascii="Times New Roman" w:hAnsi="Times New Roman" w:cs="Times New Roman"/>
        </w:rPr>
        <w:t>Heuvelink</w:t>
      </w:r>
      <w:proofErr w:type="spellEnd"/>
      <w:r w:rsidRPr="000F5F0B">
        <w:rPr>
          <w:rFonts w:ascii="Times New Roman" w:hAnsi="Times New Roman" w:cs="Times New Roman"/>
        </w:rPr>
        <w:t>, G.B.M., Rossiter, D.G., 2007. About regression-kriging: from equations to case studies. Computers &amp; Geosciences, 33(10), 1301–1315.</w:t>
      </w:r>
      <w:bookmarkEnd w:id="11"/>
      <w:r w:rsidRPr="000F5F0B">
        <w:rPr>
          <w:rFonts w:ascii="Times New Roman" w:hAnsi="Times New Roman" w:cs="Times New Roman"/>
        </w:rPr>
        <w:t xml:space="preserve"> </w:t>
      </w:r>
      <w:hyperlink r:id="rId36" w:history="1">
        <w:r w:rsidRPr="000F5F0B">
          <w:rPr>
            <w:rStyle w:val="Hyperlink"/>
            <w:rFonts w:ascii="Times New Roman" w:hAnsi="Times New Roman" w:cs="Times New Roman"/>
          </w:rPr>
          <w:t>https://doi.org/10.1016/j.cageo.2007.05.001</w:t>
        </w:r>
      </w:hyperlink>
    </w:p>
    <w:p w14:paraId="2968A820" w14:textId="77777777" w:rsidR="00ED74D0" w:rsidRPr="000F5F0B" w:rsidRDefault="00000000">
      <w:pPr>
        <w:spacing w:after="180"/>
        <w:jc w:val="both"/>
        <w:rPr>
          <w:rFonts w:ascii="Times New Roman" w:hAnsi="Times New Roman" w:cs="Times New Roman"/>
        </w:rPr>
      </w:pPr>
      <w:bookmarkStart w:id="12" w:name="jensen2015"/>
      <w:r w:rsidRPr="000F5F0B">
        <w:rPr>
          <w:rFonts w:ascii="Times New Roman" w:hAnsi="Times New Roman" w:cs="Times New Roman"/>
        </w:rPr>
        <w:t>Jensen, J.R., 2015. Introductory Digital Image Processing: A Remote Sensing Perspective. Pearson.</w:t>
      </w:r>
      <w:bookmarkEnd w:id="12"/>
    </w:p>
    <w:p w14:paraId="2F06ABAB" w14:textId="77777777" w:rsidR="00ED74D0" w:rsidRPr="000F5F0B" w:rsidRDefault="00000000">
      <w:pPr>
        <w:spacing w:after="180"/>
        <w:jc w:val="both"/>
        <w:rPr>
          <w:rFonts w:ascii="Times New Roman" w:hAnsi="Times New Roman" w:cs="Times New Roman"/>
        </w:rPr>
      </w:pPr>
      <w:bookmarkStart w:id="13" w:name="liakos2018"/>
      <w:r w:rsidRPr="000F5F0B">
        <w:rPr>
          <w:rFonts w:ascii="Times New Roman" w:hAnsi="Times New Roman" w:cs="Times New Roman"/>
        </w:rPr>
        <w:t xml:space="preserve">Liakos, K.G., Busato, P., </w:t>
      </w:r>
      <w:proofErr w:type="spellStart"/>
      <w:r w:rsidRPr="000F5F0B">
        <w:rPr>
          <w:rFonts w:ascii="Times New Roman" w:hAnsi="Times New Roman" w:cs="Times New Roman"/>
        </w:rPr>
        <w:t>Moshou</w:t>
      </w:r>
      <w:proofErr w:type="spellEnd"/>
      <w:r w:rsidRPr="000F5F0B">
        <w:rPr>
          <w:rFonts w:ascii="Times New Roman" w:hAnsi="Times New Roman" w:cs="Times New Roman"/>
        </w:rPr>
        <w:t xml:space="preserve">, D., Pearson, S., </w:t>
      </w:r>
      <w:proofErr w:type="spellStart"/>
      <w:r w:rsidRPr="000F5F0B">
        <w:rPr>
          <w:rFonts w:ascii="Times New Roman" w:hAnsi="Times New Roman" w:cs="Times New Roman"/>
        </w:rPr>
        <w:t>Bochtis</w:t>
      </w:r>
      <w:proofErr w:type="spellEnd"/>
      <w:r w:rsidRPr="000F5F0B">
        <w:rPr>
          <w:rFonts w:ascii="Times New Roman" w:hAnsi="Times New Roman" w:cs="Times New Roman"/>
        </w:rPr>
        <w:t>, D., 2018. Machine learning in agriculture: a review. Sensors, 18(8), 2674.</w:t>
      </w:r>
      <w:bookmarkEnd w:id="13"/>
      <w:r w:rsidRPr="000F5F0B">
        <w:rPr>
          <w:rFonts w:ascii="Times New Roman" w:hAnsi="Times New Roman" w:cs="Times New Roman"/>
        </w:rPr>
        <w:t xml:space="preserve"> </w:t>
      </w:r>
      <w:hyperlink r:id="rId37" w:history="1">
        <w:r w:rsidRPr="000F5F0B">
          <w:rPr>
            <w:rStyle w:val="Hyperlink"/>
            <w:rFonts w:ascii="Times New Roman" w:hAnsi="Times New Roman" w:cs="Times New Roman"/>
          </w:rPr>
          <w:t>https://doi.org/10.3390/s18082674</w:t>
        </w:r>
      </w:hyperlink>
    </w:p>
    <w:p w14:paraId="2DF48302" w14:textId="77777777" w:rsidR="00ED74D0" w:rsidRPr="000F5F0B" w:rsidRDefault="00000000">
      <w:pPr>
        <w:spacing w:after="180"/>
        <w:jc w:val="both"/>
        <w:rPr>
          <w:rFonts w:ascii="Times New Roman" w:hAnsi="Times New Roman" w:cs="Times New Roman"/>
        </w:rPr>
      </w:pPr>
      <w:bookmarkStart w:id="14" w:name="lillesand2015"/>
      <w:r w:rsidRPr="000F5F0B">
        <w:rPr>
          <w:rFonts w:ascii="Times New Roman" w:hAnsi="Times New Roman" w:cs="Times New Roman"/>
        </w:rPr>
        <w:t>Lillesand, T., Kiefer, R.W., Chipman, J., 2015. Remote Sensing and Image Interpretation. Wiley.</w:t>
      </w:r>
      <w:bookmarkEnd w:id="14"/>
    </w:p>
    <w:p w14:paraId="1852ACEF" w14:textId="77777777" w:rsidR="00ED74D0" w:rsidRPr="000F5F0B" w:rsidRDefault="00000000">
      <w:pPr>
        <w:spacing w:after="180"/>
        <w:jc w:val="both"/>
        <w:rPr>
          <w:rFonts w:ascii="Times New Roman" w:hAnsi="Times New Roman" w:cs="Times New Roman"/>
        </w:rPr>
      </w:pPr>
      <w:bookmarkStart w:id="15" w:name="matese2015a"/>
      <w:proofErr w:type="spellStart"/>
      <w:r w:rsidRPr="000F5F0B">
        <w:rPr>
          <w:rFonts w:ascii="Times New Roman" w:hAnsi="Times New Roman" w:cs="Times New Roman"/>
        </w:rPr>
        <w:t>Matese</w:t>
      </w:r>
      <w:proofErr w:type="spellEnd"/>
      <w:r w:rsidRPr="000F5F0B">
        <w:rPr>
          <w:rFonts w:ascii="Times New Roman" w:hAnsi="Times New Roman" w:cs="Times New Roman"/>
        </w:rPr>
        <w:t xml:space="preserve">, A., Di Gennaro, S.F., 2015. Technology in precision viticulture: a state of the art review. </w:t>
      </w:r>
      <w:r w:rsidRPr="000F5F0B">
        <w:rPr>
          <w:rFonts w:ascii="Times New Roman" w:hAnsi="Times New Roman" w:cs="Times New Roman"/>
        </w:rPr>
        <w:lastRenderedPageBreak/>
        <w:t>International Journal of Wine Research, 7, 69–81.</w:t>
      </w:r>
      <w:bookmarkEnd w:id="15"/>
      <w:r w:rsidRPr="000F5F0B">
        <w:rPr>
          <w:rFonts w:ascii="Times New Roman" w:hAnsi="Times New Roman" w:cs="Times New Roman"/>
        </w:rPr>
        <w:t xml:space="preserve"> </w:t>
      </w:r>
      <w:hyperlink r:id="rId38" w:history="1">
        <w:r w:rsidRPr="000F5F0B">
          <w:rPr>
            <w:rStyle w:val="Hyperlink"/>
            <w:rFonts w:ascii="Times New Roman" w:hAnsi="Times New Roman" w:cs="Times New Roman"/>
          </w:rPr>
          <w:t>https://doi.org/10.2147/IJWR.S69405</w:t>
        </w:r>
      </w:hyperlink>
    </w:p>
    <w:p w14:paraId="36C1120F" w14:textId="77777777" w:rsidR="00ED74D0" w:rsidRPr="000F5F0B" w:rsidRDefault="00000000">
      <w:pPr>
        <w:spacing w:after="180"/>
        <w:jc w:val="both"/>
        <w:rPr>
          <w:rFonts w:ascii="Times New Roman" w:hAnsi="Times New Roman" w:cs="Times New Roman"/>
        </w:rPr>
      </w:pPr>
      <w:bookmarkStart w:id="16" w:name="matese2015b"/>
      <w:proofErr w:type="spellStart"/>
      <w:r w:rsidRPr="000F5F0B">
        <w:rPr>
          <w:rFonts w:ascii="Times New Roman" w:hAnsi="Times New Roman" w:cs="Times New Roman"/>
        </w:rPr>
        <w:t>Matese</w:t>
      </w:r>
      <w:proofErr w:type="spellEnd"/>
      <w:r w:rsidRPr="000F5F0B">
        <w:rPr>
          <w:rFonts w:ascii="Times New Roman" w:hAnsi="Times New Roman" w:cs="Times New Roman"/>
        </w:rPr>
        <w:t xml:space="preserve">, A., Toscano, P., Di Gennaro, S.F., Genesio, L., Vaccari, F.P., </w:t>
      </w:r>
      <w:proofErr w:type="spellStart"/>
      <w:r w:rsidRPr="000F5F0B">
        <w:rPr>
          <w:rFonts w:ascii="Times New Roman" w:hAnsi="Times New Roman" w:cs="Times New Roman"/>
        </w:rPr>
        <w:t>Primicerio</w:t>
      </w:r>
      <w:proofErr w:type="spellEnd"/>
      <w:r w:rsidRPr="000F5F0B">
        <w:rPr>
          <w:rFonts w:ascii="Times New Roman" w:hAnsi="Times New Roman" w:cs="Times New Roman"/>
        </w:rPr>
        <w:t xml:space="preserve">, J., Belli, C., Zaldei, A., Bianconi, R., </w:t>
      </w:r>
      <w:proofErr w:type="spellStart"/>
      <w:r w:rsidRPr="000F5F0B">
        <w:rPr>
          <w:rFonts w:ascii="Times New Roman" w:hAnsi="Times New Roman" w:cs="Times New Roman"/>
        </w:rPr>
        <w:t>Gioli</w:t>
      </w:r>
      <w:proofErr w:type="spellEnd"/>
      <w:r w:rsidRPr="000F5F0B">
        <w:rPr>
          <w:rFonts w:ascii="Times New Roman" w:hAnsi="Times New Roman" w:cs="Times New Roman"/>
        </w:rPr>
        <w:t>, B., 2015. Intercomparison of UAV, aircraft and satellite remote sensing platforms for precision viticulture. Remote Sensing, 7(3), 2971–2990.</w:t>
      </w:r>
      <w:bookmarkEnd w:id="16"/>
      <w:r w:rsidRPr="000F5F0B">
        <w:rPr>
          <w:rFonts w:ascii="Times New Roman" w:hAnsi="Times New Roman" w:cs="Times New Roman"/>
        </w:rPr>
        <w:t xml:space="preserve"> </w:t>
      </w:r>
      <w:hyperlink r:id="rId39" w:history="1">
        <w:r w:rsidRPr="000F5F0B">
          <w:rPr>
            <w:rStyle w:val="Hyperlink"/>
            <w:rFonts w:ascii="Times New Roman" w:hAnsi="Times New Roman" w:cs="Times New Roman"/>
          </w:rPr>
          <w:t>https://doi.org/10.3390/rs70302971</w:t>
        </w:r>
      </w:hyperlink>
    </w:p>
    <w:p w14:paraId="27DE9CFF" w14:textId="77777777" w:rsidR="00ED74D0" w:rsidRPr="000F5F0B" w:rsidRDefault="00000000">
      <w:pPr>
        <w:spacing w:after="180"/>
        <w:jc w:val="both"/>
        <w:rPr>
          <w:rFonts w:ascii="Times New Roman" w:hAnsi="Times New Roman" w:cs="Times New Roman"/>
          <w:lang w:val="pt-BR"/>
        </w:rPr>
      </w:pPr>
      <w:bookmarkStart w:id="17" w:name="moran1950"/>
      <w:r w:rsidRPr="000F5F0B">
        <w:rPr>
          <w:rFonts w:ascii="Times New Roman" w:hAnsi="Times New Roman" w:cs="Times New Roman"/>
        </w:rPr>
        <w:t xml:space="preserve">Moran, P.A.P., 1950. Notes on continuous stochastic phenomena. </w:t>
      </w:r>
      <w:r w:rsidRPr="000F5F0B">
        <w:rPr>
          <w:rFonts w:ascii="Times New Roman" w:hAnsi="Times New Roman" w:cs="Times New Roman"/>
          <w:lang w:val="pt-BR"/>
        </w:rPr>
        <w:t>Biometrika, 37(1–2), 17–23.</w:t>
      </w:r>
      <w:bookmarkEnd w:id="17"/>
      <w:r w:rsidRPr="000F5F0B">
        <w:rPr>
          <w:rFonts w:ascii="Times New Roman" w:hAnsi="Times New Roman" w:cs="Times New Roman"/>
          <w:lang w:val="pt-BR"/>
        </w:rPr>
        <w:t xml:space="preserve"> </w:t>
      </w:r>
      <w:r w:rsidRPr="000F5F0B">
        <w:rPr>
          <w:rFonts w:ascii="Times New Roman" w:hAnsi="Times New Roman" w:cs="Times New Roman"/>
        </w:rPr>
        <w:fldChar w:fldCharType="begin"/>
      </w:r>
      <w:r w:rsidRPr="000F5F0B">
        <w:rPr>
          <w:rFonts w:ascii="Times New Roman" w:hAnsi="Times New Roman" w:cs="Times New Roman"/>
          <w:lang w:val="pt-BR"/>
        </w:rPr>
        <w:instrText>HYPERLINK "https://doi.org/10.1093/biomet/37.1-2.17"</w:instrText>
      </w:r>
      <w:r w:rsidRPr="000F5F0B">
        <w:rPr>
          <w:rFonts w:ascii="Times New Roman" w:hAnsi="Times New Roman" w:cs="Times New Roman"/>
        </w:rPr>
      </w:r>
      <w:r w:rsidRPr="000F5F0B">
        <w:rPr>
          <w:rFonts w:ascii="Times New Roman" w:hAnsi="Times New Roman" w:cs="Times New Roman"/>
        </w:rPr>
        <w:fldChar w:fldCharType="separate"/>
      </w:r>
      <w:r w:rsidRPr="000F5F0B">
        <w:rPr>
          <w:rStyle w:val="Hyperlink"/>
          <w:rFonts w:ascii="Times New Roman" w:hAnsi="Times New Roman" w:cs="Times New Roman"/>
          <w:lang w:val="pt-BR"/>
        </w:rPr>
        <w:t>https://doi.org/10.1093/biomet/37.1-2.17</w:t>
      </w:r>
      <w:r w:rsidRPr="000F5F0B">
        <w:rPr>
          <w:rFonts w:ascii="Times New Roman" w:hAnsi="Times New Roman" w:cs="Times New Roman"/>
        </w:rPr>
        <w:fldChar w:fldCharType="end"/>
      </w:r>
    </w:p>
    <w:p w14:paraId="2239AA6C" w14:textId="77777777" w:rsidR="00ED74D0" w:rsidRPr="000F5F0B" w:rsidRDefault="00000000">
      <w:pPr>
        <w:spacing w:after="180"/>
        <w:jc w:val="both"/>
        <w:rPr>
          <w:rFonts w:ascii="Times New Roman" w:hAnsi="Times New Roman" w:cs="Times New Roman"/>
        </w:rPr>
      </w:pPr>
      <w:bookmarkStart w:id="18" w:name="nasa2023"/>
      <w:r w:rsidRPr="000F5F0B">
        <w:rPr>
          <w:rFonts w:ascii="Times New Roman" w:hAnsi="Times New Roman" w:cs="Times New Roman"/>
        </w:rPr>
        <w:t>NASA, 2023. Landsat Missions Overview.</w:t>
      </w:r>
      <w:bookmarkEnd w:id="18"/>
      <w:r w:rsidRPr="000F5F0B">
        <w:rPr>
          <w:rFonts w:ascii="Times New Roman" w:hAnsi="Times New Roman" w:cs="Times New Roman"/>
        </w:rPr>
        <w:t xml:space="preserve"> </w:t>
      </w:r>
      <w:hyperlink r:id="rId40" w:history="1">
        <w:r w:rsidRPr="000F5F0B">
          <w:rPr>
            <w:rStyle w:val="Hyperlink"/>
            <w:rFonts w:ascii="Times New Roman" w:hAnsi="Times New Roman" w:cs="Times New Roman"/>
          </w:rPr>
          <w:t>https://www.usgs.gov/landsat-missions</w:t>
        </w:r>
      </w:hyperlink>
    </w:p>
    <w:p w14:paraId="194BA52A" w14:textId="77777777" w:rsidR="00ED74D0" w:rsidRPr="000F5F0B" w:rsidRDefault="00000000">
      <w:pPr>
        <w:spacing w:after="180"/>
        <w:jc w:val="both"/>
        <w:rPr>
          <w:rFonts w:ascii="Times New Roman" w:hAnsi="Times New Roman" w:cs="Times New Roman"/>
        </w:rPr>
      </w:pPr>
      <w:bookmarkStart w:id="19" w:name="ricciardi2024"/>
      <w:r w:rsidRPr="000F5F0B">
        <w:rPr>
          <w:rFonts w:ascii="Times New Roman" w:hAnsi="Times New Roman" w:cs="Times New Roman"/>
          <w:lang w:val="pt-BR"/>
        </w:rPr>
        <w:t xml:space="preserve">Ricciardi, R., De Fazi, L., D’Anna, G., Savino, F., Ladurner, E., Iodice, A., Benelli, G., Lucchi, A., 2024. </w:t>
      </w:r>
      <w:r w:rsidRPr="000F5F0B">
        <w:rPr>
          <w:rFonts w:ascii="Times New Roman" w:hAnsi="Times New Roman" w:cs="Times New Roman"/>
        </w:rPr>
        <w:t>Simultaneous mating disruption of two moth pests of the vineyard (</w:t>
      </w:r>
      <w:proofErr w:type="spellStart"/>
      <w:r w:rsidRPr="000F5F0B">
        <w:rPr>
          <w:rFonts w:ascii="Times New Roman" w:hAnsi="Times New Roman" w:cs="Times New Roman"/>
        </w:rPr>
        <w:t>Lobesia</w:t>
      </w:r>
      <w:proofErr w:type="spellEnd"/>
      <w:r w:rsidRPr="000F5F0B">
        <w:rPr>
          <w:rFonts w:ascii="Times New Roman" w:hAnsi="Times New Roman" w:cs="Times New Roman"/>
        </w:rPr>
        <w:t xml:space="preserve"> </w:t>
      </w:r>
      <w:proofErr w:type="spellStart"/>
      <w:r w:rsidRPr="000F5F0B">
        <w:rPr>
          <w:rFonts w:ascii="Times New Roman" w:hAnsi="Times New Roman" w:cs="Times New Roman"/>
        </w:rPr>
        <w:t>botrana</w:t>
      </w:r>
      <w:proofErr w:type="spellEnd"/>
      <w:r w:rsidRPr="000F5F0B">
        <w:rPr>
          <w:rFonts w:ascii="Times New Roman" w:hAnsi="Times New Roman" w:cs="Times New Roman"/>
        </w:rPr>
        <w:t xml:space="preserve"> and </w:t>
      </w:r>
      <w:proofErr w:type="spellStart"/>
      <w:r w:rsidRPr="000F5F0B">
        <w:rPr>
          <w:rFonts w:ascii="Times New Roman" w:hAnsi="Times New Roman" w:cs="Times New Roman"/>
        </w:rPr>
        <w:t>Cryptoblabes</w:t>
      </w:r>
      <w:proofErr w:type="spellEnd"/>
      <w:r w:rsidRPr="000F5F0B">
        <w:rPr>
          <w:rFonts w:ascii="Times New Roman" w:hAnsi="Times New Roman" w:cs="Times New Roman"/>
        </w:rPr>
        <w:t xml:space="preserve"> </w:t>
      </w:r>
      <w:proofErr w:type="spellStart"/>
      <w:r w:rsidRPr="000F5F0B">
        <w:rPr>
          <w:rFonts w:ascii="Times New Roman" w:hAnsi="Times New Roman" w:cs="Times New Roman"/>
        </w:rPr>
        <w:t>gnidiella</w:t>
      </w:r>
      <w:proofErr w:type="spellEnd"/>
      <w:r w:rsidRPr="000F5F0B">
        <w:rPr>
          <w:rFonts w:ascii="Times New Roman" w:hAnsi="Times New Roman" w:cs="Times New Roman"/>
        </w:rPr>
        <w:t>) through a biodegradable sex pheromone dispenser. Environmental Science and Pollution Research.</w:t>
      </w:r>
      <w:bookmarkEnd w:id="19"/>
      <w:r w:rsidRPr="000F5F0B">
        <w:rPr>
          <w:rFonts w:ascii="Times New Roman" w:hAnsi="Times New Roman" w:cs="Times New Roman"/>
        </w:rPr>
        <w:t xml:space="preserve"> </w:t>
      </w:r>
      <w:hyperlink r:id="rId41" w:history="1">
        <w:r w:rsidRPr="000F5F0B">
          <w:rPr>
            <w:rStyle w:val="Hyperlink"/>
            <w:rFonts w:ascii="Times New Roman" w:hAnsi="Times New Roman" w:cs="Times New Roman"/>
          </w:rPr>
          <w:t>https://doi.org/10.1007/s11356-024-33980-w</w:t>
        </w:r>
      </w:hyperlink>
    </w:p>
    <w:p w14:paraId="060BEB04" w14:textId="77777777" w:rsidR="00ED74D0" w:rsidRPr="000F5F0B" w:rsidRDefault="00000000">
      <w:pPr>
        <w:spacing w:after="180"/>
        <w:jc w:val="both"/>
        <w:rPr>
          <w:rFonts w:ascii="Times New Roman" w:hAnsi="Times New Roman" w:cs="Times New Roman"/>
        </w:rPr>
      </w:pPr>
      <w:bookmarkStart w:id="20" w:name="rouse1974"/>
      <w:r w:rsidRPr="000F5F0B">
        <w:rPr>
          <w:rFonts w:ascii="Times New Roman" w:hAnsi="Times New Roman" w:cs="Times New Roman"/>
        </w:rPr>
        <w:t>Rouse, J.W., Haas, R.H., Schell, J.A., Deering, D.W., 1974. Monitoring vegetation systems in the Great Plains with ERTS. NASA Special Publication SP-351, 309–317.</w:t>
      </w:r>
      <w:bookmarkEnd w:id="20"/>
    </w:p>
    <w:p w14:paraId="1243B91F" w14:textId="77777777" w:rsidR="00ED74D0" w:rsidRPr="000F5F0B" w:rsidRDefault="00000000">
      <w:pPr>
        <w:spacing w:after="180"/>
        <w:jc w:val="both"/>
        <w:rPr>
          <w:rFonts w:ascii="Times New Roman" w:hAnsi="Times New Roman" w:cs="Times New Roman"/>
        </w:rPr>
      </w:pPr>
      <w:bookmarkStart w:id="21" w:name="roy2014"/>
      <w:r w:rsidRPr="000F5F0B">
        <w:rPr>
          <w:rFonts w:ascii="Times New Roman" w:hAnsi="Times New Roman" w:cs="Times New Roman"/>
        </w:rPr>
        <w:t xml:space="preserve">Roy, D.P., </w:t>
      </w:r>
      <w:proofErr w:type="spellStart"/>
      <w:r w:rsidRPr="000F5F0B">
        <w:rPr>
          <w:rFonts w:ascii="Times New Roman" w:hAnsi="Times New Roman" w:cs="Times New Roman"/>
        </w:rPr>
        <w:t>Wulder</w:t>
      </w:r>
      <w:proofErr w:type="spellEnd"/>
      <w:r w:rsidRPr="000F5F0B">
        <w:rPr>
          <w:rFonts w:ascii="Times New Roman" w:hAnsi="Times New Roman" w:cs="Times New Roman"/>
        </w:rPr>
        <w:t>, M.A., Loveland, T.R., et al., 2014. Landsat-8: Science and product vision for terrestrial global change research. Remote Sensing of Environment, 145, 154–172.</w:t>
      </w:r>
      <w:bookmarkEnd w:id="21"/>
    </w:p>
    <w:p w14:paraId="4B21845F" w14:textId="77777777" w:rsidR="00ED74D0" w:rsidRPr="000F5F0B" w:rsidRDefault="00000000">
      <w:pPr>
        <w:spacing w:after="180"/>
        <w:jc w:val="both"/>
        <w:rPr>
          <w:rFonts w:ascii="Times New Roman" w:hAnsi="Times New Roman" w:cs="Times New Roman"/>
        </w:rPr>
      </w:pPr>
      <w:bookmarkStart w:id="22" w:name="sekulic2020"/>
      <w:r w:rsidRPr="000F5F0B">
        <w:rPr>
          <w:rFonts w:ascii="Times New Roman" w:hAnsi="Times New Roman" w:cs="Times New Roman"/>
        </w:rPr>
        <w:t xml:space="preserve">Sekulić, A., </w:t>
      </w:r>
      <w:proofErr w:type="spellStart"/>
      <w:r w:rsidRPr="000F5F0B">
        <w:rPr>
          <w:rFonts w:ascii="Times New Roman" w:hAnsi="Times New Roman" w:cs="Times New Roman"/>
        </w:rPr>
        <w:t>Kilibarda</w:t>
      </w:r>
      <w:proofErr w:type="spellEnd"/>
      <w:r w:rsidRPr="000F5F0B">
        <w:rPr>
          <w:rFonts w:ascii="Times New Roman" w:hAnsi="Times New Roman" w:cs="Times New Roman"/>
        </w:rPr>
        <w:t xml:space="preserve">, M., </w:t>
      </w:r>
      <w:proofErr w:type="spellStart"/>
      <w:r w:rsidRPr="000F5F0B">
        <w:rPr>
          <w:rFonts w:ascii="Times New Roman" w:hAnsi="Times New Roman" w:cs="Times New Roman"/>
        </w:rPr>
        <w:t>Heuvelink</w:t>
      </w:r>
      <w:proofErr w:type="spellEnd"/>
      <w:r w:rsidRPr="000F5F0B">
        <w:rPr>
          <w:rFonts w:ascii="Times New Roman" w:hAnsi="Times New Roman" w:cs="Times New Roman"/>
        </w:rPr>
        <w:t xml:space="preserve">, G.B.M., Nikolić, M., </w:t>
      </w:r>
      <w:proofErr w:type="spellStart"/>
      <w:r w:rsidRPr="000F5F0B">
        <w:rPr>
          <w:rFonts w:ascii="Times New Roman" w:hAnsi="Times New Roman" w:cs="Times New Roman"/>
        </w:rPr>
        <w:t>Bajat</w:t>
      </w:r>
      <w:proofErr w:type="spellEnd"/>
      <w:r w:rsidRPr="000F5F0B">
        <w:rPr>
          <w:rFonts w:ascii="Times New Roman" w:hAnsi="Times New Roman" w:cs="Times New Roman"/>
        </w:rPr>
        <w:t>, B., 2020. Random forest spatial interpolation. Remote Sensing, 12(10), 1687.</w:t>
      </w:r>
      <w:bookmarkEnd w:id="22"/>
      <w:r w:rsidRPr="000F5F0B">
        <w:rPr>
          <w:rFonts w:ascii="Times New Roman" w:hAnsi="Times New Roman" w:cs="Times New Roman"/>
        </w:rPr>
        <w:t xml:space="preserve"> </w:t>
      </w:r>
      <w:hyperlink r:id="rId42" w:history="1">
        <w:r w:rsidRPr="000F5F0B">
          <w:rPr>
            <w:rStyle w:val="Hyperlink"/>
            <w:rFonts w:ascii="Times New Roman" w:hAnsi="Times New Roman" w:cs="Times New Roman"/>
          </w:rPr>
          <w:t>https://doi.org/10.3390/rs12101687</w:t>
        </w:r>
      </w:hyperlink>
    </w:p>
    <w:p w14:paraId="5FE00D7F" w14:textId="77777777" w:rsidR="00ED74D0" w:rsidRPr="000F5F0B" w:rsidRDefault="00000000">
      <w:pPr>
        <w:spacing w:after="180"/>
        <w:jc w:val="both"/>
        <w:rPr>
          <w:rFonts w:ascii="Times New Roman" w:hAnsi="Times New Roman" w:cs="Times New Roman"/>
        </w:rPr>
      </w:pPr>
      <w:bookmarkStart w:id="23" w:name="shaddad2016"/>
      <w:r w:rsidRPr="000F5F0B">
        <w:rPr>
          <w:rFonts w:ascii="Times New Roman" w:hAnsi="Times New Roman" w:cs="Times New Roman"/>
        </w:rPr>
        <w:t xml:space="preserve">Shaddad, S.M., </w:t>
      </w:r>
      <w:proofErr w:type="spellStart"/>
      <w:r w:rsidRPr="000F5F0B">
        <w:rPr>
          <w:rFonts w:ascii="Times New Roman" w:hAnsi="Times New Roman" w:cs="Times New Roman"/>
        </w:rPr>
        <w:t>Madrau</w:t>
      </w:r>
      <w:proofErr w:type="spellEnd"/>
      <w:r w:rsidRPr="000F5F0B">
        <w:rPr>
          <w:rFonts w:ascii="Times New Roman" w:hAnsi="Times New Roman" w:cs="Times New Roman"/>
        </w:rPr>
        <w:t xml:space="preserve">, S., </w:t>
      </w:r>
      <w:proofErr w:type="spellStart"/>
      <w:r w:rsidRPr="000F5F0B">
        <w:rPr>
          <w:rFonts w:ascii="Times New Roman" w:hAnsi="Times New Roman" w:cs="Times New Roman"/>
        </w:rPr>
        <w:t>Castrignanò</w:t>
      </w:r>
      <w:proofErr w:type="spellEnd"/>
      <w:r w:rsidRPr="000F5F0B">
        <w:rPr>
          <w:rFonts w:ascii="Times New Roman" w:hAnsi="Times New Roman" w:cs="Times New Roman"/>
        </w:rPr>
        <w:t xml:space="preserve">, A., </w:t>
      </w:r>
      <w:proofErr w:type="spellStart"/>
      <w:r w:rsidRPr="000F5F0B">
        <w:rPr>
          <w:rFonts w:ascii="Times New Roman" w:hAnsi="Times New Roman" w:cs="Times New Roman"/>
        </w:rPr>
        <w:t>Mouazen</w:t>
      </w:r>
      <w:proofErr w:type="spellEnd"/>
      <w:r w:rsidRPr="000F5F0B">
        <w:rPr>
          <w:rFonts w:ascii="Times New Roman" w:hAnsi="Times New Roman" w:cs="Times New Roman"/>
        </w:rPr>
        <w:t>, A.M., 2016. Data fusion techniques for delineation of site-specific management zones in a field in UK. Precision Agriculture, 17(2), 200–217.</w:t>
      </w:r>
      <w:bookmarkEnd w:id="23"/>
      <w:r w:rsidRPr="000F5F0B">
        <w:rPr>
          <w:rFonts w:ascii="Times New Roman" w:hAnsi="Times New Roman" w:cs="Times New Roman"/>
        </w:rPr>
        <w:t xml:space="preserve"> </w:t>
      </w:r>
      <w:hyperlink r:id="rId43" w:history="1">
        <w:r w:rsidRPr="000F5F0B">
          <w:rPr>
            <w:rStyle w:val="Hyperlink"/>
            <w:rFonts w:ascii="Times New Roman" w:hAnsi="Times New Roman" w:cs="Times New Roman"/>
          </w:rPr>
          <w:t>https://doi.org/10.1007/s11119-015-9417-6</w:t>
        </w:r>
      </w:hyperlink>
    </w:p>
    <w:p w14:paraId="3172AAF0" w14:textId="77777777" w:rsidR="00ED74D0" w:rsidRPr="000F5F0B" w:rsidRDefault="00000000">
      <w:pPr>
        <w:spacing w:after="180"/>
        <w:jc w:val="both"/>
        <w:rPr>
          <w:rFonts w:ascii="Times New Roman" w:hAnsi="Times New Roman" w:cs="Times New Roman"/>
        </w:rPr>
      </w:pPr>
      <w:bookmarkStart w:id="24" w:name="trangmar1985"/>
      <w:r w:rsidRPr="000F5F0B">
        <w:rPr>
          <w:rFonts w:ascii="Times New Roman" w:hAnsi="Times New Roman" w:cs="Times New Roman"/>
        </w:rPr>
        <w:t xml:space="preserve">Trangmar, B.B., Yost, R.S., Uehara, G., 1985. Applications of </w:t>
      </w:r>
      <w:proofErr w:type="spellStart"/>
      <w:r w:rsidRPr="000F5F0B">
        <w:rPr>
          <w:rFonts w:ascii="Times New Roman" w:hAnsi="Times New Roman" w:cs="Times New Roman"/>
        </w:rPr>
        <w:t>geostatistics</w:t>
      </w:r>
      <w:proofErr w:type="spellEnd"/>
      <w:r w:rsidRPr="000F5F0B">
        <w:rPr>
          <w:rFonts w:ascii="Times New Roman" w:hAnsi="Times New Roman" w:cs="Times New Roman"/>
        </w:rPr>
        <w:t xml:space="preserve"> to spatial studies of soil properties. Advances in Agronomy, 38, 45–94.</w:t>
      </w:r>
      <w:bookmarkEnd w:id="24"/>
      <w:r w:rsidRPr="000F5F0B">
        <w:rPr>
          <w:rFonts w:ascii="Times New Roman" w:hAnsi="Times New Roman" w:cs="Times New Roman"/>
        </w:rPr>
        <w:t xml:space="preserve"> </w:t>
      </w:r>
      <w:hyperlink r:id="rId44" w:history="1">
        <w:r w:rsidRPr="000F5F0B">
          <w:rPr>
            <w:rStyle w:val="Hyperlink"/>
            <w:rFonts w:ascii="Times New Roman" w:hAnsi="Times New Roman" w:cs="Times New Roman"/>
          </w:rPr>
          <w:t>https://doi.org/10.1016/S0065-2113(08)60673-2</w:t>
        </w:r>
      </w:hyperlink>
    </w:p>
    <w:p w14:paraId="17147EF3" w14:textId="77777777" w:rsidR="00ED74D0" w:rsidRPr="000F5F0B" w:rsidRDefault="00000000">
      <w:pPr>
        <w:spacing w:after="180"/>
        <w:jc w:val="both"/>
        <w:rPr>
          <w:rFonts w:ascii="Times New Roman" w:hAnsi="Times New Roman" w:cs="Times New Roman"/>
        </w:rPr>
      </w:pPr>
      <w:bookmarkStart w:id="25" w:name="usgs2023"/>
      <w:r w:rsidRPr="000F5F0B">
        <w:rPr>
          <w:rFonts w:ascii="Times New Roman" w:hAnsi="Times New Roman" w:cs="Times New Roman"/>
        </w:rPr>
        <w:t>USGS, 2023. Landsat 8 Data Users Handbook. United States Geological Survey.</w:t>
      </w:r>
      <w:bookmarkEnd w:id="25"/>
    </w:p>
    <w:p w14:paraId="0856E7E1" w14:textId="77777777" w:rsidR="00ED74D0" w:rsidRPr="000F5F0B" w:rsidRDefault="00000000">
      <w:pPr>
        <w:spacing w:after="180"/>
        <w:jc w:val="both"/>
        <w:rPr>
          <w:rFonts w:ascii="Times New Roman" w:hAnsi="Times New Roman" w:cs="Times New Roman"/>
        </w:rPr>
      </w:pPr>
      <w:bookmarkStart w:id="26" w:name="webster2001"/>
      <w:r w:rsidRPr="000F5F0B">
        <w:rPr>
          <w:rFonts w:ascii="Times New Roman" w:hAnsi="Times New Roman" w:cs="Times New Roman"/>
        </w:rPr>
        <w:t xml:space="preserve">Webster, R., Oliver, M.A., 2001. </w:t>
      </w:r>
      <w:proofErr w:type="spellStart"/>
      <w:r w:rsidRPr="000F5F0B">
        <w:rPr>
          <w:rFonts w:ascii="Times New Roman" w:hAnsi="Times New Roman" w:cs="Times New Roman"/>
        </w:rPr>
        <w:t>Geostatistics</w:t>
      </w:r>
      <w:proofErr w:type="spellEnd"/>
      <w:r w:rsidRPr="000F5F0B">
        <w:rPr>
          <w:rFonts w:ascii="Times New Roman" w:hAnsi="Times New Roman" w:cs="Times New Roman"/>
        </w:rPr>
        <w:t xml:space="preserve"> for Environmental Scientists. John Wiley &amp; Sons.</w:t>
      </w:r>
      <w:bookmarkEnd w:id="26"/>
    </w:p>
    <w:p w14:paraId="090A4DAD" w14:textId="77777777" w:rsidR="00ED74D0" w:rsidRPr="000F5F0B" w:rsidRDefault="00000000">
      <w:pPr>
        <w:spacing w:after="180"/>
        <w:jc w:val="both"/>
        <w:rPr>
          <w:rFonts w:ascii="Times New Roman" w:hAnsi="Times New Roman" w:cs="Times New Roman"/>
        </w:rPr>
      </w:pPr>
      <w:bookmarkStart w:id="27" w:name="wong2017"/>
      <w:r w:rsidRPr="000F5F0B">
        <w:rPr>
          <w:rFonts w:ascii="Times New Roman" w:hAnsi="Times New Roman" w:cs="Times New Roman"/>
        </w:rPr>
        <w:t>Wong, D.W.S., 2017. Interpolation: Inverse-distance weighting. In: International Encyclopedia of Geography: People, the Earth, Environment and Technology.</w:t>
      </w:r>
      <w:bookmarkEnd w:id="27"/>
      <w:r w:rsidRPr="000F5F0B">
        <w:rPr>
          <w:rFonts w:ascii="Times New Roman" w:hAnsi="Times New Roman" w:cs="Times New Roman"/>
        </w:rPr>
        <w:t xml:space="preserve"> </w:t>
      </w:r>
      <w:hyperlink r:id="rId45" w:history="1">
        <w:r w:rsidRPr="000F5F0B">
          <w:rPr>
            <w:rStyle w:val="Hyperlink"/>
            <w:rFonts w:ascii="Times New Roman" w:hAnsi="Times New Roman" w:cs="Times New Roman"/>
          </w:rPr>
          <w:t>https://doi.org/10.1002/9781118786352.wbieg0066</w:t>
        </w:r>
      </w:hyperlink>
    </w:p>
    <w:sectPr w:rsidR="00ED74D0" w:rsidRPr="000F5F0B" w:rsidSect="00A45A65">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57458"/>
    <w:multiLevelType w:val="hybridMultilevel"/>
    <w:tmpl w:val="6CD6BFC2"/>
    <w:lvl w:ilvl="0" w:tplc="2A0466BE">
      <w:start w:val="1"/>
      <w:numFmt w:val="bullet"/>
      <w:lvlText w:val="●"/>
      <w:lvlJc w:val="left"/>
      <w:pPr>
        <w:ind w:left="720" w:hanging="360"/>
      </w:pPr>
    </w:lvl>
    <w:lvl w:ilvl="1" w:tplc="FB82633E">
      <w:start w:val="1"/>
      <w:numFmt w:val="bullet"/>
      <w:lvlText w:val="○"/>
      <w:lvlJc w:val="left"/>
      <w:pPr>
        <w:ind w:left="1440" w:hanging="360"/>
      </w:pPr>
    </w:lvl>
    <w:lvl w:ilvl="2" w:tplc="C20E10F0">
      <w:start w:val="1"/>
      <w:numFmt w:val="bullet"/>
      <w:lvlText w:val="■"/>
      <w:lvlJc w:val="left"/>
      <w:pPr>
        <w:ind w:left="2160" w:hanging="360"/>
      </w:pPr>
    </w:lvl>
    <w:lvl w:ilvl="3" w:tplc="1F2672A4">
      <w:start w:val="1"/>
      <w:numFmt w:val="bullet"/>
      <w:lvlText w:val="●"/>
      <w:lvlJc w:val="left"/>
      <w:pPr>
        <w:ind w:left="2880" w:hanging="360"/>
      </w:pPr>
    </w:lvl>
    <w:lvl w:ilvl="4" w:tplc="964AFF30">
      <w:start w:val="1"/>
      <w:numFmt w:val="bullet"/>
      <w:lvlText w:val="○"/>
      <w:lvlJc w:val="left"/>
      <w:pPr>
        <w:ind w:left="3600" w:hanging="360"/>
      </w:pPr>
    </w:lvl>
    <w:lvl w:ilvl="5" w:tplc="77E642F4">
      <w:start w:val="1"/>
      <w:numFmt w:val="bullet"/>
      <w:lvlText w:val="■"/>
      <w:lvlJc w:val="left"/>
      <w:pPr>
        <w:ind w:left="4320" w:hanging="360"/>
      </w:pPr>
    </w:lvl>
    <w:lvl w:ilvl="6" w:tplc="DB8AF61C">
      <w:start w:val="1"/>
      <w:numFmt w:val="bullet"/>
      <w:lvlText w:val="●"/>
      <w:lvlJc w:val="left"/>
      <w:pPr>
        <w:ind w:left="5040" w:hanging="360"/>
      </w:pPr>
    </w:lvl>
    <w:lvl w:ilvl="7" w:tplc="567A08CE">
      <w:start w:val="1"/>
      <w:numFmt w:val="bullet"/>
      <w:lvlText w:val="●"/>
      <w:lvlJc w:val="left"/>
      <w:pPr>
        <w:ind w:left="5760" w:hanging="360"/>
      </w:pPr>
    </w:lvl>
    <w:lvl w:ilvl="8" w:tplc="2140DCBE">
      <w:start w:val="1"/>
      <w:numFmt w:val="bullet"/>
      <w:lvlText w:val="●"/>
      <w:lvlJc w:val="left"/>
      <w:pPr>
        <w:ind w:left="6480" w:hanging="360"/>
      </w:pPr>
    </w:lvl>
  </w:abstractNum>
  <w:num w:numId="1" w16cid:durableId="1997807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4D0"/>
    <w:rsid w:val="00093A3F"/>
    <w:rsid w:val="000F5F0B"/>
    <w:rsid w:val="001B206A"/>
    <w:rsid w:val="002A118F"/>
    <w:rsid w:val="004922AD"/>
    <w:rsid w:val="00580DA6"/>
    <w:rsid w:val="005C7785"/>
    <w:rsid w:val="005F228D"/>
    <w:rsid w:val="00715CF3"/>
    <w:rsid w:val="0079167A"/>
    <w:rsid w:val="007A37AF"/>
    <w:rsid w:val="00923BD4"/>
    <w:rsid w:val="009D13F3"/>
    <w:rsid w:val="00A45A65"/>
    <w:rsid w:val="00CC1271"/>
    <w:rsid w:val="00E940AC"/>
    <w:rsid w:val="00ED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33F8"/>
  <w15:docId w15:val="{7B1F4C13-FEF3-4A35-992A-148C7F36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E5395"/>
      <w:sz w:val="24"/>
      <w:szCs w:val="24"/>
    </w:rPr>
  </w:style>
  <w:style w:type="paragraph" w:styleId="Heading3">
    <w:name w:val="heading 3"/>
    <w:uiPriority w:val="9"/>
    <w:unhideWhenUsed/>
    <w:qFormat/>
    <w:pPr>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3">
    <w:name w:val="Plain Table 3"/>
    <w:basedOn w:val="TableNormal"/>
    <w:uiPriority w:val="43"/>
    <w:rsid w:val="000F5F0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45A6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45A6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odyText">
    <w:name w:val="Body Text"/>
    <w:basedOn w:val="Normal"/>
    <w:link w:val="BodyTextChar"/>
    <w:qFormat/>
    <w:rsid w:val="00A45A65"/>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A45A65"/>
    <w:rPr>
      <w:rFonts w:asciiTheme="minorHAnsi" w:eastAsiaTheme="minorHAnsi" w:hAnsiTheme="minorHAnsi" w:cstheme="minorBidi"/>
      <w:sz w:val="24"/>
      <w:szCs w:val="24"/>
    </w:rPr>
  </w:style>
  <w:style w:type="table" w:styleId="PlainTable2">
    <w:name w:val="Plain Table 2"/>
    <w:basedOn w:val="TableNormal"/>
    <w:uiPriority w:val="42"/>
    <w:rsid w:val="005C77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9D1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s://doi.org/10.3390/rs70302971" TargetMode="External"/><Relationship Id="rId21" Type="http://schemas.openxmlformats.org/officeDocument/2006/relationships/image" Target="media/image14.jpg"/><Relationship Id="rId34" Type="http://schemas.openxmlformats.org/officeDocument/2006/relationships/hyperlink" Target="https://doi.org/10.1051/e3sconf/20185002009" TargetMode="External"/><Relationship Id="rId42" Type="http://schemas.openxmlformats.org/officeDocument/2006/relationships/hyperlink" Target="https://doi.org/10.3390/rs12101687" TargetMode="External"/><Relationship Id="rId47" Type="http://schemas.openxmlformats.org/officeDocument/2006/relationships/theme" Target="theme/theme1.xml"/><Relationship Id="rId7" Type="http://schemas.openxmlformats.org/officeDocument/2006/relationships/hyperlink" Target="halilu.175366@e.unavarra.es" TargetMode="Externa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hyperlink" Target="https://doi.org/10.3390/insects14030270" TargetMode="External"/><Relationship Id="rId1" Type="http://schemas.openxmlformats.org/officeDocument/2006/relationships/customXml" Target="../customXml/item1.xml"/><Relationship Id="rId6" Type="http://schemas.openxmlformats.org/officeDocument/2006/relationships/hyperlink" Target="mailto:halilunaziru73@gmail.com" TargetMode="Externa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yperlink" Target="https://doi.org/10.1145/2939672.2939785" TargetMode="External"/><Relationship Id="rId37" Type="http://schemas.openxmlformats.org/officeDocument/2006/relationships/hyperlink" Target="https://doi.org/10.3390/s18082674" TargetMode="External"/><Relationship Id="rId40" Type="http://schemas.openxmlformats.org/officeDocument/2006/relationships/hyperlink" Target="https://www.usgs.gov/landsat-missions" TargetMode="External"/><Relationship Id="rId45" Type="http://schemas.openxmlformats.org/officeDocument/2006/relationships/hyperlink" Target="https://doi.org/10.1002/9781118786352.wbieg0066"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s://doi.org/10.1016/j.cageo.2007.05.001"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yperlink" Target="https://doi.org/10.3390/s24123958" TargetMode="External"/><Relationship Id="rId44" Type="http://schemas.openxmlformats.org/officeDocument/2006/relationships/hyperlink" Target="https://doi.org/10.1016/S0065-2113(08)60673-2"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yperlink" Target="https://doi.org/10.1023/A:1010933404324" TargetMode="External"/><Relationship Id="rId35" Type="http://schemas.openxmlformats.org/officeDocument/2006/relationships/hyperlink" Target="https://doi.org/10.1214/aos/1013203451" TargetMode="External"/><Relationship Id="rId43" Type="http://schemas.openxmlformats.org/officeDocument/2006/relationships/hyperlink" Target="https://doi.org/10.1007/s11119-015-9417-6"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doi.org/10.1016/j.compag.2018.05.012" TargetMode="External"/><Relationship Id="rId38" Type="http://schemas.openxmlformats.org/officeDocument/2006/relationships/hyperlink" Target="https://doi.org/10.2147/IJWR.S69405" TargetMode="External"/><Relationship Id="rId46"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hyperlink" Target="https://doi.org/10.1007/s11356-024-3398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6F22C-0B9C-4BB7-AC08-FCA122597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28</Pages>
  <Words>11118</Words>
  <Characters>63375</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Naziru Halilu</cp:lastModifiedBy>
  <cp:revision>14</cp:revision>
  <dcterms:created xsi:type="dcterms:W3CDTF">2026-07-26T06:24:00Z</dcterms:created>
  <dcterms:modified xsi:type="dcterms:W3CDTF">2026-07-26T06:49:00Z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69023776-94bd-4af4-a9d4-42f79ab521f0</vt:lpwstr>
  </property>
</Properties>
</file>