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A7F1B" w14:textId="77777777" w:rsidR="00DA00EE" w:rsidRPr="00E32832" w:rsidRDefault="00F84C4B" w:rsidP="00170333">
      <w:pPr>
        <w:jc w:val="center"/>
        <w:rPr>
          <w:rFonts w:ascii="Times New Roman" w:hAnsi="Times New Roman" w:cs="Times New Roman"/>
        </w:rPr>
      </w:pPr>
      <w:r>
        <w:rPr>
          <w:rFonts w:ascii="Times New Roman" w:hAnsi="Times New Roman" w:cs="Times New Roman"/>
          <w:b/>
          <w:bCs/>
        </w:rPr>
        <w:t>Real Time RGB Proxy Vegetation Indexing and Texture Analysis for UAV and Handheld Crop Imagery</w:t>
      </w:r>
    </w:p>
    <w:p w14:paraId="35CAEF9F" w14:textId="77777777" w:rsidR="00DA00EE" w:rsidRPr="00E32832" w:rsidRDefault="00F84C4B" w:rsidP="00170333">
      <w:pPr>
        <w:pStyle w:val="BodyText"/>
        <w:jc w:val="center"/>
        <w:rPr>
          <w:rFonts w:ascii="Times New Roman" w:hAnsi="Times New Roman" w:cs="Times New Roman"/>
          <w:b/>
          <w:bCs/>
        </w:rPr>
      </w:pPr>
      <w:r>
        <w:rPr>
          <w:rFonts w:ascii="Times New Roman" w:hAnsi="Times New Roman" w:cs="Times New Roman"/>
          <w:b/>
          <w:bCs/>
        </w:rPr>
        <w:t>Naziru Halilu</w:t>
      </w:r>
      <w:r>
        <w:rPr>
          <w:rFonts w:ascii="Times New Roman" w:hAnsi="Times New Roman" w:cs="Times New Roman"/>
          <w:b/>
          <w:bCs/>
          <w:vertAlign w:val="superscript"/>
        </w:rPr>
        <w:t>a,b,c</w:t>
      </w:r>
      <w:r>
        <w:rPr>
          <w:rFonts w:ascii="Times New Roman" w:hAnsi="Times New Roman" w:cs="Times New Roman"/>
          <w:b/>
          <w:bCs/>
        </w:rPr>
        <w:t>*, Juwairiyyah Sulaiman</w:t>
      </w:r>
      <w:r>
        <w:rPr>
          <w:rFonts w:ascii="Times New Roman" w:hAnsi="Times New Roman" w:cs="Times New Roman"/>
          <w:b/>
          <w:bCs/>
          <w:vertAlign w:val="superscript"/>
        </w:rPr>
        <w:t>d</w:t>
      </w:r>
    </w:p>
    <w:p w14:paraId="4557852C" w14:textId="1AA4BCCC" w:rsidR="00BA5D5D" w:rsidRPr="0036780D" w:rsidRDefault="00BA5D5D" w:rsidP="00170333">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vertAlign w:val="superscript"/>
        </w:rPr>
        <w:t>a</w:t>
      </w:r>
      <w:r>
        <w:rPr>
          <w:rFonts w:ascii="Times New Roman" w:hAnsi="Times New Roman" w:cs="Times New Roman"/>
          <w:sz w:val="20"/>
          <w:szCs w:val="20"/>
        </w:rPr>
        <w:t xml:space="preserve"> Department of Agricultural and Bio Resources Engineering, Faculty of Engineering, Ahmadu    Bello University, Zaria 810107, Nigeria</w:t>
      </w:r>
    </w:p>
    <w:p w14:paraId="499CBDBA" w14:textId="77777777" w:rsidR="00BA5D5D" w:rsidRPr="0036780D" w:rsidRDefault="00BA5D5D" w:rsidP="00170333">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vertAlign w:val="superscript"/>
        </w:rPr>
        <w:t>b</w:t>
      </w:r>
      <w:r>
        <w:rPr>
          <w:rFonts w:ascii="Times New Roman" w:hAnsi="Times New Roman" w:cs="Times New Roman"/>
          <w:sz w:val="20"/>
          <w:szCs w:val="20"/>
        </w:rPr>
        <w:t xml:space="preserve"> Higher Technical School of Agricultural Engineering and Bioscience, Public University of Navarre, Pamplona 31006, Spain</w:t>
      </w:r>
    </w:p>
    <w:p w14:paraId="1D27731F" w14:textId="77777777" w:rsidR="00BA5D5D" w:rsidRPr="0036780D" w:rsidRDefault="00BA5D5D" w:rsidP="00170333">
      <w:pPr>
        <w:pStyle w:val="BodyText"/>
        <w:spacing w:before="0" w:after="0"/>
        <w:jc w:val="center"/>
        <w:rPr>
          <w:rFonts w:ascii="Times New Roman" w:hAnsi="Times New Roman" w:cs="Times New Roman"/>
          <w:sz w:val="20"/>
          <w:szCs w:val="20"/>
          <w:lang w:val="pt-BR"/>
        </w:rPr>
      </w:pPr>
      <w:r>
        <w:rPr>
          <w:rFonts w:ascii="Times New Roman" w:hAnsi="Times New Roman" w:cs="Times New Roman"/>
          <w:sz w:val="20"/>
          <w:szCs w:val="20"/>
          <w:vertAlign w:val="superscript"/>
          <w:lang w:val="pt-BR"/>
        </w:rPr>
        <w:t>c</w:t>
      </w:r>
      <w:r>
        <w:rPr>
          <w:rFonts w:ascii="Times New Roman" w:hAnsi="Times New Roman" w:cs="Times New Roman"/>
          <w:sz w:val="20"/>
          <w:szCs w:val="20"/>
          <w:lang w:val="pt-BR"/>
        </w:rPr>
        <w:t xml:space="preserve"> University of Trás os Montes and Alto Douro, Vila Real 5000 801, Portugal</w:t>
      </w:r>
    </w:p>
    <w:p w14:paraId="0D782AFB" w14:textId="77777777" w:rsidR="00BA5D5D" w:rsidRPr="0036780D" w:rsidRDefault="00BA5D5D" w:rsidP="00170333">
      <w:pPr>
        <w:pStyle w:val="BodyText"/>
        <w:spacing w:before="0" w:after="0"/>
        <w:jc w:val="center"/>
        <w:rPr>
          <w:rFonts w:ascii="Times New Roman" w:hAnsi="Times New Roman" w:cs="Times New Roman"/>
          <w:sz w:val="20"/>
          <w:szCs w:val="20"/>
        </w:rPr>
      </w:pPr>
      <w:r>
        <w:rPr>
          <w:rFonts w:ascii="Times New Roman" w:hAnsi="Times New Roman" w:cs="Times New Roman"/>
          <w:sz w:val="20"/>
          <w:szCs w:val="20"/>
          <w:vertAlign w:val="superscript"/>
        </w:rPr>
        <w:t>d</w:t>
      </w:r>
      <w:r>
        <w:rPr>
          <w:rFonts w:ascii="Times New Roman" w:hAnsi="Times New Roman" w:cs="Times New Roman"/>
          <w:sz w:val="20"/>
          <w:szCs w:val="20"/>
        </w:rPr>
        <w:t xml:space="preserve"> Federal University Dutse, 720221, Nigeria</w:t>
      </w:r>
    </w:p>
    <w:p w14:paraId="14D90CDF" w14:textId="59218429" w:rsidR="00DA00EE" w:rsidRPr="0036780D" w:rsidRDefault="00F84C4B" w:rsidP="00386AB4">
      <w:pPr>
        <w:pStyle w:val="BodyText"/>
        <w:pBdr>
          <w:bottom w:val="single" w:sz="4" w:space="1" w:color="auto"/>
        </w:pBdr>
        <w:jc w:val="both"/>
        <w:rPr>
          <w:rFonts w:ascii="Times New Roman" w:hAnsi="Times New Roman" w:cs="Times New Roman"/>
          <w:sz w:val="20"/>
          <w:szCs w:val="20"/>
        </w:rPr>
      </w:pPr>
      <w:r>
        <w:rPr>
          <w:rFonts w:ascii="Times New Roman" w:hAnsi="Times New Roman" w:cs="Times New Roman"/>
          <w:sz w:val="20"/>
          <w:szCs w:val="20"/>
        </w:rPr>
        <w:t xml:space="preserve">*Corresponding author: </w:t>
      </w:r>
      <w:hyperlink r:id="rId8" w:history="1">
        <w:r>
          <w:rPr>
            <w:rStyle w:val="Hyperlink"/>
            <w:rFonts w:ascii="Times New Roman" w:hAnsi="Times New Roman" w:cs="Times New Roman"/>
            <w:sz w:val="20"/>
            <w:szCs w:val="20"/>
          </w:rPr>
          <w:t>halilu.175366@e.unavarra.es</w:t>
        </w:r>
      </w:hyperlink>
      <w:r w:rsidR="00CA0C56">
        <w:t>/</w:t>
      </w:r>
      <w:hyperlink r:id="rId9" w:history="1">
        <w:r w:rsidR="00CA0C56" w:rsidRPr="00E76284">
          <w:rPr>
            <w:rStyle w:val="Hyperlink"/>
            <w:rFonts w:ascii="Times New Roman" w:hAnsi="Times New Roman" w:cs="Times New Roman"/>
          </w:rPr>
          <w:t>halilunaziru73@gmail.com</w:t>
        </w:r>
      </w:hyperlink>
    </w:p>
    <w:p w14:paraId="65CF80B4" w14:textId="77777777" w:rsidR="00DA00EE" w:rsidRPr="00E32832" w:rsidRDefault="00F84C4B" w:rsidP="00BA5D5D">
      <w:pPr>
        <w:pStyle w:val="Heading2"/>
        <w:jc w:val="both"/>
        <w:rPr>
          <w:rFonts w:ascii="Times New Roman" w:hAnsi="Times New Roman" w:cs="Times New Roman"/>
          <w:color w:val="auto"/>
          <w:sz w:val="18"/>
          <w:szCs w:val="18"/>
        </w:rPr>
      </w:pPr>
      <w:bookmarkStart w:id="0" w:name="_Toc234738388"/>
      <w:bookmarkStart w:id="1" w:name="abstract"/>
      <w:r>
        <w:rPr>
          <w:rFonts w:ascii="Times New Roman" w:hAnsi="Times New Roman" w:cs="Times New Roman"/>
          <w:color w:val="auto"/>
          <w:sz w:val="18"/>
          <w:szCs w:val="18"/>
        </w:rPr>
        <w:t>Abstract</w:t>
      </w:r>
      <w:bookmarkEnd w:id="0"/>
    </w:p>
    <w:p w14:paraId="6F6EE876" w14:textId="04806AEE" w:rsidR="00313797" w:rsidRDefault="00313797" w:rsidP="00386AB4">
      <w:pPr>
        <w:pStyle w:val="BodyText"/>
        <w:pBdr>
          <w:bottom w:val="single" w:sz="4" w:space="1" w:color="auto"/>
        </w:pBdr>
        <w:jc w:val="both"/>
        <w:rPr>
          <w:rFonts w:ascii="Times New Roman" w:hAnsi="Times New Roman" w:cs="Times New Roman"/>
          <w:sz w:val="18"/>
          <w:szCs w:val="18"/>
        </w:rPr>
      </w:pPr>
      <w:r>
        <w:rPr>
          <w:rFonts w:ascii="Times New Roman" w:hAnsi="Times New Roman" w:cs="Times New Roman"/>
          <w:sz w:val="18"/>
          <w:szCs w:val="18"/>
        </w:rPr>
        <w:t>This paper introduces N_GACL, an open-source desktop software pipeline designed for low-resource exploratory agronomic image analysis, featuring a dual-interface GUI (PyQt6 GIS-style and Tkinter classic). Built around a streaming, memory-bounded batch aligner, N_GACL integrates a fully labeled RGB proxy vegetation index family, multispectral NDVI/NDRE support, and GLCM texture extraction alongside classical machine learning baselines (PCA, KNN, K-Means) and optional pretrained deep learning inference (ResNet101/Faster R-CNN). We provide the complete mathematical formulation for all fourteen analysis modules and validate pipeline execution through procedural demonstration imagery and real user-session auditing. To demonstrate deployment utility, an eight-model benchmark was executed across two datasets. A 20,000-row reference dataset served as a negative control, confirming baseline architectural integrity at chance level. On an independent validation set of 1,543 real crop-disease photographs across 22 classes, classical features extracted by the pipeline achieved a 33.8% balanced accuracy against a 4.55% chance baseline, a result that remained stable after removing augmented data. Finally, to combat metric inflation and silent failures in agricultural decision-support systems, we introduce the Verifiable Reporting Framework (VRF) a source-code auditable checklist that ensures strict data fidelity and transparent metric reporting. N_GACL offers a reproducible, accessible framework for field-level agronomic computer vision.</w:t>
      </w:r>
    </w:p>
    <w:p w14:paraId="084156F2" w14:textId="2A53E46D" w:rsidR="00DA00EE" w:rsidRPr="00E32832" w:rsidRDefault="00F84C4B" w:rsidP="00386AB4">
      <w:pPr>
        <w:pStyle w:val="BodyText"/>
        <w:pBdr>
          <w:bottom w:val="single" w:sz="4" w:space="1" w:color="auto"/>
        </w:pBdr>
        <w:jc w:val="both"/>
        <w:rPr>
          <w:rFonts w:ascii="Times New Roman" w:hAnsi="Times New Roman" w:cs="Times New Roman"/>
          <w:sz w:val="18"/>
          <w:szCs w:val="18"/>
        </w:rPr>
      </w:pPr>
      <w:r>
        <w:rPr>
          <w:rFonts w:ascii="Times New Roman" w:hAnsi="Times New Roman" w:cs="Times New Roman"/>
          <w:b/>
          <w:bCs/>
          <w:sz w:val="18"/>
          <w:szCs w:val="18"/>
        </w:rPr>
        <w:t>Keywords:</w:t>
      </w:r>
      <w:r>
        <w:rPr>
          <w:rFonts w:ascii="Times New Roman" w:hAnsi="Times New Roman" w:cs="Times New Roman"/>
          <w:sz w:val="18"/>
          <w:szCs w:val="18"/>
        </w:rPr>
        <w:t xml:space="preserve"> RGB proxy vegetation indices; GLCM texture; streaming image registration; precision agriculture; reproducibility</w:t>
      </w:r>
    </w:p>
    <w:p w14:paraId="4DB148DF" w14:textId="17493D4D" w:rsidR="00DA00EE" w:rsidRPr="00E32832" w:rsidRDefault="00DA00EE" w:rsidP="00386AB4">
      <w:pPr>
        <w:jc w:val="both"/>
        <w:rPr>
          <w:rFonts w:ascii="Times New Roman" w:hAnsi="Times New Roman" w:cs="Times New Roman"/>
          <w:sz w:val="18"/>
          <w:szCs w:val="18"/>
        </w:rPr>
        <w:sectPr w:rsidR="00DA00EE" w:rsidRPr="00E32832">
          <w:footerReference w:type="default" r:id="rId10"/>
          <w:type w:val="continuous"/>
          <w:pgSz w:w="11906" w:h="16838"/>
          <w:pgMar w:top="1440" w:right="1080" w:bottom="1440" w:left="1080" w:header="708" w:footer="708" w:gutter="0"/>
          <w:cols w:space="708"/>
          <w:docGrid w:linePitch="360"/>
        </w:sectPr>
      </w:pPr>
    </w:p>
    <w:p w14:paraId="25456D61" w14:textId="77777777" w:rsidR="00DA00EE" w:rsidRPr="00E32832" w:rsidRDefault="00F84C4B" w:rsidP="00BA5D5D">
      <w:pPr>
        <w:pStyle w:val="Heading2"/>
        <w:jc w:val="both"/>
        <w:rPr>
          <w:rFonts w:ascii="Times New Roman" w:hAnsi="Times New Roman" w:cs="Times New Roman"/>
          <w:color w:val="auto"/>
          <w:sz w:val="18"/>
          <w:szCs w:val="18"/>
        </w:rPr>
      </w:pPr>
      <w:bookmarkStart w:id="2" w:name="_Toc234738389"/>
      <w:bookmarkStart w:id="3" w:name="introduction"/>
      <w:bookmarkEnd w:id="1"/>
      <w:r>
        <w:rPr>
          <w:rFonts w:ascii="Times New Roman" w:hAnsi="Times New Roman" w:cs="Times New Roman"/>
          <w:color w:val="auto"/>
          <w:sz w:val="18"/>
          <w:szCs w:val="18"/>
        </w:rPr>
        <w:t>1. Introduction</w:t>
      </w:r>
      <w:bookmarkEnd w:id="2"/>
    </w:p>
    <w:p w14:paraId="7381D7F6" w14:textId="77777777" w:rsidR="00DA00EE" w:rsidRPr="00E32832" w:rsidRDefault="00F84C4B" w:rsidP="00BA5D5D">
      <w:pPr>
        <w:pStyle w:val="Heading3"/>
        <w:jc w:val="both"/>
        <w:rPr>
          <w:rFonts w:ascii="Times New Roman" w:hAnsi="Times New Roman" w:cs="Times New Roman"/>
          <w:color w:val="auto"/>
          <w:sz w:val="18"/>
          <w:szCs w:val="18"/>
        </w:rPr>
      </w:pPr>
      <w:bookmarkStart w:id="4" w:name="_Toc234738390"/>
      <w:bookmarkStart w:id="5" w:name="X3b36e4e8c0934d73c172f9a24832b1a375452fc"/>
      <w:r>
        <w:rPr>
          <w:rFonts w:ascii="Times New Roman" w:hAnsi="Times New Roman" w:cs="Times New Roman"/>
          <w:color w:val="auto"/>
          <w:sz w:val="18"/>
          <w:szCs w:val="18"/>
        </w:rPr>
        <w:t>1.0 Motivation: the scale of the crop pathology problem and the promise of image based diagnosis</w:t>
      </w:r>
      <w:bookmarkEnd w:id="4"/>
    </w:p>
    <w:p w14:paraId="5746DB45" w14:textId="144872BA"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Plant pests and diseases are estimated by the Food and Agriculture Organization of the United Nations to destroy between 20% and 40% of global crop production every year (</w:t>
      </w:r>
      <w:hyperlink w:anchor="ref-fao2021">
        <w:r>
          <w:rPr>
            <w:rStyle w:val="Hyperlink"/>
            <w:rFonts w:ascii="Times New Roman" w:hAnsi="Times New Roman" w:cs="Times New Roman"/>
            <w:sz w:val="18"/>
            <w:szCs w:val="18"/>
          </w:rPr>
          <w:t>FAO 2021</w:t>
        </w:r>
      </w:hyperlink>
      <w:r>
        <w:rPr>
          <w:rFonts w:ascii="Times New Roman" w:hAnsi="Times New Roman" w:cs="Times New Roman"/>
          <w:sz w:val="18"/>
          <w:szCs w:val="18"/>
        </w:rPr>
        <w:t>), a loss the FAO separately prices at approximately US$220 billion annually in direct crop damage plus a further US$70 billion attributable to invasive pests alone (</w:t>
      </w:r>
      <w:hyperlink w:anchor="ref-fao2019">
        <w:r>
          <w:rPr>
            <w:rStyle w:val="Hyperlink"/>
            <w:rFonts w:ascii="Times New Roman" w:hAnsi="Times New Roman" w:cs="Times New Roman"/>
            <w:sz w:val="18"/>
            <w:szCs w:val="18"/>
          </w:rPr>
          <w:t>FAO 2019</w:t>
        </w:r>
      </w:hyperlink>
      <w:r>
        <w:rPr>
          <w:rFonts w:ascii="Times New Roman" w:hAnsi="Times New Roman" w:cs="Times New Roman"/>
          <w:sz w:val="18"/>
          <w:szCs w:val="18"/>
        </w:rPr>
        <w:t xml:space="preserve">, </w:t>
      </w:r>
      <w:hyperlink w:anchor="ref-fao2025">
        <w:r>
          <w:rPr>
            <w:rStyle w:val="Hyperlink"/>
            <w:rFonts w:ascii="Times New Roman" w:hAnsi="Times New Roman" w:cs="Times New Roman"/>
            <w:sz w:val="18"/>
            <w:szCs w:val="18"/>
          </w:rPr>
          <w:t>2025</w:t>
        </w:r>
      </w:hyperlink>
      <w:r>
        <w:rPr>
          <w:rFonts w:ascii="Times New Roman" w:hAnsi="Times New Roman" w:cs="Times New Roman"/>
          <w:sz w:val="18"/>
          <w:szCs w:val="18"/>
        </w:rPr>
        <w:t>). Independent epidemiological synthesis places the pre harvest burden of pathogens, animal pests, and weeds on the world’s five most important staple crops at a broadly consistent 10–40% of attainable yield depending on crop and region (</w:t>
      </w:r>
      <w:hyperlink w:anchor="ref-savary2019">
        <w:r>
          <w:rPr>
            <w:rStyle w:val="Hyperlink"/>
            <w:rFonts w:ascii="Times New Roman" w:hAnsi="Times New Roman" w:cs="Times New Roman"/>
            <w:sz w:val="18"/>
            <w:szCs w:val="18"/>
          </w:rPr>
          <w:t>Savary et al. 2019</w:t>
        </w:r>
      </w:hyperlink>
      <w:r>
        <w:rPr>
          <w:rFonts w:ascii="Times New Roman" w:hAnsi="Times New Roman" w:cs="Times New Roman"/>
          <w:sz w:val="18"/>
          <w:szCs w:val="18"/>
        </w:rPr>
        <w:t>), and this burden is projected to worsen under climate change, since rising temperatures widen the geographic range, reproductive rate, and overwintering survival of many agricultural insect pests (</w:t>
      </w:r>
      <w:hyperlink w:anchor="ref-skendzic2021">
        <w:hyperlink w:anchor="ref-skendzic2021">
          <w:r>
            <w:rPr>
              <w:rStyle w:val="Hyperlink"/>
              <w:rFonts w:ascii="Times New Roman" w:hAnsi="Times New Roman" w:cs="Times New Roman"/>
              <w:sz w:val="18"/>
              <w:szCs w:val="18"/>
            </w:rPr>
            <w:t>Skendžić et al. 2021</w:t>
          </w:r>
        </w:hyperlink>
      </w:hyperlink>
      <w:r>
        <w:rPr>
          <w:rFonts w:ascii="Times New Roman" w:hAnsi="Times New Roman" w:cs="Times New Roman"/>
          <w:sz w:val="18"/>
          <w:szCs w:val="18"/>
        </w:rPr>
        <w:t>). Because more than half of the calories consumed worldwide come from a small number of staple “mega crops”  rice, wheat, and maize  pathogen outbreaks in any one of these systems carry outsized food security consequences (</w:t>
      </w:r>
      <w:hyperlink w:anchor="ref-fao2021">
        <w:r>
          <w:rPr>
            <w:rStyle w:val="Hyperlink"/>
            <w:rFonts w:ascii="Times New Roman" w:hAnsi="Times New Roman" w:cs="Times New Roman"/>
            <w:sz w:val="18"/>
            <w:szCs w:val="18"/>
          </w:rPr>
          <w:t>FAO 2021</w:t>
        </w:r>
      </w:hyperlink>
      <w:r>
        <w:rPr>
          <w:rFonts w:ascii="Times New Roman" w:hAnsi="Times New Roman" w:cs="Times New Roman"/>
          <w:sz w:val="18"/>
          <w:szCs w:val="18"/>
        </w:rPr>
        <w:t>), a concern sharpened by recent estimates that between 638 and 720 million people faced hunger globally in 2024 (</w:t>
      </w:r>
      <w:hyperlink w:anchor="ref-fao2025">
        <w:r>
          <w:rPr>
            <w:rStyle w:val="Hyperlink"/>
            <w:rFonts w:ascii="Times New Roman" w:hAnsi="Times New Roman" w:cs="Times New Roman"/>
            <w:sz w:val="18"/>
            <w:szCs w:val="18"/>
          </w:rPr>
          <w:t>FAO 2025</w:t>
        </w:r>
      </w:hyperlink>
      <w:r>
        <w:rPr>
          <w:rFonts w:ascii="Times New Roman" w:hAnsi="Times New Roman" w:cs="Times New Roman"/>
          <w:sz w:val="18"/>
          <w:szCs w:val="18"/>
        </w:rPr>
        <w:t>).</w:t>
      </w:r>
    </w:p>
    <w:p w14:paraId="5456DD47"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Timely, field level diagnosis is the standard first line of response to this burden, yet conventional diagnosis by expert pathologists or extension agents does not scale to smallholder agriculture in low resource regions, motivating two decades of work on automated, image based plant disease identification (</w:t>
      </w:r>
      <w:hyperlink w:anchor="ref-mohanty2016">
        <w:r>
          <w:rPr>
            <w:rStyle w:val="Hyperlink"/>
            <w:rFonts w:ascii="Times New Roman" w:hAnsi="Times New Roman" w:cs="Times New Roman"/>
            <w:sz w:val="18"/>
            <w:szCs w:val="18"/>
          </w:rPr>
          <w:t>Mohanty, Hughes, and Salathé 2016</w:t>
        </w:r>
      </w:hyperlink>
      <w:r>
        <w:rPr>
          <w:rFonts w:ascii="Times New Roman" w:hAnsi="Times New Roman" w:cs="Times New Roman"/>
          <w:sz w:val="18"/>
          <w:szCs w:val="18"/>
        </w:rPr>
        <w:t xml:space="preserve">). The foundational large scale demonstration of this idea trained a deep convolutional network on the 54,306 image PlantVillage benchmark spanning 14 crop species and 26 disease categories (plus healthy controls), </w:t>
      </w:r>
      <w:r>
        <w:rPr>
          <w:rFonts w:ascii="Times New Roman" w:hAnsi="Times New Roman" w:cs="Times New Roman"/>
          <w:sz w:val="18"/>
          <w:szCs w:val="18"/>
        </w:rPr>
        <w:t>reporting 99.35% held out accuracy and explicitly framing smartphone assisted diagnosis as a path to “massive global scale” deployment (</w:t>
      </w:r>
      <w:hyperlink w:anchor="ref-mohanty2016">
        <w:r>
          <w:rPr>
            <w:rStyle w:val="Hyperlink"/>
            <w:rFonts w:ascii="Times New Roman" w:hAnsi="Times New Roman" w:cs="Times New Roman"/>
            <w:sz w:val="18"/>
            <w:szCs w:val="18"/>
          </w:rPr>
          <w:t>Mohanty, Hughes, and Salathé 2016</w:t>
        </w:r>
      </w:hyperlink>
      <w:r>
        <w:rPr>
          <w:rFonts w:ascii="Times New Roman" w:hAnsi="Times New Roman" w:cs="Times New Roman"/>
          <w:sz w:val="18"/>
          <w:szCs w:val="18"/>
        </w:rPr>
        <w:t>). This result catalysed a large downstream literature on mobile and edge deployed plant disease classifiers: a Faster R CNN detector with an Inception v2 backbone achieving high on device accuracy without server connectivity for grape disease images; a cassava disease mobile classifier validated directly in East African smallholder fields (</w:t>
      </w:r>
      <w:hyperlink w:anchor="ref-ramcharan2019">
        <w:r>
          <w:rPr>
            <w:rStyle w:val="Hyperlink"/>
            <w:rFonts w:ascii="Times New Roman" w:hAnsi="Times New Roman" w:cs="Times New Roman"/>
            <w:sz w:val="18"/>
            <w:szCs w:val="18"/>
          </w:rPr>
          <w:t>Ramcharan et al. 2019</w:t>
        </w:r>
      </w:hyperlink>
      <w:r>
        <w:rPr>
          <w:rFonts w:ascii="Times New Roman" w:hAnsi="Times New Roman" w:cs="Times New Roman"/>
          <w:sz w:val="18"/>
          <w:szCs w:val="18"/>
        </w:rPr>
        <w:t>); citizen science deployments such as Plantix, which collected approximately 78,000 georeferenced smartphone images of pests and disease symptoms in the Southern Amazon between 2016 and 2020 and used them to derive spatial yield loss estimates for maize and soybean (</w:t>
      </w:r>
      <w:hyperlink w:anchor="ref-hampf2021">
        <w:hyperlink w:anchor="ref-hampf2021">
          <w:r>
            <w:rPr>
              <w:rStyle w:val="Hyperlink"/>
              <w:rFonts w:ascii="Times New Roman" w:hAnsi="Times New Roman" w:cs="Times New Roman"/>
              <w:sz w:val="18"/>
              <w:szCs w:val="18"/>
            </w:rPr>
            <w:t>Hampf et al. 2021</w:t>
          </w:r>
        </w:hyperlink>
      </w:hyperlink>
      <w:r>
        <w:rPr>
          <w:rFonts w:ascii="Times New Roman" w:hAnsi="Times New Roman" w:cs="Times New Roman"/>
          <w:sz w:val="18"/>
          <w:szCs w:val="18"/>
        </w:rPr>
        <w:t>); and systematic evaluations of commercially available plant disease detection mobile applications have catalogued substantial variability in the underlying models’ quality and transparency across apps.</w:t>
      </w:r>
    </w:p>
    <w:p w14:paraId="2373C642" w14:textId="38CBF84C"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Despite these successes, a recurring and increasingly explicit finding across this same literature is that benchmark accuracy trained and measured on curated datasets such as PlantVillage does not reliably transfer to real, uncurated field conditions: a comprehensive 2025 review of machine learning and deep learning based plant disease detection concludes plainly that key challenges remain, including limited dataset diversity, poor model generalization across environments, and reduced performance under real field conditions. This is not a plant pathology specific artefact; it is an instance of the general domain generalisation and distribution shift problem extensively documented in the broader computer vision literature, under which models trained under an i.i.d. assumption on a source distribution suffer significant, well documented performance drops when deployed on out of distribution target data (</w:t>
      </w:r>
      <w:hyperlink w:anchor="ref-zhou2021">
        <w:r>
          <w:rPr>
            <w:rStyle w:val="Hyperlink"/>
            <w:rFonts w:ascii="Times New Roman" w:hAnsi="Times New Roman" w:cs="Times New Roman"/>
            <w:sz w:val="18"/>
            <w:szCs w:val="18"/>
          </w:rPr>
          <w:t>Zhou et al. 2021</w:t>
        </w:r>
      </w:hyperlink>
      <w:r>
        <w:rPr>
          <w:rFonts w:ascii="Times New Roman" w:hAnsi="Times New Roman" w:cs="Times New Roman"/>
          <w:sz w:val="18"/>
          <w:szCs w:val="18"/>
        </w:rPr>
        <w:t xml:space="preserve">). It is precisely this gap  between benchmark measured accuracy and real world, cross </w:t>
      </w:r>
      <w:r>
        <w:rPr>
          <w:rFonts w:ascii="Times New Roman" w:hAnsi="Times New Roman" w:cs="Times New Roman"/>
          <w:sz w:val="18"/>
          <w:szCs w:val="18"/>
        </w:rPr>
        <w:lastRenderedPageBreak/>
        <w:t>condition, cross crop reliability  that motivates both this paper’s classical CV pipeline (Sections 3–6), which never claims more cross condition robustness than it has actually measured, and a companion manuscript describing GACL, a hypergraph transformer architecture that targets geometry and domain invariant representation learning for exactly this cross pathology, cross acquisition condition transfer problem, with its empirical validation status reported to the same honesty standard: implemented and code verified, not yet validated against real pathology data.</w:t>
      </w:r>
    </w:p>
    <w:p w14:paraId="2B89A72C" w14:textId="77777777" w:rsidR="00DA00EE" w:rsidRPr="00E32832" w:rsidRDefault="00F84C4B" w:rsidP="00BA5D5D">
      <w:pPr>
        <w:pStyle w:val="Heading3"/>
        <w:jc w:val="both"/>
        <w:rPr>
          <w:rFonts w:ascii="Times New Roman" w:hAnsi="Times New Roman" w:cs="Times New Roman"/>
          <w:color w:val="auto"/>
          <w:sz w:val="18"/>
          <w:szCs w:val="18"/>
        </w:rPr>
      </w:pPr>
      <w:bookmarkStart w:id="6" w:name="_Toc234738391"/>
      <w:bookmarkStart w:id="7" w:name="X2001d7546f893c6b93167417215aa9efd8daf51"/>
      <w:bookmarkEnd w:id="5"/>
      <w:r>
        <w:rPr>
          <w:rFonts w:ascii="Times New Roman" w:hAnsi="Times New Roman" w:cs="Times New Roman"/>
          <w:color w:val="auto"/>
          <w:sz w:val="18"/>
          <w:szCs w:val="18"/>
        </w:rPr>
        <w:t>1.1 The reproducibility gap in agronomic image analysis software</w:t>
      </w:r>
      <w:bookmarkEnd w:id="6"/>
    </w:p>
    <w:p w14:paraId="5ADF0A9D" w14:textId="06CC2091"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Precision agriculture image analysis has, over the past six years, moved from a niche research activity into a crowded software category populated by mobile apps, drone mapping suites, and increasingly, deep learning based diagnostic tools that promise to identify crop diseases, quantify stress, and recommend management actions directly from a photograph. A substantial part of this literature reports classification accuracies in excess of 95% on curated leaf image benchmarks  for instance, GLCM texture features combined with a random forest classifier have been reported to reach above 98% accuracy on a cucumber leaf disease benchmark (</w:t>
      </w:r>
      <w:hyperlink w:anchor="ref-nancy2024">
        <w:r>
          <w:rPr>
            <w:rStyle w:val="Hyperlink"/>
            <w:rFonts w:ascii="Times New Roman" w:hAnsi="Times New Roman" w:cs="Times New Roman"/>
            <w:sz w:val="18"/>
            <w:szCs w:val="18"/>
          </w:rPr>
          <w:t>Nancy and Kiran 2024</w:t>
        </w:r>
      </w:hyperlink>
      <w:r>
        <w:rPr>
          <w:rFonts w:ascii="Times New Roman" w:hAnsi="Times New Roman" w:cs="Times New Roman"/>
          <w:sz w:val="18"/>
          <w:szCs w:val="18"/>
        </w:rPr>
        <w:t>), and vision transformer based models have reported accuracies above 99% on public plant disease datasets  figures that are benchmark specific and are not automatically evidence that the same pipeline will behave honestly, or even remain well defined, once real, uncurated field photographs (variable illumination, occlusion, unknown acquisition geometry) are substituted for the benchmark images. At the same time, a growing and increasingly vocal methodological literature has begun asking a different question: not “how accurate can a model be on its own benchmark,” but “how much of that accuracy, transparency, and trust actually survives contact with a real farmer, a real field, and a real camera” (</w:t>
      </w:r>
      <w:hyperlink w:anchor="ref-gardezi2023">
        <w:r>
          <w:rPr>
            <w:rStyle w:val="Hyperlink"/>
            <w:rFonts w:ascii="Times New Roman" w:hAnsi="Times New Roman" w:cs="Times New Roman"/>
            <w:sz w:val="18"/>
            <w:szCs w:val="18"/>
          </w:rPr>
          <w:t>Gardezi et al. 2023</w:t>
        </w:r>
      </w:hyperlink>
      <w:r>
        <w:rPr>
          <w:rFonts w:ascii="Times New Roman" w:hAnsi="Times New Roman" w:cs="Times New Roman"/>
          <w:sz w:val="18"/>
          <w:szCs w:val="18"/>
        </w:rPr>
        <w:t>). Interview based work with agriculture and food system researchers has documented persistent, unresolved tension around what it even means to build a trustworthy AI system for this domain, noting recurring “gray areas and contradictions that make it challenging for academic researchers to earn the trust of farmers and food producers”  trust the authors describe as foundational to any further technology adoption (</w:t>
      </w:r>
      <w:hyperlink w:anchor="ref-gardezi2023">
        <w:r>
          <w:rPr>
            <w:rStyle w:val="Hyperlink"/>
            <w:rFonts w:ascii="Times New Roman" w:hAnsi="Times New Roman" w:cs="Times New Roman"/>
            <w:color w:val="auto"/>
            <w:sz w:val="18"/>
            <w:szCs w:val="18"/>
          </w:rPr>
          <w:t>Gardezi et al. 2023</w:t>
        </w:r>
      </w:hyperlink>
      <w:r>
        <w:rPr>
          <w:rFonts w:ascii="Times New Roman" w:hAnsi="Times New Roman" w:cs="Times New Roman"/>
          <w:sz w:val="18"/>
          <w:szCs w:val="18"/>
        </w:rPr>
        <w:t>). Parallel survey work aimed specifically at dairy and row crop farmers has emphasised that explainability requirements are not uniform across users, and that the same system can be simultaneously “explainable enough” for one farmer persona and opaque for another.</w:t>
      </w:r>
    </w:p>
    <w:p w14:paraId="39A71BC0"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This paper responds to that gap from the software engineering side rather than the model architecture side. Rather than proposing a new neural network and reporting benchmark numbers, we document a desktop image analysis pipeline whose central design commitment is that no output is ever fabricated to look more capable than the underlying computation actually is. Every panel, map layer, and metric in the software is traceable to one of exactly three categories: (1) a real measurement computed directly from the pixels of the loaded image(s), from EXIF metadata, or from user entered field/sensor data; (2) a clearly labelled approximation or heuristic (an RGB proxy vegetation index, a rule based flagging threshold, a translation only image alignment); or (3) an explicit </w:t>
      </w:r>
      <w:r>
        <w:rPr>
          <w:rStyle w:val="VerbatimChar"/>
          <w:rFonts w:ascii="Times New Roman" w:hAnsi="Times New Roman" w:cs="Times New Roman"/>
          <w:sz w:val="18"/>
          <w:szCs w:val="18"/>
        </w:rPr>
        <w:t>N/A</w:t>
      </w:r>
      <w:r>
        <w:rPr>
          <w:rFonts w:ascii="Times New Roman" w:hAnsi="Times New Roman" w:cs="Times New Roman"/>
          <w:sz w:val="18"/>
          <w:szCs w:val="18"/>
        </w:rPr>
        <w:t xml:space="preserve"> / “unavailable” / “simulated demonstration” notice, issued instead of a plausible looking invented number, whenever the real computation the user might expect (a trained crop pathology classifier, a true NIR based index, a rotation and scale corrected registration) is not actually available in the current session.</w:t>
      </w:r>
    </w:p>
    <w:p w14:paraId="5AE0721C" w14:textId="77777777" w:rsidR="00DA00EE" w:rsidRPr="00E32832" w:rsidRDefault="00F84C4B" w:rsidP="00BA5D5D">
      <w:pPr>
        <w:pStyle w:val="Heading3"/>
        <w:jc w:val="both"/>
        <w:rPr>
          <w:rFonts w:ascii="Times New Roman" w:hAnsi="Times New Roman" w:cs="Times New Roman"/>
          <w:color w:val="auto"/>
          <w:sz w:val="18"/>
          <w:szCs w:val="18"/>
        </w:rPr>
      </w:pPr>
      <w:bookmarkStart w:id="8" w:name="_Toc234738392"/>
      <w:bookmarkStart w:id="9" w:name="why-this-distinction-matters"/>
      <w:bookmarkEnd w:id="7"/>
      <w:r>
        <w:rPr>
          <w:rFonts w:ascii="Times New Roman" w:hAnsi="Times New Roman" w:cs="Times New Roman"/>
          <w:color w:val="auto"/>
          <w:sz w:val="18"/>
          <w:szCs w:val="18"/>
        </w:rPr>
        <w:t>1.2 Why this distinction matters</w:t>
      </w:r>
      <w:bookmarkEnd w:id="8"/>
    </w:p>
    <w:p w14:paraId="6F868272" w14:textId="1B79CC51"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The distinction is not cosmetic. A substantial methodological literature on RGB proxy vegetation indices shows that channel substitution formulas (using the green or blue channel as a stand in for near infrared) can correlate usefully with true multispectral indices under favourable conditions (</w:t>
      </w:r>
      <w:hyperlink w:anchor="ref-panthakkan2025">
        <w:hyperlink w:anchor="ref-panthakkan2025">
          <w:r>
            <w:rPr>
              <w:rStyle w:val="Hyperlink"/>
              <w:rFonts w:ascii="Times New Roman" w:hAnsi="Times New Roman" w:cs="Times New Roman"/>
              <w:color w:val="auto"/>
              <w:sz w:val="18"/>
              <w:szCs w:val="18"/>
            </w:rPr>
            <w:t>Panthakkan et al. 2025</w:t>
          </w:r>
        </w:hyperlink>
      </w:hyperlink>
      <w:r>
        <w:rPr>
          <w:rFonts w:ascii="Times New Roman" w:hAnsi="Times New Roman" w:cs="Times New Roman"/>
          <w:sz w:val="18"/>
          <w:szCs w:val="18"/>
        </w:rPr>
        <w:t xml:space="preserve">; </w:t>
      </w:r>
      <w:hyperlink w:anchor="ref-zolin2025">
        <w:r>
          <w:rPr>
            <w:rStyle w:val="Hyperlink"/>
            <w:rFonts w:ascii="Times New Roman" w:hAnsi="Times New Roman" w:cs="Times New Roman"/>
            <w:color w:val="auto"/>
            <w:sz w:val="18"/>
            <w:szCs w:val="18"/>
          </w:rPr>
          <w:t>Zolin et al. 2025</w:t>
        </w:r>
      </w:hyperlink>
      <w:r>
        <w:rPr>
          <w:rFonts w:ascii="Times New Roman" w:hAnsi="Times New Roman" w:cs="Times New Roman"/>
          <w:sz w:val="18"/>
          <w:szCs w:val="18"/>
        </w:rPr>
        <w:t>), yet the same literature is equally clear that this correlation is condition dependent, crop dependent, and can break down (</w:t>
      </w:r>
      <w:hyperlink w:anchor="ref-ieri2025">
        <w:hyperlink w:anchor="ref-ieri2025">
          <w:r>
            <w:rPr>
              <w:rStyle w:val="Hyperlink"/>
              <w:rFonts w:ascii="Times New Roman" w:hAnsi="Times New Roman" w:cs="Times New Roman"/>
              <w:color w:val="auto"/>
              <w:sz w:val="18"/>
              <w:szCs w:val="18"/>
            </w:rPr>
            <w:t>İeri 2025</w:t>
          </w:r>
        </w:hyperlink>
      </w:hyperlink>
      <w:r>
        <w:rPr>
          <w:rFonts w:ascii="Times New Roman" w:hAnsi="Times New Roman" w:cs="Times New Roman"/>
          <w:sz w:val="18"/>
          <w:szCs w:val="18"/>
        </w:rPr>
        <w:t xml:space="preserve">; </w:t>
      </w:r>
      <w:hyperlink w:anchor="ref-zolin2025">
        <w:r>
          <w:rPr>
            <w:rStyle w:val="Hyperlink"/>
            <w:rFonts w:ascii="Times New Roman" w:hAnsi="Times New Roman" w:cs="Times New Roman"/>
            <w:color w:val="auto"/>
            <w:sz w:val="18"/>
            <w:szCs w:val="18"/>
          </w:rPr>
          <w:t>Zolin et al. 2025</w:t>
        </w:r>
      </w:hyperlink>
      <w:r>
        <w:rPr>
          <w:rFonts w:ascii="Times New Roman" w:hAnsi="Times New Roman" w:cs="Times New Roman"/>
          <w:sz w:val="18"/>
          <w:szCs w:val="18"/>
        </w:rPr>
        <w:t>). The blue spectral band in particular has been noted as one of the least exploited and most sensor dependent regions used in this kind of channel substitution  recent commercial multispectral drone hardware has even dropped the blue band between hardware generations (</w:t>
      </w:r>
      <w:hyperlink w:anchor="ref-zolin2025">
        <w:r>
          <w:rPr>
            <w:rStyle w:val="Hyperlink"/>
            <w:rFonts w:ascii="Times New Roman" w:hAnsi="Times New Roman" w:cs="Times New Roman"/>
            <w:color w:val="auto"/>
            <w:sz w:val="18"/>
            <w:szCs w:val="18"/>
          </w:rPr>
          <w:t>Zolin et al. 2025</w:t>
        </w:r>
      </w:hyperlink>
      <w:r>
        <w:rPr>
          <w:rFonts w:ascii="Times New Roman" w:hAnsi="Times New Roman" w:cs="Times New Roman"/>
          <w:sz w:val="18"/>
          <w:szCs w:val="18"/>
        </w:rPr>
        <w:t>), underscoring how fragile a “band as proxy” convention can be across devices. Reporting an “NDVI” value computed from a standard photograph without disclosing that it is a proxy  rather than a genuine near infrared measurement  risks the exact failure mode that the responsible AI in agriculture literature warns about (</w:t>
      </w:r>
      <w:hyperlink w:anchor="ref-gardezi2022">
        <w:r>
          <w:rPr>
            <w:rStyle w:val="Hyperlink"/>
            <w:rFonts w:ascii="Times New Roman" w:hAnsi="Times New Roman" w:cs="Times New Roman"/>
            <w:color w:val="auto"/>
            <w:sz w:val="18"/>
            <w:szCs w:val="18"/>
          </w:rPr>
          <w:t>Gardezi et al. 2022</w:t>
        </w:r>
      </w:hyperlink>
      <w:r>
        <w:rPr>
          <w:rFonts w:ascii="Times New Roman" w:hAnsi="Times New Roman" w:cs="Times New Roman"/>
          <w:sz w:val="18"/>
          <w:szCs w:val="18"/>
        </w:rPr>
        <w:t xml:space="preserve">, </w:t>
      </w:r>
      <w:hyperlink w:anchor="ref-gardezi2023">
        <w:r>
          <w:rPr>
            <w:rStyle w:val="Hyperlink"/>
            <w:rFonts w:ascii="Times New Roman" w:hAnsi="Times New Roman" w:cs="Times New Roman"/>
            <w:color w:val="auto"/>
            <w:sz w:val="18"/>
            <w:szCs w:val="18"/>
          </w:rPr>
          <w:t>2023</w:t>
        </w:r>
      </w:hyperlink>
      <w:r>
        <w:rPr>
          <w:rFonts w:ascii="Times New Roman" w:hAnsi="Times New Roman" w:cs="Times New Roman"/>
          <w:sz w:val="18"/>
          <w:szCs w:val="18"/>
        </w:rPr>
        <w:t>): a system that looks scientifically grounded while silently substituting a much weaker signal underneath.</w:t>
      </w:r>
    </w:p>
    <w:p w14:paraId="16474D4C" w14:textId="7F6B218C"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The same argument applies with even more force to claims of trained classification performance. A tool that reports “96% disease classification accuracy” without disclosing whether that figure came from a genuinely trained, validated model or from an illustrative simulation invites exactly the erosion of trust documented in the qualitative literature on AI adoption in agriculture (</w:t>
      </w:r>
      <w:hyperlink w:anchor="ref-gardezi2023">
        <w:r>
          <w:rPr>
            <w:rStyle w:val="Hyperlink"/>
            <w:rFonts w:ascii="Times New Roman" w:hAnsi="Times New Roman" w:cs="Times New Roman"/>
            <w:color w:val="auto"/>
            <w:sz w:val="18"/>
            <w:szCs w:val="18"/>
          </w:rPr>
          <w:t>Gardezi et al. 2023</w:t>
        </w:r>
      </w:hyperlink>
      <w:r>
        <w:rPr>
          <w:rFonts w:ascii="Times New Roman" w:hAnsi="Times New Roman" w:cs="Times New Roman"/>
          <w:sz w:val="18"/>
          <w:szCs w:val="18"/>
        </w:rPr>
        <w:t>). This risk is compounded by the well documented domain generalisation gap discussed in Section 1.0 (</w:t>
      </w:r>
      <w:hyperlink w:anchor="ref-zhou2021">
        <w:r>
          <w:rPr>
            <w:rStyle w:val="Hyperlink"/>
            <w:rFonts w:ascii="Times New Roman" w:hAnsi="Times New Roman" w:cs="Times New Roman"/>
            <w:color w:val="auto"/>
            <w:sz w:val="18"/>
            <w:szCs w:val="18"/>
          </w:rPr>
          <w:t>Zhou et al. 2021</w:t>
        </w:r>
      </w:hyperlink>
      <w:r>
        <w:rPr>
          <w:rFonts w:ascii="Times New Roman" w:hAnsi="Times New Roman" w:cs="Times New Roman"/>
          <w:sz w:val="18"/>
          <w:szCs w:val="18"/>
        </w:rPr>
        <w:t>): a model’s benchmark accuracy is, at best, an upper bound on its real world performance, and reporting only the benchmark figure  without the cross domain caveat the domain generalisation literature insists on  is itself a form of the overclaiming this paper argues against. This paper’s second contribution, alongside the software architecture itself, is therefore a worked methodological argument for treating “I don’t know” and “this is simulated” as first class, UI visible outputs  not a hedge to be minimised, but a design requirement with the same priority as accuracy.</w:t>
      </w:r>
    </w:p>
    <w:p w14:paraId="486D1614" w14:textId="77777777" w:rsidR="00DA00EE" w:rsidRPr="00E32832" w:rsidRDefault="00F84C4B" w:rsidP="00BA5D5D">
      <w:pPr>
        <w:pStyle w:val="Heading3"/>
        <w:jc w:val="both"/>
        <w:rPr>
          <w:rFonts w:ascii="Times New Roman" w:hAnsi="Times New Roman" w:cs="Times New Roman"/>
          <w:color w:val="auto"/>
          <w:sz w:val="18"/>
          <w:szCs w:val="18"/>
        </w:rPr>
      </w:pPr>
      <w:bookmarkStart w:id="10" w:name="_Toc234738393"/>
      <w:bookmarkStart w:id="11" w:name="contributions"/>
      <w:bookmarkEnd w:id="9"/>
      <w:r>
        <w:rPr>
          <w:rFonts w:ascii="Times New Roman" w:hAnsi="Times New Roman" w:cs="Times New Roman"/>
          <w:color w:val="auto"/>
          <w:sz w:val="18"/>
          <w:szCs w:val="18"/>
        </w:rPr>
        <w:t>1.3 Contributions</w:t>
      </w:r>
      <w:bookmarkEnd w:id="10"/>
    </w:p>
    <w:p w14:paraId="1BF4E352"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This paper makes the following contributions:</w:t>
      </w:r>
    </w:p>
    <w:p w14:paraId="1CC18367" w14:textId="77777777" w:rsidR="00DA00EE" w:rsidRPr="00E32832" w:rsidRDefault="00F84C4B" w:rsidP="00BA5D5D">
      <w:pPr>
        <w:pStyle w:val="Compact"/>
        <w:numPr>
          <w:ilvl w:val="0"/>
          <w:numId w:val="2"/>
        </w:numPr>
        <w:jc w:val="both"/>
        <w:rPr>
          <w:rFonts w:ascii="Times New Roman" w:hAnsi="Times New Roman" w:cs="Times New Roman"/>
          <w:sz w:val="18"/>
          <w:szCs w:val="18"/>
        </w:rPr>
      </w:pPr>
      <w:r>
        <w:rPr>
          <w:rFonts w:ascii="Times New Roman" w:hAnsi="Times New Roman" w:cs="Times New Roman"/>
          <w:sz w:val="18"/>
          <w:szCs w:val="18"/>
        </w:rPr>
        <w:t>We describe the full architecture of a two interface (PyQt6 GIS style and Tkinter classic) desktop pipeline for exploratory agronomic image analysis, covering fourteen analysis modules, and we give the exact mathematical formulation implemented by each.</w:t>
      </w:r>
    </w:p>
    <w:p w14:paraId="46DACC40" w14:textId="77777777" w:rsidR="00DA00EE" w:rsidRPr="00E32832" w:rsidRDefault="00F84C4B" w:rsidP="00BA5D5D">
      <w:pPr>
        <w:pStyle w:val="Compact"/>
        <w:numPr>
          <w:ilvl w:val="0"/>
          <w:numId w:val="2"/>
        </w:numPr>
        <w:jc w:val="both"/>
        <w:rPr>
          <w:rFonts w:ascii="Times New Roman" w:hAnsi="Times New Roman" w:cs="Times New Roman"/>
          <w:sz w:val="18"/>
          <w:szCs w:val="18"/>
        </w:rPr>
      </w:pPr>
      <w:r>
        <w:rPr>
          <w:rFonts w:ascii="Times New Roman" w:hAnsi="Times New Roman" w:cs="Times New Roman"/>
          <w:sz w:val="18"/>
          <w:szCs w:val="18"/>
        </w:rPr>
        <w:t>We introduce and formalise Verifiable Reporting</w:t>
      </w:r>
      <w:r>
        <w:rPr>
          <w:rFonts w:ascii="Times New Roman" w:hAnsi="Times New Roman" w:cs="Times New Roman"/>
          <w:b/>
          <w:bCs/>
          <w:sz w:val="18"/>
          <w:szCs w:val="18"/>
        </w:rPr>
        <w:t xml:space="preserve"> </w:t>
      </w:r>
      <w:r>
        <w:rPr>
          <w:rFonts w:ascii="Times New Roman" w:hAnsi="Times New Roman" w:cs="Times New Roman"/>
          <w:sz w:val="18"/>
          <w:szCs w:val="18"/>
        </w:rPr>
        <w:t>Framework (VRF</w:t>
      </w:r>
      <w:r>
        <w:rPr>
          <w:rFonts w:ascii="Times New Roman" w:hAnsi="Times New Roman" w:cs="Times New Roman"/>
          <w:b/>
          <w:bCs/>
          <w:sz w:val="18"/>
          <w:szCs w:val="18"/>
        </w:rPr>
        <w:t>)</w:t>
      </w:r>
      <w:r>
        <w:rPr>
          <w:rFonts w:ascii="Times New Roman" w:hAnsi="Times New Roman" w:cs="Times New Roman"/>
          <w:sz w:val="18"/>
          <w:szCs w:val="18"/>
        </w:rPr>
        <w:t xml:space="preserve"> as an architectural pattern for agronomic decision support software: a small number of concrete implementation rules (explicit availability flags; proxy/heuristic labelling; quarantined simulated demonstration modules; never silently substituting a plausible number for an unavailable one) that can be audited directly against the source code.</w:t>
      </w:r>
    </w:p>
    <w:p w14:paraId="52DA982D" w14:textId="77777777" w:rsidR="00DA00EE" w:rsidRPr="00E32832" w:rsidRDefault="00F84C4B" w:rsidP="00BA5D5D">
      <w:pPr>
        <w:pStyle w:val="Compact"/>
        <w:numPr>
          <w:ilvl w:val="0"/>
          <w:numId w:val="2"/>
        </w:numPr>
        <w:jc w:val="both"/>
        <w:rPr>
          <w:rFonts w:ascii="Times New Roman" w:hAnsi="Times New Roman" w:cs="Times New Roman"/>
          <w:sz w:val="18"/>
          <w:szCs w:val="18"/>
        </w:rPr>
      </w:pPr>
      <w:r>
        <w:rPr>
          <w:rFonts w:ascii="Times New Roman" w:hAnsi="Times New Roman" w:cs="Times New Roman"/>
          <w:sz w:val="18"/>
          <w:szCs w:val="18"/>
        </w:rPr>
        <w:t>We present a streaming, phase correlation based batch alignment and composite construction algorithm whose memory footprint is, by construction, independent of the number of images processed, and we measure this property directly.</w:t>
      </w:r>
    </w:p>
    <w:p w14:paraId="270CE9E4" w14:textId="11D14D6C" w:rsidR="00DA00EE" w:rsidRPr="00E32832" w:rsidRDefault="00F84C4B" w:rsidP="00BA5D5D">
      <w:pPr>
        <w:pStyle w:val="Compact"/>
        <w:numPr>
          <w:ilvl w:val="0"/>
          <w:numId w:val="2"/>
        </w:numPr>
        <w:jc w:val="both"/>
        <w:rPr>
          <w:rFonts w:ascii="Times New Roman" w:hAnsi="Times New Roman" w:cs="Times New Roman"/>
          <w:sz w:val="18"/>
          <w:szCs w:val="18"/>
        </w:rPr>
      </w:pPr>
      <w:r>
        <w:rPr>
          <w:rFonts w:ascii="Times New Roman" w:hAnsi="Times New Roman" w:cs="Times New Roman"/>
          <w:sz w:val="18"/>
          <w:szCs w:val="18"/>
        </w:rPr>
        <w:t xml:space="preserve">We provide a worked illustrative demonstration  explicitly on procedurally generated  sample imagery, not field photography  of every method described in this </w:t>
      </w:r>
      <w:r>
        <w:rPr>
          <w:rFonts w:ascii="Times New Roman" w:hAnsi="Times New Roman" w:cs="Times New Roman"/>
          <w:sz w:val="18"/>
          <w:szCs w:val="18"/>
        </w:rPr>
        <w:lastRenderedPageBreak/>
        <w:t>paper, including RGB proxy vegetation indices, GLCM texture, PCA feature space projection, leave one out k NN and silhouette/Davies–Bouldin/Calinski–Harabasz validated K Means clustering, self supervised invariance testing, and an InfoNCE style contrastive loss diagnostic.</w:t>
      </w:r>
    </w:p>
    <w:p w14:paraId="357586C0" w14:textId="75094A04" w:rsidR="00DA00EE" w:rsidRPr="00E32832" w:rsidRDefault="00F84C4B" w:rsidP="00BA5D5D">
      <w:pPr>
        <w:pStyle w:val="Compact"/>
        <w:numPr>
          <w:ilvl w:val="0"/>
          <w:numId w:val="2"/>
        </w:numPr>
        <w:jc w:val="both"/>
        <w:rPr>
          <w:rFonts w:ascii="Times New Roman" w:hAnsi="Times New Roman" w:cs="Times New Roman"/>
          <w:sz w:val="18"/>
          <w:szCs w:val="18"/>
        </w:rPr>
      </w:pPr>
      <w:r>
        <w:rPr>
          <w:rFonts w:ascii="Times New Roman" w:hAnsi="Times New Roman" w:cs="Times New Roman"/>
          <w:sz w:val="18"/>
          <w:szCs w:val="18"/>
        </w:rPr>
        <w:t>We document, as a case study in the Verifiable Reporting Framework principle itself, the decision to quarantine a fabricated “ Crop &amp; Pathology Reference Classifier” behind a persistent disclaimer after an earlier attempt to train on a user supplied dataset returned chance level cross validated accuracy  i.e., labels statistically independent of the feature columns  and why the module was kept (as a machinery demonstration) rather than deleted or, worse, silently reported as if it were a working diagnostic tool.</w:t>
      </w:r>
    </w:p>
    <w:p w14:paraId="78BF530E" w14:textId="77777777" w:rsidR="00DA00EE" w:rsidRPr="00E32832" w:rsidRDefault="00F84C4B" w:rsidP="00BA5D5D">
      <w:pPr>
        <w:pStyle w:val="Compact"/>
        <w:numPr>
          <w:ilvl w:val="0"/>
          <w:numId w:val="2"/>
        </w:numPr>
        <w:jc w:val="both"/>
        <w:rPr>
          <w:rFonts w:ascii="Times New Roman" w:hAnsi="Times New Roman" w:cs="Times New Roman"/>
          <w:sz w:val="18"/>
          <w:szCs w:val="18"/>
        </w:rPr>
      </w:pPr>
      <w:r>
        <w:rPr>
          <w:rFonts w:ascii="Times New Roman" w:hAnsi="Times New Roman" w:cs="Times New Roman"/>
          <w:sz w:val="18"/>
          <w:szCs w:val="18"/>
        </w:rPr>
        <w:t>We present ten unedited, independently reproducible screenshots from a live, real user session of the deployed application (Section 5), corroborating every architectural and Verifiable Reporting Framework claim made in this paper under ordinary end user operation rather than only under the paper’s own controlled demonstration.</w:t>
      </w:r>
    </w:p>
    <w:p w14:paraId="5EE24216" w14:textId="272A4A6D" w:rsidR="00DA00EE" w:rsidRPr="00E32832" w:rsidRDefault="005D7725" w:rsidP="00BA5D5D">
      <w:pPr>
        <w:pStyle w:val="Compact"/>
        <w:numPr>
          <w:ilvl w:val="0"/>
          <w:numId w:val="2"/>
        </w:numPr>
        <w:jc w:val="both"/>
        <w:rPr>
          <w:rFonts w:ascii="Times New Roman" w:hAnsi="Times New Roman" w:cs="Times New Roman"/>
          <w:sz w:val="18"/>
          <w:szCs w:val="18"/>
        </w:rPr>
      </w:pPr>
      <w:r>
        <w:rPr>
          <w:rFonts w:ascii="Times New Roman" w:hAnsi="Times New Roman" w:cs="Times New Roman"/>
          <w:sz w:val="18"/>
          <w:szCs w:val="18"/>
        </w:rPr>
        <w:t>We benchmarked eight machine learning models to establish baseline performance metrics across two distinct datasets, whose honest result  chance level performance across every model tested  is itself evidence supporting this paper’s central architectural argument.</w:t>
      </w:r>
    </w:p>
    <w:p w14:paraId="290E2587" w14:textId="77777777" w:rsidR="00DA00EE" w:rsidRPr="00E32832" w:rsidRDefault="00F84C4B" w:rsidP="00BA5D5D">
      <w:pPr>
        <w:pStyle w:val="Compact"/>
        <w:numPr>
          <w:ilvl w:val="0"/>
          <w:numId w:val="2"/>
        </w:numPr>
        <w:jc w:val="both"/>
        <w:rPr>
          <w:rFonts w:ascii="Times New Roman" w:hAnsi="Times New Roman" w:cs="Times New Roman"/>
          <w:sz w:val="18"/>
          <w:szCs w:val="18"/>
        </w:rPr>
      </w:pPr>
      <w:r>
        <w:rPr>
          <w:rFonts w:ascii="Times New Roman" w:hAnsi="Times New Roman" w:cs="Times New Roman"/>
          <w:sz w:val="18"/>
          <w:szCs w:val="18"/>
        </w:rPr>
        <w:t>We situate the pipeline against the 2020–2026 literature on RGB proxy indices, GLCM texture in plant pathology, streaming/phase correlation image registration, k NN and K Means validity in small sample agronomic settings, and responsible/explainable AI in agriculture, and we lay out the concrete real data collection protocol required to convert the current classical CV pipeline into a validated, field trained deep learning system.</w:t>
      </w:r>
    </w:p>
    <w:p w14:paraId="1EC27639" w14:textId="6E9034E0"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The remainder of the paper is organised as follows. Section 2 reviews related work. Section 3 describes the system architecture. Section 4 gives the full mathematical treatment of each analysis module, each illustrated with at least two figures generated by running the real code on a procedurally synthesised demonstration image set. Section 5 presents live, real session screenshots verifying the architecture in actual use. Section 6 reports an honest, multi model machine learning benchmark on the  reference dataset, followed by a genuinely positive result on real crop disease photographs. Section 7 discusses Verifiable Reporting Framework as a general principle. Section 8 presents limitations. Section 9 outlines future work toward a validated field deployment. Section 10 concludes.</w:t>
      </w:r>
    </w:p>
    <w:p w14:paraId="253E3BCE" w14:textId="77777777" w:rsidR="00DA00EE" w:rsidRPr="00E32832" w:rsidRDefault="00F84C4B" w:rsidP="00BA5D5D">
      <w:pPr>
        <w:pStyle w:val="Heading2"/>
        <w:jc w:val="both"/>
        <w:rPr>
          <w:rFonts w:ascii="Times New Roman" w:hAnsi="Times New Roman" w:cs="Times New Roman"/>
          <w:color w:val="auto"/>
          <w:sz w:val="18"/>
          <w:szCs w:val="18"/>
        </w:rPr>
      </w:pPr>
      <w:bookmarkStart w:id="12" w:name="_Toc234738394"/>
      <w:bookmarkStart w:id="13" w:name="related-work"/>
      <w:bookmarkEnd w:id="3"/>
      <w:bookmarkEnd w:id="11"/>
      <w:r>
        <w:rPr>
          <w:rFonts w:ascii="Times New Roman" w:hAnsi="Times New Roman" w:cs="Times New Roman"/>
          <w:color w:val="auto"/>
          <w:sz w:val="18"/>
          <w:szCs w:val="18"/>
        </w:rPr>
        <w:t>2. Related Work</w:t>
      </w:r>
      <w:bookmarkEnd w:id="12"/>
    </w:p>
    <w:p w14:paraId="5F89122B" w14:textId="77777777" w:rsidR="00DA00EE" w:rsidRPr="00E32832" w:rsidRDefault="00F84C4B" w:rsidP="00BA5D5D">
      <w:pPr>
        <w:pStyle w:val="Heading3"/>
        <w:jc w:val="both"/>
        <w:rPr>
          <w:rFonts w:ascii="Times New Roman" w:hAnsi="Times New Roman" w:cs="Times New Roman"/>
          <w:color w:val="auto"/>
          <w:sz w:val="18"/>
          <w:szCs w:val="18"/>
        </w:rPr>
      </w:pPr>
      <w:bookmarkStart w:id="14" w:name="_Toc234738395"/>
      <w:bookmarkStart w:id="15" w:name="Xfa1839e396a12db3b4c305507e6bef49c1d391d"/>
      <w:r>
        <w:rPr>
          <w:rFonts w:ascii="Times New Roman" w:hAnsi="Times New Roman" w:cs="Times New Roman"/>
          <w:color w:val="auto"/>
          <w:sz w:val="18"/>
          <w:szCs w:val="18"/>
        </w:rPr>
        <w:t>2.1 RGB proxy vegetation indices as a low cost alternative to multispectral sensing</w:t>
      </w:r>
      <w:bookmarkEnd w:id="14"/>
    </w:p>
    <w:p w14:paraId="288AEEA3" w14:textId="6D5A264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The core empirical premise underlying the pipeline’s vegetation index module  that visible band (RGB) channel combinations can stand in, imperfectly but usefully, for near infrared dependent indices  is well represented in the recent literature. Comparative UAV studies in palm cultivation have shown that RGB based indices such as VARI and MGRVI can deliver vegetation health classifications comparable to multispectral NDVI/SAVI under controlled conditions, at substantially lower sensor cost (</w:t>
      </w:r>
      <w:hyperlink w:anchor="ref-panthakkan2025">
        <w:hyperlink w:anchor="ref-panthakkan2025">
          <w:r>
            <w:rPr>
              <w:rStyle w:val="Hyperlink"/>
              <w:rFonts w:ascii="Times New Roman" w:hAnsi="Times New Roman" w:cs="Times New Roman"/>
              <w:sz w:val="18"/>
              <w:szCs w:val="18"/>
            </w:rPr>
            <w:t>Panthakkan et al. 2025</w:t>
          </w:r>
        </w:hyperlink>
      </w:hyperlink>
      <w:r>
        <w:rPr>
          <w:rFonts w:ascii="Times New Roman" w:hAnsi="Times New Roman" w:cs="Times New Roman"/>
          <w:sz w:val="18"/>
          <w:szCs w:val="18"/>
        </w:rPr>
        <w:t xml:space="preserve">). Similar findings have been reported for </w:t>
      </w:r>
      <w:r>
        <w:rPr>
          <w:rFonts w:ascii="Times New Roman" w:hAnsi="Times New Roman" w:cs="Times New Roman"/>
          <w:sz w:val="18"/>
          <w:szCs w:val="18"/>
        </w:rPr>
        <w:t>wheat, where low cost UAV derived RGB indices correlated usefully with NDVI while cautioning that “selecting vegetation indices based not only on statistical significance but also on biological interpretability and robustness across datasets” is essential, since some RGB derived indices (e.g., a Normalized Green–Blue Difference Index) showed weak, dataset specific correlation (R² = 0.18) despite nominal statistical significance (</w:t>
      </w:r>
      <w:hyperlink w:anchor="ref-zolin2025">
        <w:r>
          <w:rPr>
            <w:rStyle w:val="Hyperlink"/>
            <w:rFonts w:ascii="Times New Roman" w:hAnsi="Times New Roman" w:cs="Times New Roman"/>
            <w:sz w:val="18"/>
            <w:szCs w:val="18"/>
          </w:rPr>
          <w:t>Zolin et al. 2025</w:t>
        </w:r>
      </w:hyperlink>
      <w:r>
        <w:rPr>
          <w:rFonts w:ascii="Times New Roman" w:hAnsi="Times New Roman" w:cs="Times New Roman"/>
          <w:sz w:val="18"/>
          <w:szCs w:val="18"/>
        </w:rPr>
        <w:t>). A 2026 maize study comparing blue channel inclusive RGB indices (NDGBI, NDRBI) against traditional NIR based NDVI/GNDVI found that VIS band indices remained sensitive to canopy structure and surface moisture even where NIR based indices saturated, but explicitly noted the blue band’s comparative fragility and inconsistent availability across current commercial multispectral sensor generations (</w:t>
      </w:r>
      <w:hyperlink w:anchor="ref-zolin2025">
        <w:r>
          <w:rPr>
            <w:rStyle w:val="Hyperlink"/>
            <w:rFonts w:ascii="Times New Roman" w:hAnsi="Times New Roman" w:cs="Times New Roman"/>
            <w:sz w:val="18"/>
            <w:szCs w:val="18"/>
          </w:rPr>
          <w:t>Zolin et al. 2025</w:t>
        </w:r>
      </w:hyperlink>
      <w:r>
        <w:rPr>
          <w:rFonts w:ascii="Times New Roman" w:hAnsi="Times New Roman" w:cs="Times New Roman"/>
          <w:sz w:val="18"/>
          <w:szCs w:val="18"/>
        </w:rPr>
        <w:t>). Rangeland monitoring work using smartphone RGB imagery and the open source Canopeo application evaluated thirteen RGB derived indices against ground truth biomass and forage quality measurements using simple regression, reinforcing that RGB proxy indices are best treated as calibratable, condition dependent estimators rather than physical measurements (</w:t>
      </w:r>
      <w:hyperlink w:anchor="ref-ieri2025">
        <w:hyperlink w:anchor="ref-ieri2025">
          <w:r>
            <w:rPr>
              <w:rStyle w:val="Hyperlink"/>
              <w:rFonts w:ascii="Times New Roman" w:hAnsi="Times New Roman" w:cs="Times New Roman"/>
              <w:sz w:val="18"/>
              <w:szCs w:val="18"/>
            </w:rPr>
            <w:t>İeri 2025</w:t>
          </w:r>
        </w:hyperlink>
      </w:hyperlink>
      <w:r>
        <w:rPr>
          <w:rFonts w:ascii="Times New Roman" w:hAnsi="Times New Roman" w:cs="Times New Roman"/>
          <w:sz w:val="18"/>
          <w:szCs w:val="18"/>
        </w:rPr>
        <w:t>).</w:t>
      </w:r>
    </w:p>
    <w:p w14:paraId="74F1B615" w14:textId="1E562A99"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More recent methodological work has begun questioning whether any fixed formula vegetation index  RGB or multispectral  is the right level of abstraction at all. A 2024 reinforcement learning framework (RL VI) proposed learning stress sensitive spectral band combinations dynamically per crop and stress type, rather than relying on a small set of hand designed formulas such as NDVI/EVI, explicitly motivated by the observation that static indices are “crop agnostic” and often insensitive to early stress signals. This body of work collectively supports the design choice made in the pipeline described here: implementing the standard RGB proxy index family, but (a) always disclosing the proxy status and the specific channel substitution used, (b) marking indices that fundamentally require bands RGB sensors do not have (true NDRE, PRI, MSI, ARI) as unavailable rather than approximating them with a look alike formula, and (c) treating any single index’s numeric value as indicative rather than physically calibrated, consistent with the caution urged across this literature.</w:t>
      </w:r>
    </w:p>
    <w:p w14:paraId="77E33FC8" w14:textId="77777777" w:rsidR="00DA00EE" w:rsidRPr="00E32832" w:rsidRDefault="00F84C4B" w:rsidP="00BA5D5D">
      <w:pPr>
        <w:pStyle w:val="Heading3"/>
        <w:jc w:val="both"/>
        <w:rPr>
          <w:rFonts w:ascii="Times New Roman" w:hAnsi="Times New Roman" w:cs="Times New Roman"/>
          <w:color w:val="auto"/>
          <w:sz w:val="18"/>
          <w:szCs w:val="18"/>
        </w:rPr>
      </w:pPr>
      <w:bookmarkStart w:id="16" w:name="_Toc234738396"/>
      <w:bookmarkStart w:id="17" w:name="X32e2f512695d4031d9919b0c761e4eae4612433"/>
      <w:bookmarkEnd w:id="15"/>
      <w:r>
        <w:rPr>
          <w:rFonts w:ascii="Times New Roman" w:hAnsi="Times New Roman" w:cs="Times New Roman"/>
          <w:color w:val="auto"/>
          <w:sz w:val="18"/>
          <w:szCs w:val="18"/>
        </w:rPr>
        <w:t>2.2 GLCM texture features in plant pathology and precision agriculture</w:t>
      </w:r>
      <w:bookmarkEnd w:id="16"/>
    </w:p>
    <w:p w14:paraId="6412DB1B"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Grey Level Co occurrence Matrix (GLCM) texture descriptors, formalised by </w:t>
      </w:r>
      <w:hyperlink w:anchor="ref-haralick1973" w:history="1">
        <w:r>
          <w:rPr>
            <w:rFonts w:ascii="Times New Roman" w:hAnsi="Times New Roman" w:cs="Times New Roman"/>
            <w:color w:val="1155CC"/>
            <w:sz w:val="18"/>
            <w:szCs w:val="18"/>
            <w:u w:val="single"/>
          </w:rPr>
          <w:t>Haralick, Shanmugam, and Dinstein in 1973</w:t>
        </w:r>
      </w:hyperlink>
      <w:r>
        <w:rPr>
          <w:rFonts w:ascii="Times New Roman" w:hAnsi="Times New Roman" w:cs="Times New Roman"/>
          <w:sz w:val="18"/>
          <w:szCs w:val="18"/>
        </w:rPr>
        <w:t xml:space="preserve">, remain in active use across plant pathology image analysis, largely because they are computationally cheap, require no training data, and are interpretable in terms of well defined </w:t>
      </w:r>
      <w:hyperlink w:anchor="ref-nancy2024">
        <w:r>
          <w:rPr>
            <w:rStyle w:val="Hyperlink"/>
            <w:rFonts w:ascii="Times New Roman" w:hAnsi="Times New Roman" w:cs="Times New Roman"/>
            <w:sz w:val="18"/>
            <w:szCs w:val="18"/>
          </w:rPr>
          <w:t>Nancy and Kiran 2024</w:t>
        </w:r>
      </w:hyperlink>
      <w:r>
        <w:rPr>
          <w:rFonts w:ascii="Times New Roman" w:hAnsi="Times New Roman" w:cs="Times New Roman"/>
          <w:sz w:val="18"/>
          <w:szCs w:val="18"/>
        </w:rPr>
        <w:t>), fuzzy logic based plant disease diagnosis using an extended, multi channel Haralick feature set computed across R, G, B and their pairwise channel combinations, and a broader plant disease detection pipeline combining GLCM feature extraction with a voting classifier ensemble across the standard pre processing/segmentation/feature extraction/classification stages (</w:t>
      </w:r>
      <w:hyperlink w:anchor="ref-ossai2022">
        <w:r>
          <w:rPr>
            <w:rStyle w:val="Hyperlink"/>
            <w:rFonts w:ascii="Times New Roman" w:hAnsi="Times New Roman" w:cs="Times New Roman"/>
            <w:sz w:val="18"/>
            <w:szCs w:val="18"/>
          </w:rPr>
          <w:t>Ossai and Wickramasinghe 2022</w:t>
        </w:r>
      </w:hyperlink>
      <w:r>
        <w:rPr>
          <w:rFonts w:ascii="Times New Roman" w:hAnsi="Times New Roman" w:cs="Times New Roman"/>
          <w:sz w:val="18"/>
          <w:szCs w:val="18"/>
        </w:rPr>
        <w:t xml:space="preserve">). Remote sensing work has continued to refine GLCM’s role even in multispectral/UAV settings, for instance optimising GLCM window size and directional parameters for above ground biomass estimation in rice from UAV multispectral imagery, and confirming that GLCM contrast and dissimilarity carry high frequency edge information distinct from, and complementary to, the correlation and homogeneity features. This literature motivates the pipeline’s decision to expose the full standard six feature GLCM vector (contrast, dissimilarity, homogeneity, energy, correlation, ASM) as a genuine per image descriptor component, explicitly scoped as “real GLCM texture of the whole image” and distinguished from a hypothetical, unavailable per lesion texture signature that </w:t>
      </w:r>
      <w:r>
        <w:rPr>
          <w:rFonts w:ascii="Times New Roman" w:hAnsi="Times New Roman" w:cs="Times New Roman"/>
          <w:sz w:val="18"/>
          <w:szCs w:val="18"/>
        </w:rPr>
        <w:lastRenderedPageBreak/>
        <w:t>would require ground truth lesion segmentation masks the pipeline does not have.</w:t>
      </w:r>
    </w:p>
    <w:p w14:paraId="426C99F6" w14:textId="77777777" w:rsidR="00DA00EE" w:rsidRPr="00E32832" w:rsidRDefault="00F84C4B" w:rsidP="00BA5D5D">
      <w:pPr>
        <w:pStyle w:val="Heading3"/>
        <w:jc w:val="both"/>
        <w:rPr>
          <w:rFonts w:ascii="Times New Roman" w:hAnsi="Times New Roman" w:cs="Times New Roman"/>
          <w:color w:val="auto"/>
          <w:sz w:val="18"/>
          <w:szCs w:val="18"/>
        </w:rPr>
      </w:pPr>
      <w:bookmarkStart w:id="18" w:name="_Toc234738397"/>
      <w:bookmarkStart w:id="19" w:name="Xb012f5b5f32fe6a9684b7d4e13dd64d083f2e5d"/>
      <w:bookmarkEnd w:id="17"/>
      <w:r>
        <w:rPr>
          <w:rFonts w:ascii="Times New Roman" w:hAnsi="Times New Roman" w:cs="Times New Roman"/>
          <w:color w:val="auto"/>
          <w:sz w:val="18"/>
          <w:szCs w:val="18"/>
        </w:rPr>
        <w:t>2.3 Streaming and phase correlation image registration</w:t>
      </w:r>
      <w:bookmarkEnd w:id="18"/>
    </w:p>
    <w:p w14:paraId="5B5B5592"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Image registration in agricultural imaging spans a spectrum from classical intensity based phase correlation to modern learned feature matching networks. Phase correlation, dating to Reddy and Chatterji’s formulation (</w:t>
      </w:r>
      <w:hyperlink w:anchor="ref-reddy1996">
        <w:r>
          <w:rPr>
            <w:rStyle w:val="Hyperlink"/>
            <w:rFonts w:ascii="Times New Roman" w:hAnsi="Times New Roman" w:cs="Times New Roman"/>
            <w:sz w:val="18"/>
            <w:szCs w:val="18"/>
          </w:rPr>
          <w:t>Reddy and Chatterji 1996</w:t>
        </w:r>
      </w:hyperlink>
      <w:r>
        <w:rPr>
          <w:rFonts w:ascii="Times New Roman" w:hAnsi="Times New Roman" w:cs="Times New Roman"/>
          <w:sz w:val="18"/>
          <w:szCs w:val="18"/>
        </w:rPr>
        <w:t>), remains attractive for translation dominated alignment because it is fast, deterministic, and requires no training; recent multimodal remote sensing registration work continues to use FFT domain phase correlation as an efficiency improving first stage ahead of more expensive feature based refinement. Work specifically targeting UAV agricultural imagery has explored both classical correlation based approaches (Enhanced Correlation Coefficient framework registration) and more elaborate feature based pipelines combining SIFT/SURF style descriptors with RANSAC based outlier rejection for multi scene UAV mosaicking. A recurring, explicitly acknowledged limitation across this literature, shared by the pipeline described here, is that pure phase correlation and many correlation based methods handle translation robustly but require extension (e.g., via particle swarm optimisation over a similarity criterion) to cope with rotation, scale, or full perspective distortion (</w:t>
      </w:r>
      <w:hyperlink w:anchor="ref-wan2019">
        <w:r>
          <w:rPr>
            <w:rStyle w:val="Hyperlink"/>
            <w:rFonts w:ascii="Times New Roman" w:hAnsi="Times New Roman" w:cs="Times New Roman"/>
            <w:sz w:val="18"/>
            <w:szCs w:val="18"/>
          </w:rPr>
          <w:t>Wan, Wang, and Li 2019</w:t>
        </w:r>
      </w:hyperlink>
      <w:r>
        <w:rPr>
          <w:rFonts w:ascii="Times New Roman" w:hAnsi="Times New Roman" w:cs="Times New Roman"/>
          <w:sz w:val="18"/>
          <w:szCs w:val="18"/>
        </w:rPr>
        <w:t>). The pipeline’s alignment module deliberately implements only the translation only case and states this limitation directly in its own documentation and on screen output, rather than allowing users to assume a fuller geometric registration is taking place.</w:t>
      </w:r>
    </w:p>
    <w:p w14:paraId="59EEAEC2" w14:textId="75FC611B"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Separately, a body of work on memory efficient / streaming statistical computation  most classically Welford’s (1962) single pass algorithm for computing running mean and variance  underlies the pipeline’s approach to building an aggregate composite and per pixel variability map from a batch of up to roughly 2000 images without holding the full batch in memory simultaneously. While the streaming statistics literature is largely decades old and domain general, its application here  combining per image phase correlation alignment with running first and second moment accumulation to support agronomic batch composites at bounded memory  is, to our knowledge, not separately documented in the precision agriculture image analysis literature, which more typically assumes batch processing of pre aligned image stacks with all frames resident in memory (e.g., standard photogrammetric mosaicking pipelines).</w:t>
      </w:r>
    </w:p>
    <w:p w14:paraId="34B337D2" w14:textId="77777777" w:rsidR="00DA00EE" w:rsidRPr="00E32832" w:rsidRDefault="00F84C4B" w:rsidP="00BA5D5D">
      <w:pPr>
        <w:pStyle w:val="Heading3"/>
        <w:jc w:val="both"/>
        <w:rPr>
          <w:rFonts w:ascii="Times New Roman" w:hAnsi="Times New Roman" w:cs="Times New Roman"/>
          <w:color w:val="auto"/>
          <w:sz w:val="18"/>
          <w:szCs w:val="18"/>
        </w:rPr>
      </w:pPr>
      <w:bookmarkStart w:id="20" w:name="_Toc234738398"/>
      <w:bookmarkStart w:id="21" w:name="X48068d9acba6d3426cb9d5cb00d0a23cfc23ee8"/>
      <w:bookmarkEnd w:id="19"/>
      <w:r>
        <w:rPr>
          <w:rFonts w:ascii="Times New Roman" w:hAnsi="Times New Roman" w:cs="Times New Roman"/>
          <w:color w:val="auto"/>
          <w:sz w:val="18"/>
          <w:szCs w:val="18"/>
        </w:rPr>
        <w:t>2.4 Dimensionality reduction, semi supervised, and unsupervised learning on agronomic image descriptors</w:t>
      </w:r>
      <w:bookmarkEnd w:id="20"/>
    </w:p>
    <w:p w14:paraId="5A7149FB" w14:textId="29D10B32"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Principal Component Analysis (PCA) (</w:t>
      </w:r>
      <w:hyperlink w:anchor="ref-pearson1901">
        <w:r>
          <w:rPr>
            <w:rStyle w:val="Hyperlink"/>
            <w:rFonts w:ascii="Times New Roman" w:hAnsi="Times New Roman" w:cs="Times New Roman"/>
            <w:sz w:val="18"/>
            <w:szCs w:val="18"/>
          </w:rPr>
          <w:t>Pearson 1901</w:t>
        </w:r>
      </w:hyperlink>
      <w:r>
        <w:rPr>
          <w:rFonts w:ascii="Times New Roman" w:hAnsi="Times New Roman" w:cs="Times New Roman"/>
          <w:sz w:val="18"/>
          <w:szCs w:val="18"/>
        </w:rPr>
        <w:t xml:space="preserve">; </w:t>
      </w:r>
      <w:hyperlink w:anchor="ref-hotelling1933">
        <w:r>
          <w:rPr>
            <w:rStyle w:val="Hyperlink"/>
            <w:rFonts w:ascii="Times New Roman" w:hAnsi="Times New Roman" w:cs="Times New Roman"/>
            <w:sz w:val="18"/>
            <w:szCs w:val="18"/>
          </w:rPr>
          <w:t>Hotelling 1933</w:t>
        </w:r>
      </w:hyperlink>
      <w:r>
        <w:rPr>
          <w:rFonts w:ascii="Times New Roman" w:hAnsi="Times New Roman" w:cs="Times New Roman"/>
          <w:sz w:val="18"/>
          <w:szCs w:val="18"/>
        </w:rPr>
        <w:t>) remains a standard first step for visualising and reducing high dimensional image derived feature sets in agronomic phenotyping and remote sensing, valued for its interpretability (explained variance ratio labelled axes) relative to nonlinear embeddings. For small, label scarce agronomic datasets, k Nearest Neighbour (k NN) classification (</w:t>
      </w:r>
      <w:hyperlink w:anchor="ref-coverhart1967">
        <w:r>
          <w:rPr>
            <w:rStyle w:val="Hyperlink"/>
            <w:rFonts w:ascii="Times New Roman" w:hAnsi="Times New Roman" w:cs="Times New Roman"/>
            <w:sz w:val="18"/>
            <w:szCs w:val="18"/>
          </w:rPr>
          <w:t>Cover and Hart 1967</w:t>
        </w:r>
      </w:hyperlink>
      <w:r>
        <w:rPr>
          <w:rFonts w:ascii="Times New Roman" w:hAnsi="Times New Roman" w:cs="Times New Roman"/>
          <w:sz w:val="18"/>
          <w:szCs w:val="18"/>
        </w:rPr>
        <w:t>) combined with leave one out cross validation (LOOCV) (</w:t>
      </w:r>
      <w:hyperlink w:anchor="ref-stone1974">
        <w:r>
          <w:rPr>
            <w:rStyle w:val="Hyperlink"/>
            <w:rFonts w:ascii="Times New Roman" w:hAnsi="Times New Roman" w:cs="Times New Roman"/>
            <w:sz w:val="18"/>
            <w:szCs w:val="18"/>
          </w:rPr>
          <w:t>Stone 1974</w:t>
        </w:r>
      </w:hyperlink>
      <w:r>
        <w:rPr>
          <w:rFonts w:ascii="Times New Roman" w:hAnsi="Times New Roman" w:cs="Times New Roman"/>
          <w:sz w:val="18"/>
          <w:szCs w:val="18"/>
        </w:rPr>
        <w:t xml:space="preserve">; </w:t>
      </w:r>
      <w:hyperlink w:anchor="ref-kohavi1995">
        <w:r>
          <w:rPr>
            <w:rStyle w:val="Hyperlink"/>
            <w:rFonts w:ascii="Times New Roman" w:hAnsi="Times New Roman" w:cs="Times New Roman"/>
            <w:sz w:val="18"/>
            <w:szCs w:val="18"/>
          </w:rPr>
          <w:t>Kohavi 1995</w:t>
        </w:r>
      </w:hyperlink>
      <w:r>
        <w:rPr>
          <w:rFonts w:ascii="Times New Roman" w:hAnsi="Times New Roman" w:cs="Times New Roman"/>
          <w:sz w:val="18"/>
          <w:szCs w:val="18"/>
        </w:rPr>
        <w:t>) remains a strong, low variance baseline: small sample crop classification work has used k NN explicitly because it is easily interpretable, fast, and scalable, in contrast to deep networks that are more complex, computationally intensive, and prone to overfitting with small datasets  a rationale directly applicable to the small, session scoped, user labelled batches (often fewer than 20 images) the pipeline’s k NN module is designed for. Theoretical work has further shown that LOOCV yields an asymptotically optimal choice of k for k NN regression under general conditions (</w:t>
      </w:r>
      <w:hyperlink w:anchor="ref-azadkia2019">
        <w:hyperlink w:anchor="ref-azadkia2019">
          <w:r>
            <w:rPr>
              <w:rStyle w:val="Hyperlink"/>
              <w:rFonts w:ascii="Times New Roman" w:hAnsi="Times New Roman" w:cs="Times New Roman"/>
              <w:sz w:val="18"/>
              <w:szCs w:val="18"/>
            </w:rPr>
            <w:t>Azadkia 2019</w:t>
          </w:r>
        </w:hyperlink>
      </w:hyperlink>
      <w:r>
        <w:rPr>
          <w:rFonts w:ascii="Times New Roman" w:hAnsi="Times New Roman" w:cs="Times New Roman"/>
          <w:sz w:val="18"/>
          <w:szCs w:val="18"/>
        </w:rPr>
        <w:t xml:space="preserve">), and subsequent work </w:t>
      </w:r>
      <w:r>
        <w:rPr>
          <w:rFonts w:ascii="Times New Roman" w:hAnsi="Times New Roman" w:cs="Times New Roman"/>
          <w:sz w:val="18"/>
          <w:szCs w:val="18"/>
        </w:rPr>
        <w:t>has derived closed form fast computation shortcuts for k NN LOOCV that avoid the naive O(n²) retraining cost (</w:t>
      </w:r>
      <w:hyperlink w:anchor="ref-kanagawa2024">
        <w:r>
          <w:rPr>
            <w:rStyle w:val="Hyperlink"/>
            <w:rFonts w:ascii="Times New Roman" w:hAnsi="Times New Roman" w:cs="Times New Roman"/>
            <w:sz w:val="18"/>
            <w:szCs w:val="18"/>
          </w:rPr>
          <w:t>Kanagawa 2024</w:t>
        </w:r>
      </w:hyperlink>
      <w:r>
        <w:rPr>
          <w:rFonts w:ascii="Times New Roman" w:hAnsi="Times New Roman" w:cs="Times New Roman"/>
          <w:sz w:val="18"/>
          <w:szCs w:val="18"/>
        </w:rPr>
        <w:t>)  a consideration directly relevant given the pipeline’s LOOCV evaluation is run interactively inside a desktop GUI on every analysis request.</w:t>
      </w:r>
    </w:p>
    <w:p w14:paraId="47300217" w14:textId="4C29148E"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Where no group labels are available at all  the common case for a first exploratory pass over a freshly loaded image batch  the pipeline falls back to unsupervised K Means clustering, automatically selecting the number of clusters via silhouette score and reporting Davies–Bouldin and Calinski–Harabasz indices alongside it. This combination of internal validity indices (requiring no ground truth) is standard practice for reporting cluster quality in the absence of labels, with the silhouette score in particular interpreted on its established scale from −1 (likely mis assigned) through 0 (boundary case) to +1 (well separated) (</w:t>
      </w:r>
      <w:hyperlink w:anchor="ref-cervantesbarragan2024">
        <w:r>
          <w:rPr>
            <w:rStyle w:val="Hyperlink"/>
            <w:rFonts w:ascii="Times New Roman" w:hAnsi="Times New Roman" w:cs="Times New Roman"/>
            <w:sz w:val="18"/>
            <w:szCs w:val="18"/>
          </w:rPr>
          <w:t>Cervantes Barragan 2024</w:t>
        </w:r>
      </w:hyperlink>
      <w:r>
        <w:rPr>
          <w:rFonts w:ascii="Times New Roman" w:hAnsi="Times New Roman" w:cs="Times New Roman"/>
          <w:sz w:val="18"/>
          <w:szCs w:val="18"/>
        </w:rPr>
        <w:t>). We are not aware of prior agronomic image analysis tools that make the supervised/unsupervised branch point itself a first class, disclosed decision visible to the end user, rather than silently defaulting to one mode.</w:t>
      </w:r>
    </w:p>
    <w:p w14:paraId="17CD1961" w14:textId="77777777" w:rsidR="00DA00EE" w:rsidRPr="00E32832" w:rsidRDefault="00F84C4B" w:rsidP="00BA5D5D">
      <w:pPr>
        <w:pStyle w:val="Heading3"/>
        <w:jc w:val="both"/>
        <w:rPr>
          <w:rFonts w:ascii="Times New Roman" w:hAnsi="Times New Roman" w:cs="Times New Roman"/>
          <w:color w:val="auto"/>
          <w:sz w:val="18"/>
          <w:szCs w:val="18"/>
        </w:rPr>
      </w:pPr>
      <w:bookmarkStart w:id="22" w:name="_Toc234738399"/>
      <w:bookmarkStart w:id="23" w:name="Xc158216693a76436657ece2ec6714c5fe6e3dcf"/>
      <w:bookmarkEnd w:id="21"/>
      <w:r>
        <w:rPr>
          <w:rFonts w:ascii="Times New Roman" w:hAnsi="Times New Roman" w:cs="Times New Roman"/>
          <w:color w:val="auto"/>
          <w:sz w:val="18"/>
          <w:szCs w:val="18"/>
        </w:rPr>
        <w:t>2.5 Trust, transparency, and explainability in agricultural AI</w:t>
      </w:r>
      <w:bookmarkEnd w:id="22"/>
    </w:p>
    <w:p w14:paraId="32535CBB" w14:textId="1109384C"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A growing qualitative and survey literature has examined why AI adoption in agriculture lags behind its adoption in other high stakes domains, converging on transparency and trust  rather than raw predictive accuracy  as the binding constraint. Interviews with agriculture and food system researchers surfaced persistent, unresolved disagreement over what “responsible AI” even requires in this domain, and explicitly linked the difficulty of earning farmer trust to the foundational role that trust plays in any further technology uptake (</w:t>
      </w:r>
      <w:hyperlink w:anchor="ref-gardezi2023">
        <w:r>
          <w:rPr>
            <w:rStyle w:val="Hyperlink"/>
            <w:rFonts w:ascii="Times New Roman" w:hAnsi="Times New Roman" w:cs="Times New Roman"/>
            <w:sz w:val="18"/>
            <w:szCs w:val="18"/>
          </w:rPr>
          <w:t>Gardezi et al. 2023</w:t>
        </w:r>
      </w:hyperlink>
      <w:r>
        <w:rPr>
          <w:rFonts w:ascii="Times New Roman" w:hAnsi="Times New Roman" w:cs="Times New Roman"/>
          <w:sz w:val="18"/>
          <w:szCs w:val="18"/>
        </w:rPr>
        <w:t>). Companion survey work involving the same broader research programme has argued for treating farming community trust building as a distinct challenge from model accuracy, requiring dedicated governance and communication mechanisms rather than being a side effect of a sufficiently accurate model (</w:t>
      </w:r>
      <w:hyperlink w:anchor="ref-gardezi2022">
        <w:r>
          <w:rPr>
            <w:rStyle w:val="Hyperlink"/>
            <w:rFonts w:ascii="Times New Roman" w:hAnsi="Times New Roman" w:cs="Times New Roman"/>
            <w:sz w:val="18"/>
            <w:szCs w:val="18"/>
          </w:rPr>
          <w:t>Gardezi et al. 2022</w:t>
        </w:r>
      </w:hyperlink>
      <w:r>
        <w:rPr>
          <w:rFonts w:ascii="Times New Roman" w:hAnsi="Times New Roman" w:cs="Times New Roman"/>
          <w:sz w:val="18"/>
          <w:szCs w:val="18"/>
        </w:rPr>
        <w:t>). Persona based studies of dairy farmers’ explainability needs have shown that different farmer profiles require materially different explanation styles and depths, cautioning against a one size fits all transparency layer. A broader body of review work on explainable AI for sustainable agriculture surveys the use of SHAP (</w:t>
      </w:r>
      <w:hyperlink w:anchor="ref-lundberg2017">
        <w:r>
          <w:rPr>
            <w:rStyle w:val="Hyperlink"/>
            <w:rFonts w:ascii="Times New Roman" w:hAnsi="Times New Roman" w:cs="Times New Roman"/>
            <w:sz w:val="18"/>
            <w:szCs w:val="18"/>
          </w:rPr>
          <w:t>Lundberg and Lee 2017</w:t>
        </w:r>
      </w:hyperlink>
      <w:r>
        <w:rPr>
          <w:rFonts w:ascii="Times New Roman" w:hAnsi="Times New Roman" w:cs="Times New Roman"/>
          <w:sz w:val="18"/>
          <w:szCs w:val="18"/>
        </w:rPr>
        <w:t>), LIME (</w:t>
      </w:r>
      <w:hyperlink w:anchor="ref-ribeiro2016">
        <w:r>
          <w:rPr>
            <w:rStyle w:val="Hyperlink"/>
            <w:rFonts w:ascii="Times New Roman" w:hAnsi="Times New Roman" w:cs="Times New Roman"/>
            <w:sz w:val="18"/>
            <w:szCs w:val="18"/>
          </w:rPr>
          <w:t>Ribeiro, Singh, and Guestrin 2016</w:t>
        </w:r>
      </w:hyperlink>
      <w:r>
        <w:rPr>
          <w:rFonts w:ascii="Times New Roman" w:hAnsi="Times New Roman" w:cs="Times New Roman"/>
          <w:sz w:val="18"/>
          <w:szCs w:val="18"/>
        </w:rPr>
        <w:t>), and Grad CAM (</w:t>
      </w:r>
      <w:hyperlink w:anchor="ref-selvaraju2017">
        <w:r>
          <w:rPr>
            <w:rStyle w:val="Hyperlink"/>
            <w:rFonts w:ascii="Times New Roman" w:hAnsi="Times New Roman" w:cs="Times New Roman"/>
            <w:sz w:val="18"/>
            <w:szCs w:val="18"/>
          </w:rPr>
          <w:t>Selvaraju et al. 2017</w:t>
        </w:r>
      </w:hyperlink>
      <w:r>
        <w:rPr>
          <w:rFonts w:ascii="Times New Roman" w:hAnsi="Times New Roman" w:cs="Times New Roman"/>
          <w:sz w:val="18"/>
          <w:szCs w:val="18"/>
        </w:rPr>
        <w:t>) post hoc explanation methods across crop yield, disease, and pest detection deep learning systems, but has so far concentrated on explaining a trained model’s internal feature attributions, rather than on the prior, arguably more basic, question of whether a given output was computed at all versus approximated, heuristic, or unavailable  precisely the distinction that this paper’s Verifiable Reporting Framework framing is intended to make a first class design concern rather than an afterthought.</w:t>
      </w:r>
    </w:p>
    <w:p w14:paraId="43193824" w14:textId="77777777" w:rsidR="00DA00EE" w:rsidRPr="00E32832" w:rsidRDefault="00F84C4B" w:rsidP="00BA5D5D">
      <w:pPr>
        <w:pStyle w:val="Heading3"/>
        <w:jc w:val="both"/>
        <w:rPr>
          <w:rFonts w:ascii="Times New Roman" w:hAnsi="Times New Roman" w:cs="Times New Roman"/>
          <w:color w:val="auto"/>
          <w:sz w:val="18"/>
          <w:szCs w:val="18"/>
        </w:rPr>
      </w:pPr>
      <w:bookmarkStart w:id="24" w:name="_Toc234738400"/>
      <w:bookmarkEnd w:id="23"/>
      <w:r>
        <w:rPr>
          <w:rFonts w:ascii="Times New Roman" w:hAnsi="Times New Roman" w:cs="Times New Roman"/>
          <w:color w:val="auto"/>
          <w:sz w:val="18"/>
          <w:szCs w:val="18"/>
        </w:rPr>
        <w:t>2.6 Positioning of this work</w:t>
      </w:r>
      <w:bookmarkEnd w:id="24"/>
    </w:p>
    <w:p w14:paraId="398B9E7C" w14:textId="7EEFF048"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Relative to this literature, the present paper does not propose a new vegetation index, a new registration algorithm, or a new clustering criterion. Its contribution is architectural and methodological: it documents a working system in which every one of the well established techniques surveyed above (RGB proxy indices, GLCM texture, phase correlation alignment, PCA, LOOCV k NN, validity indexed K Means, generic pretrained deep vision models) is deployed together under a single, auditable honesty constraint, and it uses the software’s own source code  rather than a separate audit report  as the primary evidence for that constraint being upheld throughout.</w:t>
      </w:r>
    </w:p>
    <w:p w14:paraId="3C4BD9FB" w14:textId="77777777" w:rsidR="00DA00EE" w:rsidRPr="00E32832" w:rsidRDefault="00F84C4B" w:rsidP="00BA5D5D">
      <w:pPr>
        <w:pStyle w:val="Heading2"/>
        <w:jc w:val="both"/>
        <w:rPr>
          <w:rFonts w:ascii="Times New Roman" w:hAnsi="Times New Roman" w:cs="Times New Roman"/>
          <w:color w:val="auto"/>
          <w:sz w:val="18"/>
          <w:szCs w:val="18"/>
        </w:rPr>
      </w:pPr>
      <w:bookmarkStart w:id="25" w:name="_Toc234738401"/>
      <w:bookmarkStart w:id="26" w:name="system-architecture"/>
      <w:bookmarkEnd w:id="13"/>
      <w:r>
        <w:rPr>
          <w:rFonts w:ascii="Times New Roman" w:hAnsi="Times New Roman" w:cs="Times New Roman"/>
          <w:color w:val="auto"/>
          <w:sz w:val="18"/>
          <w:szCs w:val="18"/>
        </w:rPr>
        <w:lastRenderedPageBreak/>
        <w:t>3. System Architecture</w:t>
      </w:r>
      <w:bookmarkEnd w:id="25"/>
    </w:p>
    <w:p w14:paraId="44F65158" w14:textId="77777777" w:rsidR="00DA00EE" w:rsidRPr="00E32832" w:rsidRDefault="00F84C4B" w:rsidP="00BA5D5D">
      <w:pPr>
        <w:pStyle w:val="Heading3"/>
        <w:jc w:val="both"/>
        <w:rPr>
          <w:rFonts w:ascii="Times New Roman" w:hAnsi="Times New Roman" w:cs="Times New Roman"/>
          <w:color w:val="auto"/>
          <w:sz w:val="18"/>
          <w:szCs w:val="18"/>
        </w:rPr>
      </w:pPr>
      <w:bookmarkStart w:id="27" w:name="_Toc234738402"/>
      <w:bookmarkStart w:id="28" w:name="Xe5d381489e78d2ba4ff6b2023b8878a6dce6c72"/>
      <w:r>
        <w:rPr>
          <w:rFonts w:ascii="Times New Roman" w:hAnsi="Times New Roman" w:cs="Times New Roman"/>
          <w:color w:val="auto"/>
          <w:sz w:val="18"/>
          <w:szCs w:val="18"/>
        </w:rPr>
        <w:t>3.1 Two interchangeable interfaces over one analysis core</w:t>
      </w:r>
      <w:bookmarkEnd w:id="27"/>
    </w:p>
    <w:p w14:paraId="389B6AAC"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The software is organised as a shared </w:t>
      </w:r>
      <w:r>
        <w:rPr>
          <w:rStyle w:val="VerbatimChar"/>
          <w:rFonts w:ascii="Times New Roman" w:hAnsi="Times New Roman" w:cs="Times New Roman"/>
          <w:sz w:val="18"/>
          <w:szCs w:val="18"/>
        </w:rPr>
        <w:t>core/</w:t>
      </w:r>
      <w:r>
        <w:rPr>
          <w:rFonts w:ascii="Times New Roman" w:hAnsi="Times New Roman" w:cs="Times New Roman"/>
          <w:sz w:val="18"/>
          <w:szCs w:val="18"/>
        </w:rPr>
        <w:t xml:space="preserve"> analysis package consumed by two independent front ends. </w:t>
      </w:r>
      <w:r>
        <w:rPr>
          <w:rStyle w:val="VerbatimChar"/>
          <w:rFonts w:ascii="Times New Roman" w:hAnsi="Times New Roman" w:cs="Times New Roman"/>
          <w:sz w:val="18"/>
          <w:szCs w:val="18"/>
        </w:rPr>
        <w:t>main.py</w:t>
      </w:r>
      <w:r>
        <w:rPr>
          <w:rFonts w:ascii="Times New Roman" w:hAnsi="Times New Roman" w:cs="Times New Roman"/>
          <w:sz w:val="18"/>
          <w:szCs w:val="18"/>
        </w:rPr>
        <w:t xml:space="preserve"> presents a QGIS style GIS Workbench built on PyQt6, structured around a familiar desktop GIS metaphor: a Layers dock (left) listing available raster outputs with a per layer symbology dropdown; an Image Manager dock (left, tabbed with Layers) for bulk loading, renaming, deleting, and refreshing session images from a working directory; a central Map Canvas showing only the aggregate composite’s measured layers (never a raw, unprocessed photograph); a central Raw Preview tab reserved for browsing individual source photographs for quality control purposes only, explicitly kept separate from any analysis output; a right hand dock combining aggregate statistics with the cross image similarity recommendation panel; a bottom Attribute Table giving a per image quality control record; a bottom Field &amp; Sensor Data panel for manual entry of ground truth measurements; and a Log panel recording execution. </w:t>
      </w:r>
      <w:r>
        <w:rPr>
          <w:rStyle w:val="VerbatimChar"/>
          <w:rFonts w:ascii="Times New Roman" w:hAnsi="Times New Roman" w:cs="Times New Roman"/>
          <w:sz w:val="18"/>
          <w:szCs w:val="18"/>
        </w:rPr>
        <w:t>main_classic.py</w:t>
      </w:r>
      <w:r>
        <w:rPr>
          <w:rFonts w:ascii="Times New Roman" w:hAnsi="Times New Roman" w:cs="Times New Roman"/>
          <w:sz w:val="18"/>
          <w:szCs w:val="18"/>
        </w:rPr>
        <w:t xml:space="preserve"> presents a simpler, single window Tkinter application requiring no PyQt6 dependency, built around an explicit input → checklist → run → save workflow, in which the user selects images via a native file </w:t>
      </w:r>
      <w:r>
        <w:rPr>
          <w:rFonts w:ascii="Times New Roman" w:hAnsi="Times New Roman" w:cs="Times New Roman"/>
          <w:sz w:val="18"/>
          <w:szCs w:val="18"/>
        </w:rPr>
        <w:t>dialog, ticks the desired analyses from a checklist of nineteen options, and receives a single assembled matplotlib figure (one row per image for per image analyses, one full width row per batch level analysis) that is then saved to disk as PNG, JPEG, or PDF.</w:t>
      </w:r>
    </w:p>
    <w:p w14:paraId="3D5809D3" w14:textId="58E4120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Both interfaces call into the same fourteen </w:t>
      </w:r>
      <w:r>
        <w:rPr>
          <w:rStyle w:val="VerbatimChar"/>
          <w:rFonts w:ascii="Times New Roman" w:hAnsi="Times New Roman" w:cs="Times New Roman"/>
          <w:sz w:val="18"/>
          <w:szCs w:val="18"/>
        </w:rPr>
        <w:t>core/</w:t>
      </w:r>
      <w:r>
        <w:rPr>
          <w:rFonts w:ascii="Times New Roman" w:hAnsi="Times New Roman" w:cs="Times New Roman"/>
          <w:sz w:val="18"/>
          <w:szCs w:val="18"/>
        </w:rPr>
        <w:t xml:space="preserve"> modules, ensuring that the two front ends can never disagree about what a given metric means or how it was computed  a property that matters specifically because of the Verifiable Reporting Framework commitment: if the PyQt6 workbench and the Tkinter classic app used separately maintained analysis logic, the two could silently drift apart in what they report as “available” versus “unavailable,” reintroducing exactly the kind of undisclosed inconsistency the architecture is designed to prevent.</w:t>
      </w:r>
    </w:p>
    <w:p w14:paraId="757DA61C" w14:textId="77777777" w:rsidR="00DA00EE" w:rsidRPr="00E32832" w:rsidRDefault="00F84C4B" w:rsidP="00BA5D5D">
      <w:pPr>
        <w:pStyle w:val="Heading3"/>
        <w:jc w:val="both"/>
        <w:rPr>
          <w:rFonts w:ascii="Times New Roman" w:hAnsi="Times New Roman" w:cs="Times New Roman"/>
          <w:color w:val="auto"/>
          <w:sz w:val="18"/>
          <w:szCs w:val="18"/>
        </w:rPr>
      </w:pPr>
      <w:bookmarkStart w:id="29" w:name="_Toc234738403"/>
      <w:bookmarkStart w:id="30" w:name="module-inventory"/>
      <w:bookmarkEnd w:id="28"/>
      <w:r>
        <w:rPr>
          <w:rFonts w:ascii="Times New Roman" w:hAnsi="Times New Roman" w:cs="Times New Roman"/>
          <w:color w:val="auto"/>
          <w:sz w:val="18"/>
          <w:szCs w:val="18"/>
        </w:rPr>
        <w:t>3.2 Module inventory</w:t>
      </w:r>
      <w:bookmarkEnd w:id="29"/>
    </w:p>
    <w:p w14:paraId="705A84CB" w14:textId="77777777"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Table 1 summarises the fourteen </w:t>
      </w:r>
      <w:r>
        <w:rPr>
          <w:rStyle w:val="VerbatimChar"/>
          <w:rFonts w:ascii="Times New Roman" w:hAnsi="Times New Roman" w:cs="Times New Roman"/>
          <w:sz w:val="18"/>
          <w:szCs w:val="18"/>
        </w:rPr>
        <w:t>core/</w:t>
      </w:r>
      <w:r>
        <w:rPr>
          <w:rFonts w:ascii="Times New Roman" w:hAnsi="Times New Roman" w:cs="Times New Roman"/>
          <w:sz w:val="18"/>
          <w:szCs w:val="18"/>
        </w:rPr>
        <w:t xml:space="preserve"> modules plus the GACL reference implementation modules and the GUI/CLI entry points that expose them, together with the honesty category (real / proxy heuristic / explicitly unavailable / quarantined simulated demo / implemented but empirically unvalidated) that dominates each module’s output.</w:t>
      </w:r>
    </w:p>
    <w:p w14:paraId="5BA54D11"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Table 1. Core module inventory and honesty classification.</w:t>
      </w:r>
    </w:p>
    <w:tbl>
      <w:tblPr>
        <w:tblStyle w:val="Table"/>
        <w:tblW w:w="5000" w:type="pct"/>
        <w:tblLook w:val="0020" w:firstRow="1" w:lastRow="0" w:firstColumn="0" w:lastColumn="0" w:noHBand="0" w:noVBand="0"/>
      </w:tblPr>
      <w:tblGrid>
        <w:gridCol w:w="1891"/>
        <w:gridCol w:w="4874"/>
        <w:gridCol w:w="2981"/>
      </w:tblGrid>
      <w:tr w:rsidR="00DA00EE" w:rsidRPr="00E32832" w14:paraId="38D0780B" w14:textId="77777777" w:rsidTr="00DA00EE">
        <w:trPr>
          <w:cnfStyle w:val="100000000000" w:firstRow="1" w:lastRow="0" w:firstColumn="0" w:lastColumn="0" w:oddVBand="0" w:evenVBand="0" w:oddHBand="0" w:evenHBand="0" w:firstRowFirstColumn="0" w:firstRowLastColumn="0" w:lastRowFirstColumn="0" w:lastRowLastColumn="0"/>
          <w:tblHeader/>
        </w:trPr>
        <w:tc>
          <w:tcPr>
            <w:tcW w:w="0" w:type="auto"/>
          </w:tcPr>
          <w:p w14:paraId="6F8A5F9D"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Module</w:t>
            </w:r>
          </w:p>
        </w:tc>
        <w:tc>
          <w:tcPr>
            <w:tcW w:w="0" w:type="auto"/>
          </w:tcPr>
          <w:p w14:paraId="2A82ED18"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Primary function</w:t>
            </w:r>
          </w:p>
        </w:tc>
        <w:tc>
          <w:tcPr>
            <w:tcW w:w="0" w:type="auto"/>
          </w:tcPr>
          <w:p w14:paraId="7BCE6A49"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Dominant honesty category</w:t>
            </w:r>
          </w:p>
        </w:tc>
      </w:tr>
      <w:tr w:rsidR="00DA00EE" w:rsidRPr="00E32832" w14:paraId="497EC256" w14:textId="77777777">
        <w:tc>
          <w:tcPr>
            <w:tcW w:w="0" w:type="auto"/>
          </w:tcPr>
          <w:p w14:paraId="309A0BD9"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alignment.py</w:t>
            </w:r>
          </w:p>
        </w:tc>
        <w:tc>
          <w:tcPr>
            <w:tcW w:w="0" w:type="auto"/>
          </w:tcPr>
          <w:p w14:paraId="20C5531C"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Streaming batch aligner: phase correlation registration, running sum composite, per image lightweight descriptor</w:t>
            </w:r>
          </w:p>
        </w:tc>
        <w:tc>
          <w:tcPr>
            <w:tcW w:w="0" w:type="auto"/>
          </w:tcPr>
          <w:p w14:paraId="4D12136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(translation only; limitation disclosed)</w:t>
            </w:r>
          </w:p>
        </w:tc>
      </w:tr>
      <w:tr w:rsidR="00DA00EE" w:rsidRPr="00E32832" w14:paraId="2B231844" w14:textId="77777777">
        <w:tc>
          <w:tcPr>
            <w:tcW w:w="0" w:type="auto"/>
          </w:tcPr>
          <w:p w14:paraId="1EF2435F"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indices.py</w:t>
            </w:r>
          </w:p>
        </w:tc>
        <w:tc>
          <w:tcPr>
            <w:tcW w:w="0" w:type="auto"/>
          </w:tcPr>
          <w:p w14:paraId="4F0F5D17"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Per image statistics; NDVI/NDWI proxies; 8 D descriptor vector</w:t>
            </w:r>
          </w:p>
        </w:tc>
        <w:tc>
          <w:tcPr>
            <w:tcW w:w="0" w:type="auto"/>
          </w:tcPr>
          <w:p w14:paraId="1B73236F"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computation; proxy indices labelled</w:t>
            </w:r>
          </w:p>
        </w:tc>
      </w:tr>
      <w:tr w:rsidR="00DA00EE" w:rsidRPr="00E32832" w14:paraId="205EB443" w14:textId="77777777">
        <w:tc>
          <w:tcPr>
            <w:tcW w:w="0" w:type="auto"/>
          </w:tcPr>
          <w:p w14:paraId="7C66B25B"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vegetation_indices.py</w:t>
            </w:r>
          </w:p>
        </w:tc>
        <w:tc>
          <w:tcPr>
            <w:tcW w:w="0" w:type="auto"/>
          </w:tcPr>
          <w:p w14:paraId="0AD53C1B"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Full RGB proxy index family (GNDVI, EVI, SAVI, MSAVI, OSAVI, CI) plus explicit unavailable markers (NDRE, PRI, MSI, ARI)</w:t>
            </w:r>
          </w:p>
        </w:tc>
        <w:tc>
          <w:tcPr>
            <w:tcW w:w="0" w:type="auto"/>
          </w:tcPr>
          <w:p w14:paraId="316F92C7"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Proxy (labelled) / explicitly unavailable</w:t>
            </w:r>
          </w:p>
        </w:tc>
      </w:tr>
      <w:tr w:rsidR="00DA00EE" w:rsidRPr="00E32832" w14:paraId="0879A64F" w14:textId="77777777">
        <w:tc>
          <w:tcPr>
            <w:tcW w:w="0" w:type="auto"/>
          </w:tcPr>
          <w:p w14:paraId="6C362B41"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multispectral.py</w:t>
            </w:r>
          </w:p>
        </w:tc>
        <w:tc>
          <w:tcPr>
            <w:tcW w:w="0" w:type="auto"/>
          </w:tcPr>
          <w:p w14:paraId="7526504D"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True NDVI/NDRE from calibrated UAV multi band GeoTIFFs or grouped single band files</w:t>
            </w:r>
          </w:p>
        </w:tc>
        <w:tc>
          <w:tcPr>
            <w:tcW w:w="0" w:type="auto"/>
          </w:tcPr>
          <w:p w14:paraId="59E38532"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(only when true bands are loaded)</w:t>
            </w:r>
          </w:p>
        </w:tc>
      </w:tr>
      <w:tr w:rsidR="00DA00EE" w:rsidRPr="00E32832" w14:paraId="48A8663B" w14:textId="77777777">
        <w:tc>
          <w:tcPr>
            <w:tcW w:w="0" w:type="auto"/>
          </w:tcPr>
          <w:p w14:paraId="3DEDE1B1"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texture_features.py</w:t>
            </w:r>
          </w:p>
        </w:tc>
        <w:tc>
          <w:tcPr>
            <w:tcW w:w="0" w:type="auto"/>
          </w:tcPr>
          <w:p w14:paraId="69F8179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Standard six feature GLCM/Haralick texture vector</w:t>
            </w:r>
          </w:p>
        </w:tc>
        <w:tc>
          <w:tcPr>
            <w:tcW w:w="0" w:type="auto"/>
          </w:tcPr>
          <w:p w14:paraId="6DAE0951"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w:t>
            </w:r>
          </w:p>
        </w:tc>
      </w:tr>
      <w:tr w:rsidR="00DA00EE" w:rsidRPr="00E32832" w14:paraId="5FC1A546" w14:textId="77777777">
        <w:tc>
          <w:tcPr>
            <w:tcW w:w="0" w:type="auto"/>
          </w:tcPr>
          <w:p w14:paraId="7F66BE5F"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texture.py</w:t>
            </w:r>
          </w:p>
        </w:tc>
        <w:tc>
          <w:tcPr>
            <w:tcW w:w="0" w:type="auto"/>
          </w:tcPr>
          <w:p w14:paraId="23A233A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Invariant texture map, quadrant cross crop alignment, K Means colour quantisation loss curve, IDW interpolation, root/vein skeletonisation</w:t>
            </w:r>
          </w:p>
        </w:tc>
        <w:tc>
          <w:tcPr>
            <w:tcW w:w="0" w:type="auto"/>
          </w:tcPr>
          <w:p w14:paraId="20A4724D"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(heuristic quadrant labels noted)</w:t>
            </w:r>
          </w:p>
        </w:tc>
      </w:tr>
      <w:tr w:rsidR="00DA00EE" w:rsidRPr="00E32832" w14:paraId="6774E2E2" w14:textId="77777777">
        <w:tc>
          <w:tcPr>
            <w:tcW w:w="0" w:type="auto"/>
          </w:tcPr>
          <w:p w14:paraId="22EE5C34"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morphology_profile.py</w:t>
            </w:r>
          </w:p>
        </w:tc>
        <w:tc>
          <w:tcPr>
            <w:tcW w:w="0" w:type="auto"/>
          </w:tcPr>
          <w:p w14:paraId="2D53EE57"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Classical CV proxies for lesion texture, boundary sharpness, chlorotic discolouration, symptom spatial distribution; EXIF acquisition geometry; illumination/shadow/glare; canopy shape descriptors</w:t>
            </w:r>
          </w:p>
        </w:tc>
        <w:tc>
          <w:tcPr>
            <w:tcW w:w="0" w:type="auto"/>
          </w:tcPr>
          <w:p w14:paraId="07EB42F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classical CV, explicitly framed as proxies for pathology, not a trained pathology model</w:t>
            </w:r>
          </w:p>
        </w:tc>
      </w:tr>
      <w:tr w:rsidR="00DA00EE" w:rsidRPr="00E32832" w14:paraId="6D93139C" w14:textId="77777777">
        <w:tc>
          <w:tcPr>
            <w:tcW w:w="0" w:type="auto"/>
          </w:tcPr>
          <w:p w14:paraId="0A30DA30"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embedding_metrics.py</w:t>
            </w:r>
          </w:p>
        </w:tc>
        <w:tc>
          <w:tcPr>
            <w:tcW w:w="0" w:type="auto"/>
          </w:tcPr>
          <w:p w14:paraId="0F2F0E00"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8 D descriptor pairwise similarity/distance; latent variance; intra/inter class similarity (needs labels); InfoNCE style loss; invariance tests; cross image similarity recommendation; label gated classification metrics</w:t>
            </w:r>
          </w:p>
        </w:tc>
        <w:tc>
          <w:tcPr>
            <w:tcW w:w="0" w:type="auto"/>
          </w:tcPr>
          <w:p w14:paraId="1B38D012"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 xml:space="preserve">Real, with clear </w:t>
            </w:r>
            <w:r>
              <w:rPr>
                <w:rStyle w:val="VerbatimChar"/>
                <w:rFonts w:ascii="Times New Roman" w:hAnsi="Times New Roman" w:cs="Times New Roman"/>
                <w:sz w:val="18"/>
                <w:szCs w:val="18"/>
              </w:rPr>
              <w:t>N/A</w:t>
            </w:r>
            <w:r>
              <w:rPr>
                <w:rFonts w:ascii="Times New Roman" w:hAnsi="Times New Roman" w:cs="Times New Roman"/>
                <w:sz w:val="18"/>
                <w:szCs w:val="18"/>
              </w:rPr>
              <w:t xml:space="preserve"> fallbacks where ground truth is absent</w:t>
            </w:r>
          </w:p>
        </w:tc>
      </w:tr>
      <w:tr w:rsidR="00DA00EE" w:rsidRPr="00E32832" w14:paraId="013D7C9D" w14:textId="77777777">
        <w:tc>
          <w:tcPr>
            <w:tcW w:w="0" w:type="auto"/>
          </w:tcPr>
          <w:p w14:paraId="3E64360B"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ml_classifier.py</w:t>
            </w:r>
          </w:p>
        </w:tc>
        <w:tc>
          <w:tcPr>
            <w:tcW w:w="0" w:type="auto"/>
          </w:tcPr>
          <w:p w14:paraId="257A0CE7"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LOOCV k NN (if labels exist) or silhouette/DB/CH validated K Means (if not)</w:t>
            </w:r>
          </w:p>
        </w:tc>
        <w:tc>
          <w:tcPr>
            <w:tcW w:w="0" w:type="auto"/>
          </w:tcPr>
          <w:p w14:paraId="564DC9A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mode chosen transparently and disclosed</w:t>
            </w:r>
          </w:p>
        </w:tc>
      </w:tr>
      <w:tr w:rsidR="00DA00EE" w:rsidRPr="00E32832" w14:paraId="6E936B58" w14:textId="77777777">
        <w:tc>
          <w:tcPr>
            <w:tcW w:w="0" w:type="auto"/>
          </w:tcPr>
          <w:p w14:paraId="2EE232F5"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ml_models.py</w:t>
            </w:r>
          </w:p>
        </w:tc>
        <w:tc>
          <w:tcPr>
            <w:tcW w:w="0" w:type="auto"/>
          </w:tcPr>
          <w:p w14:paraId="36C9A305"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Optional ImageNet pretrained ResNet101 and COCO pretrained Faster R CNN inference</w:t>
            </w:r>
          </w:p>
        </w:tc>
        <w:tc>
          <w:tcPr>
            <w:tcW w:w="0" w:type="auto"/>
          </w:tcPr>
          <w:p w14:paraId="707FB6C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(generic categories, not agronomic pathology classes; explicit unavailability message if torch/weights missing)</w:t>
            </w:r>
          </w:p>
        </w:tc>
      </w:tr>
      <w:tr w:rsidR="00DA00EE" w:rsidRPr="00E32832" w14:paraId="16A6D2FA" w14:textId="77777777">
        <w:tc>
          <w:tcPr>
            <w:tcW w:w="0" w:type="auto"/>
          </w:tcPr>
          <w:p w14:paraId="288A0FC6"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batch.py</w:t>
            </w:r>
          </w:p>
        </w:tc>
        <w:tc>
          <w:tcPr>
            <w:tcW w:w="0" w:type="auto"/>
          </w:tcPr>
          <w:p w14:paraId="538BDBB2"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Cross image PCA feature space projection, linear NDVI trend, descriptive batch summary (full image and descriptor only variants)</w:t>
            </w:r>
          </w:p>
        </w:tc>
        <w:tc>
          <w:tcPr>
            <w:tcW w:w="0" w:type="auto"/>
          </w:tcPr>
          <w:p w14:paraId="3778216B"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w:t>
            </w:r>
          </w:p>
        </w:tc>
      </w:tr>
      <w:tr w:rsidR="00DA00EE" w:rsidRPr="00E32832" w14:paraId="3D84278E" w14:textId="77777777">
        <w:tc>
          <w:tcPr>
            <w:tcW w:w="0" w:type="auto"/>
          </w:tcPr>
          <w:p w14:paraId="18F870C7"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field_data.py</w:t>
            </w:r>
          </w:p>
        </w:tc>
        <w:tc>
          <w:tcPr>
            <w:tcW w:w="0" w:type="auto"/>
          </w:tcPr>
          <w:p w14:paraId="0E0B3F5D"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Schema and empty row generator for 25 field/sensor metrics that cannot be derived from an RGB photo</w:t>
            </w:r>
          </w:p>
        </w:tc>
        <w:tc>
          <w:tcPr>
            <w:tcW w:w="0" w:type="auto"/>
          </w:tcPr>
          <w:p w14:paraId="608A87AF"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(never pre filled with guesses)</w:t>
            </w:r>
          </w:p>
        </w:tc>
      </w:tr>
      <w:tr w:rsidR="00DA00EE" w:rsidRPr="00E32832" w14:paraId="1C546C68" w14:textId="77777777">
        <w:tc>
          <w:tcPr>
            <w:tcW w:w="0" w:type="auto"/>
          </w:tcPr>
          <w:p w14:paraId="11EE4A68"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raster_layers.py</w:t>
            </w:r>
          </w:p>
        </w:tc>
        <w:tc>
          <w:tcPr>
            <w:tcW w:w="0" w:type="auto"/>
          </w:tcPr>
          <w:p w14:paraId="7DA926C2"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Map canvas layer registry: array function, value range, colormap options, unit label per layer</w:t>
            </w:r>
          </w:p>
        </w:tc>
        <w:tc>
          <w:tcPr>
            <w:tcW w:w="0" w:type="auto"/>
          </w:tcPr>
          <w:p w14:paraId="5D40DC6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(registry metadata, not computed values themselves)</w:t>
            </w:r>
          </w:p>
        </w:tc>
      </w:tr>
      <w:tr w:rsidR="00DA00EE" w:rsidRPr="00E32832" w14:paraId="2A2F6709" w14:textId="77777777">
        <w:tc>
          <w:tcPr>
            <w:tcW w:w="0" w:type="auto"/>
          </w:tcPr>
          <w:p w14:paraId="6DCF9776"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lastRenderedPageBreak/>
              <w:t>pdf_export.py</w:t>
            </w:r>
          </w:p>
        </w:tc>
        <w:tc>
          <w:tcPr>
            <w:tcW w:w="0" w:type="auto"/>
          </w:tcPr>
          <w:p w14:paraId="4FF28739"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Multi page PDF assembly of matplotlib figures</w:t>
            </w:r>
          </w:p>
        </w:tc>
        <w:tc>
          <w:tcPr>
            <w:tcW w:w="0" w:type="auto"/>
          </w:tcPr>
          <w:p w14:paraId="263A6B3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(export utility)</w:t>
            </w:r>
          </w:p>
        </w:tc>
      </w:tr>
      <w:tr w:rsidR="00DA00EE" w:rsidRPr="00E32832" w14:paraId="2162A0DC" w14:textId="77777777">
        <w:tc>
          <w:tcPr>
            <w:tcW w:w="0" w:type="auto"/>
          </w:tcPr>
          <w:p w14:paraId="77908022" w14:textId="42F99D9D" w:rsidR="00DA00EE" w:rsidRPr="00E32832" w:rsidRDefault="007D28CC"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 xml:space="preserve"> _reference_model.py</w:t>
            </w:r>
          </w:p>
        </w:tc>
        <w:tc>
          <w:tcPr>
            <w:tcW w:w="0" w:type="auto"/>
          </w:tcPr>
          <w:p w14:paraId="7D909D92"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Fabricated dataset trained Random Forest “reference classifier,” quarantined behind a persistent “SIMULATED DEMO” disclaimer</w:t>
            </w:r>
          </w:p>
        </w:tc>
        <w:tc>
          <w:tcPr>
            <w:tcW w:w="0" w:type="auto"/>
          </w:tcPr>
          <w:p w14:paraId="2FF9E8BE"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Explicitly quarantined simulated demonstration</w:t>
            </w:r>
          </w:p>
        </w:tc>
      </w:tr>
      <w:tr w:rsidR="00DA00EE" w:rsidRPr="00E32832" w14:paraId="2286F5A5" w14:textId="77777777">
        <w:tc>
          <w:tcPr>
            <w:tcW w:w="0" w:type="auto"/>
          </w:tcPr>
          <w:p w14:paraId="5FC1D79C" w14:textId="77777777" w:rsidR="00DA00EE" w:rsidRPr="00E32832" w:rsidRDefault="00F84C4B" w:rsidP="00BA5D5D">
            <w:pPr>
              <w:pStyle w:val="Compact"/>
              <w:jc w:val="both"/>
              <w:rPr>
                <w:rFonts w:ascii="Times New Roman" w:hAnsi="Times New Roman" w:cs="Times New Roman"/>
                <w:sz w:val="18"/>
                <w:szCs w:val="18"/>
              </w:rPr>
            </w:pPr>
            <w:r>
              <w:rPr>
                <w:rStyle w:val="VerbatimChar"/>
                <w:rFonts w:ascii="Times New Roman" w:hAnsi="Times New Roman" w:cs="Times New Roman"/>
                <w:sz w:val="18"/>
                <w:szCs w:val="18"/>
              </w:rPr>
              <w:t>qgis_ui/gacl_panel.py</w:t>
            </w:r>
          </w:p>
        </w:tc>
        <w:tc>
          <w:tcPr>
            <w:tcW w:w="0" w:type="auto"/>
          </w:tcPr>
          <w:p w14:paraId="2A7964A6"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GUI dock exposing GACL measurements: live RandomForest learnable structure check and live GACL evaluation metrics, both run on demand from within the GIS Workbench</w:t>
            </w:r>
          </w:p>
        </w:tc>
        <w:tc>
          <w:tcPr>
            <w:tcW w:w="0" w:type="auto"/>
          </w:tcPr>
          <w:p w14:paraId="0E16FA2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Real, with explicit environment dependent unavailability (torch/checkpoint) states</w:t>
            </w:r>
          </w:p>
        </w:tc>
      </w:tr>
    </w:tbl>
    <w:p w14:paraId="2E8A881E" w14:textId="77777777" w:rsidR="00DA00EE" w:rsidRPr="00E32832" w:rsidRDefault="00DA00EE" w:rsidP="00BA5D5D">
      <w:pPr>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space="708"/>
          <w:docGrid w:linePitch="360"/>
        </w:sectPr>
      </w:pPr>
    </w:p>
    <w:p w14:paraId="1394C430" w14:textId="77777777" w:rsidR="00DA00EE" w:rsidRPr="00E32832" w:rsidRDefault="00DA00EE" w:rsidP="00BA5D5D">
      <w:pPr>
        <w:jc w:val="both"/>
        <w:rPr>
          <w:rFonts w:ascii="Times New Roman" w:hAnsi="Times New Roman" w:cs="Times New Roman"/>
          <w:sz w:val="18"/>
          <w:szCs w:val="18"/>
        </w:rPr>
      </w:pPr>
    </w:p>
    <w:p w14:paraId="4D371E62" w14:textId="77777777" w:rsidR="00DA00EE" w:rsidRPr="00E32832" w:rsidRDefault="00F84C4B" w:rsidP="00BA5D5D">
      <w:pPr>
        <w:pStyle w:val="Heading3"/>
        <w:jc w:val="both"/>
        <w:rPr>
          <w:rFonts w:ascii="Times New Roman" w:hAnsi="Times New Roman" w:cs="Times New Roman"/>
          <w:b w:val="0"/>
          <w:bCs w:val="0"/>
          <w:color w:val="auto"/>
          <w:sz w:val="18"/>
          <w:szCs w:val="18"/>
        </w:rPr>
      </w:pPr>
      <w:bookmarkStart w:id="31" w:name="_Toc234738404"/>
      <w:bookmarkStart w:id="32" w:name="data-and-control-flow"/>
      <w:bookmarkEnd w:id="30"/>
      <w:r>
        <w:rPr>
          <w:rFonts w:ascii="Times New Roman" w:hAnsi="Times New Roman" w:cs="Times New Roman"/>
          <w:b w:val="0"/>
          <w:bCs w:val="0"/>
          <w:color w:val="auto"/>
          <w:sz w:val="18"/>
          <w:szCs w:val="18"/>
        </w:rPr>
        <w:t>3.3 Data and control flow</w:t>
      </w:r>
      <w:bookmarkEnd w:id="31"/>
    </w:p>
    <w:p w14:paraId="5695713D" w14:textId="28A19D42" w:rsidR="00BA5D5D"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Figure 4C (Section 4.1) illustrates the memory behaviour of the module most central to the architecture’s scalability claim  the streaming batch aligner  but the broader control flow is as follows. On “Browse Images” or “Set Working Directory,” the Image Manager registers a list of file paths without loading any image data. “Align &amp; Build Composite” then streams through this list one file at a time inside </w:t>
      </w:r>
      <w:r>
        <w:rPr>
          <w:rStyle w:val="VerbatimChar"/>
          <w:rFonts w:ascii="Times New Roman" w:hAnsi="Times New Roman" w:cs="Times New Roman"/>
          <w:sz w:val="18"/>
          <w:szCs w:val="18"/>
        </w:rPr>
        <w:t>BatchAligner.add_image()</w:t>
      </w:r>
      <w:r>
        <w:rPr>
          <w:rFonts w:ascii="Times New Roman" w:hAnsi="Times New Roman" w:cs="Times New Roman"/>
          <w:sz w:val="18"/>
          <w:szCs w:val="18"/>
        </w:rPr>
        <w:t xml:space="preserve">: each image is opened, resized to a common working canvas, registered to a running reference via phase correlation, folded into a running RGB sum and sum of squares accumulator, and then allowed to be garbage collected  at no point are all N images resident in memory simultaneously. A lightweight eight number descriptor (mean intensity, intensity standard deviation, edge density, per channel means, mean and standard deviation of the </w:t>
      </w:r>
    </w:p>
    <w:p w14:paraId="3E26109F" w14:textId="77777777" w:rsidR="00BA5D5D" w:rsidRPr="00E32832" w:rsidRDefault="00BA5D5D" w:rsidP="00BA5D5D">
      <w:pPr>
        <w:pStyle w:val="FirstParagraph"/>
        <w:jc w:val="both"/>
        <w:rPr>
          <w:rFonts w:ascii="Times New Roman" w:hAnsi="Times New Roman" w:cs="Times New Roman"/>
          <w:sz w:val="18"/>
          <w:szCs w:val="18"/>
        </w:rPr>
      </w:pPr>
    </w:p>
    <w:p w14:paraId="555866F9" w14:textId="77777777" w:rsidR="00BA5D5D" w:rsidRPr="00E32832" w:rsidRDefault="00BA5D5D" w:rsidP="00BA5D5D">
      <w:pPr>
        <w:pStyle w:val="FirstParagraph"/>
        <w:jc w:val="both"/>
        <w:rPr>
          <w:rFonts w:ascii="Times New Roman" w:hAnsi="Times New Roman" w:cs="Times New Roman"/>
          <w:sz w:val="18"/>
          <w:szCs w:val="18"/>
        </w:rPr>
      </w:pPr>
    </w:p>
    <w:p w14:paraId="3B7335AD" w14:textId="77777777" w:rsidR="00BA5D5D" w:rsidRPr="00E32832" w:rsidRDefault="00BA5D5D" w:rsidP="00BA5D5D">
      <w:pPr>
        <w:pStyle w:val="FirstParagraph"/>
        <w:jc w:val="both"/>
        <w:rPr>
          <w:rFonts w:ascii="Times New Roman" w:hAnsi="Times New Roman" w:cs="Times New Roman"/>
          <w:sz w:val="18"/>
          <w:szCs w:val="18"/>
        </w:rPr>
      </w:pPr>
    </w:p>
    <w:p w14:paraId="4DDEF1CF"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NDVI proxy map) is retained per successfully processed image in an </w:t>
      </w:r>
      <w:r>
        <w:rPr>
          <w:rStyle w:val="VerbatimChar"/>
          <w:rFonts w:ascii="Times New Roman" w:hAnsi="Times New Roman" w:cs="Times New Roman"/>
          <w:sz w:val="18"/>
          <w:szCs w:val="18"/>
        </w:rPr>
        <w:t>ImageRecord</w:t>
      </w:r>
      <w:r>
        <w:rPr>
          <w:rFonts w:ascii="Times New Roman" w:hAnsi="Times New Roman" w:cs="Times New Roman"/>
          <w:sz w:val="18"/>
          <w:szCs w:val="18"/>
        </w:rPr>
        <w:t xml:space="preserve">, supporting all subsequent cross image analyses (PCA projection, clustering, similarity recommendation, trend fitting) without requiring the full resolution pixel data to be kept around. </w:t>
      </w:r>
      <w:r>
        <w:rPr>
          <w:rStyle w:val="VerbatimChar"/>
          <w:rFonts w:ascii="Times New Roman" w:hAnsi="Times New Roman" w:cs="Times New Roman"/>
          <w:sz w:val="18"/>
          <w:szCs w:val="18"/>
        </w:rPr>
        <w:t>finalize()</w:t>
      </w:r>
      <w:r>
        <w:rPr>
          <w:rFonts w:ascii="Times New Roman" w:hAnsi="Times New Roman" w:cs="Times New Roman"/>
          <w:sz w:val="18"/>
          <w:szCs w:val="18"/>
        </w:rPr>
        <w:t xml:space="preserve"> then produces a </w:t>
      </w:r>
      <w:r>
        <w:rPr>
          <w:rStyle w:val="VerbatimChar"/>
          <w:rFonts w:ascii="Times New Roman" w:hAnsi="Times New Roman" w:cs="Times New Roman"/>
          <w:sz w:val="18"/>
          <w:szCs w:val="18"/>
        </w:rPr>
        <w:t>CompositeResult</w:t>
      </w:r>
      <w:r>
        <w:rPr>
          <w:rFonts w:ascii="Times New Roman" w:hAnsi="Times New Roman" w:cs="Times New Roman"/>
          <w:sz w:val="18"/>
          <w:szCs w:val="18"/>
        </w:rPr>
        <w:t xml:space="preserve"> containing the mean RGB composite, the per pixel standard deviation (“variability”) map, and, where UAV multispectral bands were present, the mean NIR and red edge bands for true index computation.</w:t>
      </w:r>
    </w:p>
    <w:p w14:paraId="7CEF625E" w14:textId="2B924563"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Analyses selected in the Reports &amp; Charts checklist are dispatched to the corresponding </w:t>
      </w:r>
      <w:r>
        <w:rPr>
          <w:rStyle w:val="VerbatimChar"/>
          <w:rFonts w:ascii="Times New Roman" w:hAnsi="Times New Roman" w:cs="Times New Roman"/>
          <w:sz w:val="18"/>
          <w:szCs w:val="18"/>
        </w:rPr>
        <w:t>core/</w:t>
      </w:r>
      <w:r>
        <w:rPr>
          <w:rFonts w:ascii="Times New Roman" w:hAnsi="Times New Roman" w:cs="Times New Roman"/>
          <w:sz w:val="18"/>
          <w:szCs w:val="18"/>
        </w:rPr>
        <w:t xml:space="preserve"> function, which is always given either the composite array (for map canvas layers) or the list of </w:t>
      </w:r>
      <w:r>
        <w:rPr>
          <w:rStyle w:val="VerbatimChar"/>
          <w:rFonts w:ascii="Times New Roman" w:hAnsi="Times New Roman" w:cs="Times New Roman"/>
          <w:sz w:val="18"/>
          <w:szCs w:val="18"/>
        </w:rPr>
        <w:t>ImageRecord</w:t>
      </w:r>
      <w:r>
        <w:rPr>
          <w:rFonts w:ascii="Times New Roman" w:hAnsi="Times New Roman" w:cs="Times New Roman"/>
          <w:sz w:val="18"/>
          <w:szCs w:val="18"/>
        </w:rPr>
        <w:t xml:space="preserve"> descriptors (for batch level panels)  never a partially loaded or inconsistent intermediate state. The resulting matplotlib figure(s) can be exported individually (Save Map, Save Report) or combined into a single multi page PDF via </w:t>
      </w:r>
      <w:r>
        <w:rPr>
          <w:rStyle w:val="VerbatimChar"/>
          <w:rFonts w:ascii="Times New Roman" w:hAnsi="Times New Roman" w:cs="Times New Roman"/>
          <w:sz w:val="18"/>
          <w:szCs w:val="18"/>
        </w:rPr>
        <w:t>pdf_export.export_figures_to_pdf()</w:t>
      </w:r>
      <w:r>
        <w:rPr>
          <w:rFonts w:ascii="Times New Roman" w:hAnsi="Times New Roman" w:cs="Times New Roman"/>
          <w:sz w:val="18"/>
          <w:szCs w:val="18"/>
        </w:rPr>
        <w:t>.</w:t>
      </w:r>
    </w:p>
    <w:p w14:paraId="069DBDFE"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drawing>
          <wp:inline distT="0" distB="0" distL="0" distR="0" wp14:anchorId="4C92AB03" wp14:editId="5042BC02">
            <wp:extent cx="4383296" cy="1971339"/>
            <wp:effectExtent l="0" t="0" r="0" b="0"/>
            <wp:docPr id="601" name="Pictur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Picture 6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83296" cy="1971339"/>
                    </a:xfrm>
                    <a:prstGeom prst="rect">
                      <a:avLst/>
                    </a:prstGeom>
                  </pic:spPr>
                </pic:pic>
              </a:graphicData>
            </a:graphic>
          </wp:inline>
        </w:drawing>
      </w:r>
    </w:p>
    <w:p w14:paraId="6C8E66E7" w14:textId="7BFDDFBD" w:rsidR="00283C42" w:rsidRPr="00E32832" w:rsidRDefault="00EF3290">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1. System architecture and control-flow schematics. (A) End-to-end data-flow diagram of the classical of the pipeline; (B) supervised/unsupervised routing diagram for optional pretrained-model integration.</w:t>
      </w:r>
    </w:p>
    <w:p w14:paraId="00B45AE4" w14:textId="77777777" w:rsidR="00877156" w:rsidRPr="00E32832" w:rsidRDefault="00877156" w:rsidP="00BA5D5D">
      <w:pPr>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p>
    <w:p w14:paraId="2E0E9D83" w14:textId="220F939A" w:rsidR="00DA00EE" w:rsidRPr="00E32832" w:rsidRDefault="00DA00EE" w:rsidP="00BA5D5D">
      <w:pPr>
        <w:jc w:val="both"/>
        <w:rPr>
          <w:rFonts w:ascii="Times New Roman" w:hAnsi="Times New Roman" w:cs="Times New Roman"/>
          <w:sz w:val="18"/>
          <w:szCs w:val="18"/>
        </w:rPr>
      </w:pPr>
    </w:p>
    <w:p w14:paraId="01BD6C28" w14:textId="77777777" w:rsidR="00DA00EE" w:rsidRPr="00E32832" w:rsidRDefault="00F84C4B" w:rsidP="00BA5D5D">
      <w:pPr>
        <w:pStyle w:val="Heading2"/>
        <w:jc w:val="both"/>
        <w:rPr>
          <w:rFonts w:ascii="Times New Roman" w:hAnsi="Times New Roman" w:cs="Times New Roman"/>
          <w:color w:val="auto"/>
          <w:sz w:val="18"/>
          <w:szCs w:val="18"/>
        </w:rPr>
      </w:pPr>
      <w:bookmarkStart w:id="33" w:name="_Toc234738405"/>
      <w:bookmarkStart w:id="34" w:name="materials-and-methods"/>
      <w:bookmarkEnd w:id="26"/>
      <w:bookmarkEnd w:id="32"/>
      <w:r>
        <w:rPr>
          <w:rFonts w:ascii="Times New Roman" w:hAnsi="Times New Roman" w:cs="Times New Roman"/>
          <w:color w:val="auto"/>
          <w:sz w:val="18"/>
          <w:szCs w:val="18"/>
        </w:rPr>
        <w:t>4. Materials and Methods</w:t>
      </w:r>
      <w:bookmarkEnd w:id="33"/>
    </w:p>
    <w:p w14:paraId="5AEAEB88" w14:textId="1B9EA251"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Every equation and figure in this section corresponds to a function that ships in the pipeline’s </w:t>
      </w:r>
      <w:r>
        <w:rPr>
          <w:rStyle w:val="VerbatimChar"/>
          <w:rFonts w:ascii="Times New Roman" w:hAnsi="Times New Roman" w:cs="Times New Roman"/>
          <w:sz w:val="18"/>
          <w:szCs w:val="18"/>
        </w:rPr>
        <w:t>core/</w:t>
      </w:r>
      <w:r>
        <w:rPr>
          <w:rFonts w:ascii="Times New Roman" w:hAnsi="Times New Roman" w:cs="Times New Roman"/>
          <w:sz w:val="18"/>
          <w:szCs w:val="18"/>
        </w:rPr>
        <w:t xml:space="preserve"> package (Table 1). All figures in </w:t>
      </w:r>
      <w:r>
        <w:rPr>
          <w:rFonts w:ascii="Times New Roman" w:hAnsi="Times New Roman" w:cs="Times New Roman"/>
          <w:sz w:val="18"/>
          <w:szCs w:val="18"/>
        </w:rPr>
        <w:t>this section were produced by executing that exact code on a procedurally generated, eight image  demonstration set (Figure 1)  never on curated field photography  so that every number and map shown is a genuine output of the described computation rather than an invented illustration.</w:t>
      </w:r>
    </w:p>
    <w:p w14:paraId="015AB8AC" w14:textId="77777777" w:rsidR="00DA00EE" w:rsidRPr="00E32832" w:rsidRDefault="00F84C4B" w:rsidP="00BA5D5D">
      <w:pPr>
        <w:pStyle w:val="CaptionedFigure"/>
        <w:keepLines/>
        <w:jc w:val="center"/>
        <w:rPr>
          <w:rFonts w:ascii="Times New Roman" w:hAnsi="Times New Roman" w:cs="Times New Roman"/>
          <w:b/>
          <w:bCs/>
          <w:sz w:val="18"/>
          <w:szCs w:val="18"/>
        </w:rPr>
      </w:pPr>
      <w:r>
        <w:rPr>
          <w:rFonts w:ascii="Times New Roman" w:hAnsi="Times New Roman" w:cs="Times New Roman"/>
          <w:b/>
          <w:bCs/>
          <w:noProof/>
          <w:sz w:val="18"/>
          <w:szCs w:val="18"/>
        </w:rPr>
        <w:lastRenderedPageBreak/>
        <w:drawing>
          <wp:inline distT="0" distB="0" distL="0" distR="0" wp14:anchorId="3C2017BD" wp14:editId="08A058C9">
            <wp:extent cx="5334000" cy="2700337"/>
            <wp:effectExtent l="0" t="0" r="0" b="5080"/>
            <wp:docPr id="43" name="Picture"/>
            <wp:cNvGraphicFramePr/>
            <a:graphic xmlns:a="http://schemas.openxmlformats.org/drawingml/2006/main">
              <a:graphicData uri="http://schemas.openxmlformats.org/drawingml/2006/picture">
                <pic:pic xmlns:pic="http://schemas.openxmlformats.org/drawingml/2006/picture">
                  <pic:nvPicPr>
                    <pic:cNvPr id="43" name="Picture"/>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334000" cy="2700337"/>
                    </a:xfrm>
                    <a:prstGeom prst="rect">
                      <a:avLst/>
                    </a:prstGeom>
                    <a:noFill/>
                    <a:ln w="9525">
                      <a:noFill/>
                      <a:headEnd/>
                      <a:tailEnd/>
                    </a:ln>
                  </pic:spPr>
                </pic:pic>
              </a:graphicData>
            </a:graphic>
          </wp:inline>
        </w:drawing>
      </w:r>
    </w:p>
    <w:p w14:paraId="106B570F" w14:textId="0F9765E9" w:rsidR="00DA00EE" w:rsidRPr="00E32832" w:rsidRDefault="00F84C4B" w:rsidP="00BA5D5D">
      <w:pPr>
        <w:pStyle w:val="ImageCaption"/>
        <w:keepLines/>
        <w:jc w:val="center"/>
        <w:rPr>
          <w:rFonts w:ascii="Times New Roman" w:hAnsi="Times New Roman" w:cs="Times New Roman"/>
          <w:b/>
          <w:bCs/>
          <w:i w:val="0"/>
          <w:sz w:val="18"/>
          <w:szCs w:val="18"/>
        </w:rPr>
        <w:sectPr w:rsidR="00DA00EE" w:rsidRPr="00E32832">
          <w:type w:val="continuous"/>
          <w:pgSz w:w="11906" w:h="16838"/>
          <w:pgMar w:top="1440" w:right="1080" w:bottom="1440" w:left="1080" w:header="708" w:footer="708" w:gutter="0"/>
          <w:cols w:space="708"/>
          <w:docGrid w:linePitch="360"/>
        </w:sectPr>
      </w:pPr>
      <w:r>
        <w:rPr>
          <w:rFonts w:ascii="Times New Roman" w:hAnsi="Times New Roman" w:cs="Times New Roman"/>
          <w:b/>
          <w:bCs/>
          <w:i w:val="0"/>
          <w:sz w:val="18"/>
          <w:szCs w:val="18"/>
        </w:rPr>
        <w:t>Figure 2.  demonstration image set: eight procedurally generated sample images with varying vigor and localized stress patches, used throughout Section 4 purely to demonstrate that each method runs and produces the described output.</w:t>
      </w:r>
    </w:p>
    <w:p w14:paraId="00F79340" w14:textId="77777777" w:rsidR="00DA00EE" w:rsidRPr="00E32832" w:rsidRDefault="00F84C4B" w:rsidP="00BA5D5D">
      <w:pPr>
        <w:pStyle w:val="Heading3"/>
        <w:jc w:val="both"/>
        <w:rPr>
          <w:rFonts w:ascii="Times New Roman" w:hAnsi="Times New Roman" w:cs="Times New Roman"/>
          <w:color w:val="auto"/>
          <w:sz w:val="18"/>
          <w:szCs w:val="18"/>
        </w:rPr>
      </w:pPr>
      <w:bookmarkStart w:id="35" w:name="_Toc234738406"/>
      <w:bookmarkStart w:id="36" w:name="X6bf13d888bdb995998b60502f9962fd4f441009"/>
      <w:r>
        <w:rPr>
          <w:rFonts w:ascii="Times New Roman" w:hAnsi="Times New Roman" w:cs="Times New Roman"/>
          <w:color w:val="auto"/>
          <w:sz w:val="18"/>
          <w:szCs w:val="18"/>
        </w:rPr>
        <w:t>4.1 Streaming batch alignment and composite construction</w:t>
      </w:r>
      <w:bookmarkEnd w:id="35"/>
    </w:p>
    <w:p w14:paraId="34D8B117" w14:textId="1C14349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b/>
          <w:bCs/>
          <w:sz w:val="18"/>
          <w:szCs w:val="18"/>
        </w:rPr>
        <w:t>Registration.</w:t>
      </w:r>
      <w:r>
        <w:rPr>
          <w:rFonts w:ascii="Times New Roman" w:hAnsi="Times New Roman" w:cs="Times New Roman"/>
          <w:sz w:val="18"/>
          <w:szCs w:val="18"/>
        </w:rPr>
        <w:t xml:space="preserve"> For a reference frame </w:t>
      </w:r>
      <m:oMath>
        <m:sSub>
          <m:sSubPr>
            <m:ctrlPr>
              <w:rPr>
                <w:rFonts w:ascii="Cambria Math" w:hAnsi="Cambria Math" w:cs="Times New Roman"/>
                <w:sz w:val="18"/>
                <w:szCs w:val="18"/>
              </w:rPr>
            </m:ctrlPr>
          </m:sSubPr>
          <m:e>
            <m:r>
              <m:rPr>
                <m:sty m:val="p"/>
              </m:rPr>
              <w:rPr>
                <w:rFonts w:ascii="Cambria Math" w:hAnsi="Cambria Math" w:cs="Times New Roman"/>
                <w:sz w:val="18"/>
                <w:szCs w:val="18"/>
              </w:rPr>
              <m:t>I</m:t>
            </m:r>
          </m:e>
          <m:sub>
            <m:r>
              <m:rPr>
                <m:sty m:val="p"/>
              </m:rPr>
              <w:rPr>
                <w:rFonts w:ascii="Cambria Math" w:hAnsi="Cambria Math" w:cs="Times New Roman"/>
                <w:sz w:val="18"/>
                <w:szCs w:val="18"/>
              </w:rPr>
              <m:t>0</m:t>
            </m:r>
          </m:sub>
        </m:sSub>
      </m:oMath>
      <w:r>
        <w:rPr>
          <w:rFonts w:ascii="Times New Roman" w:hAnsi="Times New Roman" w:cs="Times New Roman"/>
          <w:sz w:val="18"/>
          <w:szCs w:val="18"/>
        </w:rPr>
        <w:t xml:space="preserve"> and a subsequent frame </w:t>
      </w:r>
      <m:oMath>
        <m:sSub>
          <m:sSubPr>
            <m:ctrlPr>
              <w:rPr>
                <w:rFonts w:ascii="Cambria Math" w:hAnsi="Cambria Math" w:cs="Times New Roman"/>
                <w:sz w:val="18"/>
                <w:szCs w:val="18"/>
              </w:rPr>
            </m:ctrlPr>
          </m:sSubPr>
          <m:e>
            <m:r>
              <m:rPr>
                <m:sty m:val="p"/>
              </m:rPr>
              <w:rPr>
                <w:rFonts w:ascii="Cambria Math" w:hAnsi="Cambria Math" w:cs="Times New Roman"/>
                <w:sz w:val="18"/>
                <w:szCs w:val="18"/>
              </w:rPr>
              <m:t>I</m:t>
            </m:r>
          </m:e>
          <m:sub>
            <m:r>
              <m:rPr>
                <m:sty m:val="p"/>
              </m:rPr>
              <w:rPr>
                <w:rFonts w:ascii="Cambria Math" w:hAnsi="Cambria Math" w:cs="Times New Roman"/>
                <w:sz w:val="18"/>
                <w:szCs w:val="18"/>
              </w:rPr>
              <m:t>k</m:t>
            </m:r>
          </m:sub>
        </m:sSub>
      </m:oMath>
      <w:r>
        <w:rPr>
          <w:rFonts w:ascii="Times New Roman" w:hAnsi="Times New Roman" w:cs="Times New Roman"/>
          <w:sz w:val="18"/>
          <w:szCs w:val="18"/>
        </w:rPr>
        <w:t>, both downsampled to a fixed correlation size and converted to grayscale, the translational offset is recovered by phase correlation (</w:t>
      </w:r>
      <w:hyperlink w:anchor="ref-reddy1996">
        <w:r>
          <w:rPr>
            <w:rStyle w:val="Hyperlink"/>
            <w:rFonts w:ascii="Times New Roman" w:hAnsi="Times New Roman" w:cs="Times New Roman"/>
            <w:sz w:val="18"/>
            <w:szCs w:val="18"/>
          </w:rPr>
          <w:t>Reddy and Chatterji 1996</w:t>
        </w:r>
      </w:hyperlink>
      <w:r>
        <w:rPr>
          <w:rFonts w:ascii="Times New Roman" w:hAnsi="Times New Roman" w:cs="Times New Roman"/>
          <w:sz w:val="18"/>
          <w:szCs w:val="18"/>
        </w:rPr>
        <w:t xml:space="preserve">). Writing </w:t>
      </w:r>
      <m:oMath>
        <m:r>
          <m:rPr>
            <m:scr m:val="script"/>
            <m:sty m:val="p"/>
          </m:rPr>
          <w:rPr>
            <w:rFonts w:ascii="Cambria Math" w:hAnsi="Cambria Math" w:cs="Times New Roman"/>
            <w:sz w:val="18"/>
            <w:szCs w:val="18"/>
          </w:rPr>
          <m:t>F</m:t>
        </m:r>
      </m:oMath>
      <w:r>
        <w:rPr>
          <w:rFonts w:ascii="Times New Roman" w:hAnsi="Times New Roman" w:cs="Times New Roman"/>
          <w:sz w:val="18"/>
          <w:szCs w:val="18"/>
        </w:rPr>
        <w:t xml:space="preserve"> for the 2 D discrete Fourier transform, the normalized cross power spectrum is</w:t>
      </w:r>
    </w:p>
    <w:p w14:paraId="780E8F57" w14:textId="2A6FA3A1" w:rsidR="00DA00EE" w:rsidRPr="00E32832" w:rsidRDefault="00E32832" w:rsidP="00BA5D5D">
      <w:pPr>
        <w:pStyle w:val="BodyText"/>
        <w:jc w:val="both"/>
        <w:rPr>
          <w:rFonts w:ascii="Times New Roman" w:hAnsi="Times New Roman" w:cs="Times New Roman"/>
          <w:sz w:val="18"/>
          <w:szCs w:val="18"/>
        </w:rPr>
      </w:pPr>
      <m:oMath>
        <m:r>
          <m:rPr>
            <m:sty m:val="p"/>
          </m:rPr>
          <w:rPr>
            <w:rFonts w:ascii="Cambria Math" w:hAnsi="Cambria Math" w:cs="Times New Roman"/>
            <w:sz w:val="18"/>
            <w:szCs w:val="18"/>
          </w:rPr>
          <m:t>R</m:t>
        </m:r>
        <m:d>
          <m:dPr>
            <m:ctrlPr>
              <w:rPr>
                <w:rFonts w:ascii="Cambria Math" w:hAnsi="Cambria Math" w:cs="Times New Roman"/>
                <w:sz w:val="18"/>
                <w:szCs w:val="18"/>
              </w:rPr>
            </m:ctrlPr>
          </m:dPr>
          <m:e>
            <m:r>
              <m:rPr>
                <m:sty m:val="p"/>
              </m:rPr>
              <w:rPr>
                <w:rFonts w:ascii="Cambria Math" w:hAnsi="Cambria Math" w:cs="Times New Roman"/>
                <w:sz w:val="18"/>
                <w:szCs w:val="18"/>
              </w:rPr>
              <m:t>u,v</m:t>
            </m:r>
          </m:e>
        </m:d>
        <m:r>
          <m:rPr>
            <m:sty m:val="p"/>
          </m:rPr>
          <w:rPr>
            <w:rFonts w:ascii="Cambria Math" w:hAnsi="Cambria Math" w:cs="Times New Roman"/>
            <w:sz w:val="18"/>
            <w:szCs w:val="18"/>
          </w:rPr>
          <m:t>=</m:t>
        </m:r>
        <m:f>
          <m:fPr>
            <m:ctrlPr>
              <w:rPr>
                <w:rFonts w:ascii="Cambria Math" w:hAnsi="Cambria Math" w:cs="Times New Roman"/>
                <w:sz w:val="18"/>
                <w:szCs w:val="18"/>
              </w:rPr>
            </m:ctrlPr>
          </m:fPr>
          <m:num>
            <m:r>
              <m:rPr>
                <m:scr m:val="script"/>
                <m:sty m:val="p"/>
              </m:rPr>
              <w:rPr>
                <w:rFonts w:ascii="Cambria Math" w:hAnsi="Cambria Math" w:cs="Times New Roman"/>
                <w:sz w:val="18"/>
                <w:szCs w:val="18"/>
              </w:rPr>
              <m:t>F{</m:t>
            </m:r>
            <m:sSub>
              <m:sSubPr>
                <m:ctrlPr>
                  <w:rPr>
                    <w:rFonts w:ascii="Cambria Math" w:hAnsi="Cambria Math" w:cs="Times New Roman"/>
                    <w:sz w:val="18"/>
                    <w:szCs w:val="18"/>
                  </w:rPr>
                </m:ctrlPr>
              </m:sSubPr>
              <m:e>
                <m:r>
                  <m:rPr>
                    <m:sty m:val="p"/>
                  </m:rPr>
                  <w:rPr>
                    <w:rFonts w:ascii="Cambria Math" w:hAnsi="Cambria Math" w:cs="Times New Roman"/>
                    <w:sz w:val="18"/>
                    <w:szCs w:val="18"/>
                  </w:rPr>
                  <m:t>I</m:t>
                </m:r>
              </m:e>
              <m:sub>
                <m:r>
                  <m:rPr>
                    <m:sty m:val="p"/>
                  </m:rPr>
                  <w:rPr>
                    <w:rFonts w:ascii="Cambria Math" w:hAnsi="Cambria Math" w:cs="Times New Roman"/>
                    <w:sz w:val="18"/>
                    <w:szCs w:val="18"/>
                  </w:rPr>
                  <m:t>0</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r>
                  <m:rPr>
                    <m:sty m:val="p"/>
                  </m:rPr>
                  <w:rPr>
                    <w:rFonts w:ascii="Cambria Math" w:hAnsi="Cambria Math" w:cs="Times New Roman"/>
                    <w:sz w:val="18"/>
                    <w:szCs w:val="18"/>
                  </w:rPr>
                  <m:t>u,v</m:t>
                </m:r>
              </m:e>
            </m:d>
            <m:r>
              <m:rPr>
                <m:sty m:val="p"/>
              </m:rPr>
              <w:rPr>
                <w:rFonts w:ascii="Cambria Math" w:hAnsi="Cambria Math" w:cs="Times New Roman"/>
                <w:sz w:val="18"/>
                <w:szCs w:val="18"/>
              </w:rPr>
              <m:t> </m:t>
            </m:r>
            <m:bar>
              <m:barPr>
                <m:pos m:val="top"/>
                <m:ctrlPr>
                  <w:rPr>
                    <w:rFonts w:ascii="Cambria Math" w:hAnsi="Cambria Math" w:cs="Times New Roman"/>
                    <w:sz w:val="18"/>
                    <w:szCs w:val="18"/>
                  </w:rPr>
                </m:ctrlPr>
              </m:barPr>
              <m:e>
                <m:r>
                  <m:rPr>
                    <m:scr m:val="script"/>
                    <m:sty m:val="p"/>
                  </m:rPr>
                  <w:rPr>
                    <w:rFonts w:ascii="Cambria Math" w:hAnsi="Cambria Math" w:cs="Times New Roman"/>
                    <w:sz w:val="18"/>
                    <w:szCs w:val="18"/>
                  </w:rPr>
                  <m:t>F{</m:t>
                </m:r>
                <m:sSub>
                  <m:sSubPr>
                    <m:ctrlPr>
                      <w:rPr>
                        <w:rFonts w:ascii="Cambria Math" w:hAnsi="Cambria Math" w:cs="Times New Roman"/>
                        <w:sz w:val="18"/>
                        <w:szCs w:val="18"/>
                      </w:rPr>
                    </m:ctrlPr>
                  </m:sSubPr>
                  <m:e>
                    <m:r>
                      <m:rPr>
                        <m:sty m:val="p"/>
                      </m:rPr>
                      <w:rPr>
                        <w:rFonts w:ascii="Cambria Math" w:hAnsi="Cambria Math" w:cs="Times New Roman"/>
                        <w:sz w:val="18"/>
                        <w:szCs w:val="18"/>
                      </w:rPr>
                      <m:t>I</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r>
                      <m:rPr>
                        <m:sty m:val="p"/>
                      </m:rPr>
                      <w:rPr>
                        <w:rFonts w:ascii="Cambria Math" w:hAnsi="Cambria Math" w:cs="Times New Roman"/>
                        <w:sz w:val="18"/>
                        <w:szCs w:val="18"/>
                      </w:rPr>
                      <m:t>u,v</m:t>
                    </m:r>
                  </m:e>
                </m:d>
              </m:e>
            </m:bar>
          </m:num>
          <m:den>
            <m:d>
              <m:dPr>
                <m:begChr m:val="|"/>
                <m:endChr m:val="|"/>
                <m:ctrlPr>
                  <w:rPr>
                    <w:rFonts w:ascii="Cambria Math" w:hAnsi="Cambria Math" w:cs="Times New Roman"/>
                    <w:sz w:val="18"/>
                    <w:szCs w:val="18"/>
                  </w:rPr>
                </m:ctrlPr>
              </m:dPr>
              <m:e>
                <m:r>
                  <m:rPr>
                    <m:scr m:val="script"/>
                    <m:sty m:val="p"/>
                  </m:rPr>
                  <w:rPr>
                    <w:rFonts w:ascii="Cambria Math" w:hAnsi="Cambria Math" w:cs="Times New Roman"/>
                    <w:sz w:val="18"/>
                    <w:szCs w:val="18"/>
                  </w:rPr>
                  <m:t>F{</m:t>
                </m:r>
                <m:sSub>
                  <m:sSubPr>
                    <m:ctrlPr>
                      <w:rPr>
                        <w:rFonts w:ascii="Cambria Math" w:hAnsi="Cambria Math" w:cs="Times New Roman"/>
                        <w:sz w:val="18"/>
                        <w:szCs w:val="18"/>
                      </w:rPr>
                    </m:ctrlPr>
                  </m:sSubPr>
                  <m:e>
                    <m:r>
                      <m:rPr>
                        <m:sty m:val="p"/>
                      </m:rPr>
                      <w:rPr>
                        <w:rFonts w:ascii="Cambria Math" w:hAnsi="Cambria Math" w:cs="Times New Roman"/>
                        <w:sz w:val="18"/>
                        <w:szCs w:val="18"/>
                      </w:rPr>
                      <m:t>I</m:t>
                    </m:r>
                  </m:e>
                  <m:sub>
                    <m:r>
                      <m:rPr>
                        <m:sty m:val="p"/>
                      </m:rPr>
                      <w:rPr>
                        <w:rFonts w:ascii="Cambria Math" w:hAnsi="Cambria Math" w:cs="Times New Roman"/>
                        <w:sz w:val="18"/>
                        <w:szCs w:val="18"/>
                      </w:rPr>
                      <m:t>0</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r>
                      <m:rPr>
                        <m:sty m:val="p"/>
                      </m:rPr>
                      <w:rPr>
                        <w:rFonts w:ascii="Cambria Math" w:hAnsi="Cambria Math" w:cs="Times New Roman"/>
                        <w:sz w:val="18"/>
                        <w:szCs w:val="18"/>
                      </w:rPr>
                      <m:t>u,v</m:t>
                    </m:r>
                  </m:e>
                </m:d>
                <m:r>
                  <m:rPr>
                    <m:sty m:val="p"/>
                  </m:rPr>
                  <w:rPr>
                    <w:rFonts w:ascii="Cambria Math" w:hAnsi="Cambria Math" w:cs="Times New Roman"/>
                    <w:sz w:val="18"/>
                    <w:szCs w:val="18"/>
                  </w:rPr>
                  <m:t> </m:t>
                </m:r>
                <m:bar>
                  <m:barPr>
                    <m:pos m:val="top"/>
                    <m:ctrlPr>
                      <w:rPr>
                        <w:rFonts w:ascii="Cambria Math" w:hAnsi="Cambria Math" w:cs="Times New Roman"/>
                        <w:sz w:val="18"/>
                        <w:szCs w:val="18"/>
                      </w:rPr>
                    </m:ctrlPr>
                  </m:barPr>
                  <m:e>
                    <m:r>
                      <m:rPr>
                        <m:scr m:val="script"/>
                        <m:sty m:val="p"/>
                      </m:rPr>
                      <w:rPr>
                        <w:rFonts w:ascii="Cambria Math" w:hAnsi="Cambria Math" w:cs="Times New Roman"/>
                        <w:sz w:val="18"/>
                        <w:szCs w:val="18"/>
                      </w:rPr>
                      <m:t>F{</m:t>
                    </m:r>
                    <m:sSub>
                      <m:sSubPr>
                        <m:ctrlPr>
                          <w:rPr>
                            <w:rFonts w:ascii="Cambria Math" w:hAnsi="Cambria Math" w:cs="Times New Roman"/>
                            <w:sz w:val="18"/>
                            <w:szCs w:val="18"/>
                          </w:rPr>
                        </m:ctrlPr>
                      </m:sSubPr>
                      <m:e>
                        <m:r>
                          <m:rPr>
                            <m:sty m:val="p"/>
                          </m:rPr>
                          <w:rPr>
                            <w:rFonts w:ascii="Cambria Math" w:hAnsi="Cambria Math" w:cs="Times New Roman"/>
                            <w:sz w:val="18"/>
                            <w:szCs w:val="18"/>
                          </w:rPr>
                          <m:t>I</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r>
                          <m:rPr>
                            <m:sty m:val="p"/>
                          </m:rPr>
                          <w:rPr>
                            <w:rFonts w:ascii="Cambria Math" w:hAnsi="Cambria Math" w:cs="Times New Roman"/>
                            <w:sz w:val="18"/>
                            <w:szCs w:val="18"/>
                          </w:rPr>
                          <m:t>u,v</m:t>
                        </m:r>
                      </m:e>
                    </m:d>
                  </m:e>
                </m:bar>
              </m:e>
            </m:d>
          </m:den>
        </m:f>
      </m:oMath>
      <w:r>
        <w:rPr>
          <w:rFonts w:ascii="Times New Roman" w:hAnsi="Times New Roman" w:cs="Times New Roman"/>
          <w:b/>
          <w:sz w:val="18"/>
          <w:szCs w:val="18"/>
        </w:rPr>
        <w:t xml:space="preserve">  (1)</w:t>
      </w:r>
    </w:p>
    <w:p w14:paraId="619DF158" w14:textId="0C27B0AE"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and the estimated shift </w:t>
      </w:r>
      <m:oMath>
        <m:d>
          <m:dPr>
            <m:ctrlPr>
              <w:rPr>
                <w:rFonts w:ascii="Cambria Math" w:hAnsi="Cambria Math" w:cs="Times New Roman"/>
                <w:sz w:val="18"/>
                <w:szCs w:val="18"/>
              </w:rPr>
            </m:ctrlPr>
          </m:dPr>
          <m:e>
            <m:r>
              <m:rPr>
                <m:sty m:val="p"/>
              </m:rPr>
              <w:rPr>
                <w:rFonts w:ascii="Cambria Math" w:hAnsi="Cambria Math" w:cs="Times New Roman"/>
                <w:sz w:val="18"/>
                <w:szCs w:val="18"/>
              </w:rPr>
              <m:t>Δy,Δx</m:t>
            </m:r>
          </m:e>
        </m:d>
      </m:oMath>
      <w:r>
        <w:rPr>
          <w:rFonts w:ascii="Times New Roman" w:hAnsi="Times New Roman" w:cs="Times New Roman"/>
          <w:sz w:val="18"/>
          <w:szCs w:val="18"/>
        </w:rPr>
        <w:t xml:space="preserve"> is the location of the peak of </w:t>
      </w:r>
      <m:oMath>
        <m:sSup>
          <m:sSupPr>
            <m:ctrlPr>
              <w:rPr>
                <w:rFonts w:ascii="Cambria Math" w:hAnsi="Cambria Math" w:cs="Times New Roman"/>
                <w:sz w:val="18"/>
                <w:szCs w:val="18"/>
              </w:rPr>
            </m:ctrlPr>
          </m:sSupPr>
          <m:e>
            <m:r>
              <m:rPr>
                <m:scr m:val="script"/>
                <m:sty m:val="p"/>
              </m:rPr>
              <w:rPr>
                <w:rFonts w:ascii="Cambria Math" w:hAnsi="Cambria Math" w:cs="Times New Roman"/>
                <w:sz w:val="18"/>
                <w:szCs w:val="18"/>
              </w:rPr>
              <m:t>F</m:t>
            </m:r>
          </m:e>
          <m:sup>
            <m:r>
              <m:rPr>
                <m:sty m:val="p"/>
              </m:rPr>
              <w:rPr>
                <w:rFonts w:ascii="Cambria Math" w:hAnsi="Cambria Math" w:cs="Times New Roman"/>
                <w:sz w:val="18"/>
                <w:szCs w:val="18"/>
              </w:rPr>
              <m:t>-1</m:t>
            </m:r>
          </m:sup>
        </m:sSup>
        <m:r>
          <m:rPr>
            <m:sty m:val="p"/>
          </m:rPr>
          <w:rPr>
            <w:rFonts w:ascii="Cambria Math" w:hAnsi="Cambria Math" w:cs="Times New Roman"/>
            <w:sz w:val="18"/>
            <w:szCs w:val="18"/>
          </w:rPr>
          <m:t>{R}</m:t>
        </m:r>
      </m:oMath>
      <w:r>
        <w:rPr>
          <w:rFonts w:ascii="Times New Roman" w:hAnsi="Times New Roman" w:cs="Times New Roman"/>
          <w:sz w:val="18"/>
          <w:szCs w:val="18"/>
        </w:rPr>
        <w:t xml:space="preserve">, refined to sub pixel precision by an upsampled local search (implemented via </w:t>
      </w:r>
      <w:r>
        <w:rPr>
          <w:rStyle w:val="VerbatimChar"/>
          <w:rFonts w:ascii="Times New Roman" w:hAnsi="Times New Roman" w:cs="Times New Roman"/>
          <w:sz w:val="18"/>
          <w:szCs w:val="18"/>
        </w:rPr>
        <w:t>skimage.registration.phase_cross_correlation</w:t>
      </w:r>
      <w:r>
        <w:rPr>
          <w:rFonts w:ascii="Times New Roman" w:hAnsi="Times New Roman" w:cs="Times New Roman"/>
          <w:sz w:val="18"/>
          <w:szCs w:val="18"/>
        </w:rPr>
        <w:t xml:space="preserve"> with </w:t>
      </w:r>
      <w:r>
        <w:rPr>
          <w:rStyle w:val="VerbatimChar"/>
          <w:rFonts w:ascii="Times New Roman" w:hAnsi="Times New Roman" w:cs="Times New Roman"/>
          <w:sz w:val="18"/>
          <w:szCs w:val="18"/>
        </w:rPr>
        <w:t>upsample_factor=10</w:t>
      </w:r>
      <w:r>
        <w:rPr>
          <w:rFonts w:ascii="Times New Roman" w:hAnsi="Times New Roman" w:cs="Times New Roman"/>
          <w:sz w:val="18"/>
          <w:szCs w:val="18"/>
        </w:rPr>
        <w:t xml:space="preserve">). The recovered shift is rescaled from the correlation size grid back to the working canvas resolution and applied to the full resolution resized frame via a first order spline shift. As stated directly in the module’s own documentation, this recovers </w:t>
      </w:r>
      <w:r>
        <w:rPr>
          <w:rFonts w:ascii="Times New Roman" w:hAnsi="Times New Roman" w:cs="Times New Roman"/>
          <w:b/>
          <w:bCs/>
          <w:sz w:val="18"/>
          <w:szCs w:val="18"/>
        </w:rPr>
        <w:t>translation only</w:t>
      </w:r>
      <w:r>
        <w:rPr>
          <w:rFonts w:ascii="Times New Roman" w:hAnsi="Times New Roman" w:cs="Times New Roman"/>
          <w:sz w:val="18"/>
          <w:szCs w:val="18"/>
        </w:rPr>
        <w:t>: rotation, scale, and perspective differences between photographs taken from different positions or angles are not corrected, a limitation this pipeline shares with, and states as explicitly as, the classical phase correlation literature (</w:t>
      </w:r>
      <w:hyperlink w:anchor="ref-wan2019">
        <w:r>
          <w:rPr>
            <w:rStyle w:val="Hyperlink"/>
            <w:rFonts w:ascii="Times New Roman" w:hAnsi="Times New Roman" w:cs="Times New Roman"/>
            <w:sz w:val="18"/>
            <w:szCs w:val="18"/>
          </w:rPr>
          <w:t>Wan, Wang, and Li 2019</w:t>
        </w:r>
      </w:hyperlink>
      <w:r>
        <w:rPr>
          <w:rFonts w:ascii="Times New Roman" w:hAnsi="Times New Roman" w:cs="Times New Roman"/>
          <w:sz w:val="18"/>
          <w:szCs w:val="18"/>
        </w:rPr>
        <w:t>).</w:t>
      </w:r>
    </w:p>
    <w:p w14:paraId="034096D0" w14:textId="4624D5EE"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Streaming accumulation.</w:t>
      </w:r>
      <w:r>
        <w:rPr>
          <w:rFonts w:ascii="Times New Roman" w:hAnsi="Times New Roman" w:cs="Times New Roman"/>
          <w:sz w:val="18"/>
          <w:szCs w:val="18"/>
        </w:rPr>
        <w:t xml:space="preserve"> Rather than storing all </w:t>
      </w:r>
      <m:oMath>
        <m:r>
          <m:rPr>
            <m:sty m:val="p"/>
          </m:rPr>
          <w:rPr>
            <w:rFonts w:ascii="Cambria Math" w:hAnsi="Cambria Math" w:cs="Times New Roman"/>
            <w:sz w:val="18"/>
            <w:szCs w:val="18"/>
          </w:rPr>
          <m:t>N</m:t>
        </m:r>
      </m:oMath>
      <w:r>
        <w:rPr>
          <w:rFonts w:ascii="Times New Roman" w:hAnsi="Times New Roman" w:cs="Times New Roman"/>
          <w:sz w:val="18"/>
          <w:szCs w:val="18"/>
        </w:rPr>
        <w:t xml:space="preserve"> registered frames </w:t>
      </w:r>
      <m:oMath>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A</m:t>
            </m:r>
          </m:e>
          <m:sub>
            <m:r>
              <m:rPr>
                <m:sty m:val="p"/>
              </m:rPr>
              <w:rPr>
                <w:rFonts w:ascii="Cambria Math" w:hAnsi="Cambria Math" w:cs="Times New Roman"/>
                <w:sz w:val="18"/>
                <w:szCs w:val="18"/>
              </w:rPr>
              <m:t>k</m:t>
            </m:r>
          </m:sub>
        </m:sSub>
        <m:sSubSup>
          <m:sSubSupPr>
            <m:ctrlPr>
              <w:rPr>
                <w:rFonts w:ascii="Cambria Math" w:hAnsi="Cambria Math" w:cs="Times New Roman"/>
                <w:sz w:val="18"/>
                <w:szCs w:val="18"/>
              </w:rPr>
            </m:ctrlPr>
          </m:sSubSupPr>
          <m:e>
            <m:r>
              <m:rPr>
                <m:sty m:val="p"/>
              </m:rPr>
              <w:rPr>
                <w:rFonts w:ascii="Cambria Math" w:hAnsi="Cambria Math" w:cs="Times New Roman"/>
                <w:sz w:val="18"/>
                <w:szCs w:val="18"/>
              </w:rPr>
              <m:t>}</m:t>
            </m:r>
          </m:e>
          <m:sub>
            <m:r>
              <m:rPr>
                <m:sty m:val="p"/>
              </m:rPr>
              <w:rPr>
                <w:rFonts w:ascii="Cambria Math" w:hAnsi="Cambria Math" w:cs="Times New Roman"/>
                <w:sz w:val="18"/>
                <w:szCs w:val="18"/>
              </w:rPr>
              <m:t>k=1</m:t>
            </m:r>
          </m:sub>
          <m:sup>
            <m:r>
              <m:rPr>
                <m:sty m:val="p"/>
              </m:rPr>
              <w:rPr>
                <w:rFonts w:ascii="Cambria Math" w:hAnsi="Cambria Math" w:cs="Times New Roman"/>
                <w:sz w:val="18"/>
                <w:szCs w:val="18"/>
              </w:rPr>
              <m:t>N</m:t>
            </m:r>
          </m:sup>
        </m:sSubSup>
      </m:oMath>
      <w:r>
        <w:rPr>
          <w:rFonts w:ascii="Times New Roman" w:hAnsi="Times New Roman" w:cs="Times New Roman"/>
          <w:sz w:val="18"/>
          <w:szCs w:val="18"/>
        </w:rPr>
        <w:t xml:space="preserve"> and computing the mean and variance in a second pass, the aligner maintains two running accumulators updated in place as each frame is processed and then discarded:</w:t>
      </w:r>
    </w:p>
    <w:p w14:paraId="5FE654DF" w14:textId="632A31E0" w:rsidR="00DA00EE" w:rsidRPr="00E32832" w:rsidRDefault="00E32832" w:rsidP="00BA5D5D">
      <w:pPr>
        <w:pStyle w:val="BodyText"/>
        <w:jc w:val="both"/>
        <w:rPr>
          <w:rFonts w:ascii="Times New Roman" w:hAnsi="Times New Roman" w:cs="Times New Roman"/>
          <w:sz w:val="18"/>
          <w:szCs w:val="18"/>
        </w:rPr>
      </w:pPr>
      <m:oMath>
        <m:r>
          <m:rPr>
            <m:sty m:val="p"/>
          </m:rPr>
          <w:rPr>
            <w:rFonts w:ascii="Cambria Math" w:hAnsi="Cambria Math" w:cs="Times New Roman"/>
            <w:sz w:val="18"/>
            <w:szCs w:val="18"/>
          </w:rPr>
          <m:t>S←S+</m:t>
        </m:r>
        <m:sSub>
          <m:sSubPr>
            <m:ctrlPr>
              <w:rPr>
                <w:rFonts w:ascii="Cambria Math" w:hAnsi="Cambria Math" w:cs="Times New Roman"/>
                <w:sz w:val="18"/>
                <w:szCs w:val="18"/>
              </w:rPr>
            </m:ctrlPr>
          </m:sSubPr>
          <m:e>
            <m:r>
              <m:rPr>
                <m:sty m:val="p"/>
              </m:rPr>
              <w:rPr>
                <w:rFonts w:ascii="Cambria Math" w:hAnsi="Cambria Math" w:cs="Times New Roman"/>
                <w:sz w:val="18"/>
                <w:szCs w:val="18"/>
              </w:rPr>
              <m:t>A</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,  Q←Q+</m:t>
        </m:r>
        <m:sSubSup>
          <m:sSubSupPr>
            <m:ctrlPr>
              <w:rPr>
                <w:rFonts w:ascii="Cambria Math" w:hAnsi="Cambria Math" w:cs="Times New Roman"/>
                <w:sz w:val="18"/>
                <w:szCs w:val="18"/>
              </w:rPr>
            </m:ctrlPr>
          </m:sSubSupPr>
          <m:e>
            <m:r>
              <m:rPr>
                <m:sty m:val="p"/>
              </m:rPr>
              <w:rPr>
                <w:rFonts w:ascii="Cambria Math" w:hAnsi="Cambria Math" w:cs="Times New Roman"/>
                <w:sz w:val="18"/>
                <w:szCs w:val="18"/>
              </w:rPr>
              <m:t>A</m:t>
            </m:r>
          </m:e>
          <m:sub>
            <m:r>
              <m:rPr>
                <m:sty m:val="p"/>
              </m:rPr>
              <w:rPr>
                <w:rFonts w:ascii="Cambria Math" w:hAnsi="Cambria Math" w:cs="Times New Roman"/>
                <w:sz w:val="18"/>
                <w:szCs w:val="18"/>
              </w:rPr>
              <m:t>k</m:t>
            </m:r>
          </m:sub>
          <m:sup>
            <m:r>
              <m:rPr>
                <m:sty m:val="p"/>
              </m:rPr>
              <w:rPr>
                <w:rFonts w:ascii="Cambria Math" w:hAnsi="Cambria Math" w:cs="Times New Roman"/>
                <w:sz w:val="18"/>
                <w:szCs w:val="18"/>
              </w:rPr>
              <m:t>⊙2</m:t>
            </m:r>
          </m:sup>
        </m:sSubSup>
      </m:oMath>
      <w:r>
        <w:rPr>
          <w:rFonts w:ascii="Times New Roman" w:hAnsi="Times New Roman" w:cs="Times New Roman"/>
          <w:b/>
          <w:sz w:val="18"/>
          <w:szCs w:val="18"/>
        </w:rPr>
        <w:t xml:space="preserve">  (2)</w:t>
      </w:r>
    </w:p>
    <w:p w14:paraId="2252C868" w14:textId="7240AF35"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where </w:t>
      </w:r>
      <m:oMath>
        <m:r>
          <m:rPr>
            <m:sty m:val="p"/>
          </m:rPr>
          <w:rPr>
            <w:rFonts w:ascii="Cambria Math" w:hAnsi="Cambria Math" w:cs="Times New Roman"/>
            <w:sz w:val="18"/>
            <w:szCs w:val="18"/>
          </w:rPr>
          <m:t>⊙</m:t>
        </m:r>
      </m:oMath>
      <w:r>
        <w:rPr>
          <w:rFonts w:ascii="Times New Roman" w:hAnsi="Times New Roman" w:cs="Times New Roman"/>
          <w:sz w:val="18"/>
          <w:szCs w:val="18"/>
        </w:rPr>
        <w:t xml:space="preserve"> denotes the elementwise (Hadamard) square. After the final frame, the aggregate composite and per pixel variability map are recovered in closed form:</w:t>
      </w:r>
    </w:p>
    <w:p w14:paraId="5CDEFCA5" w14:textId="79D4B437" w:rsidR="00DA00EE" w:rsidRPr="00E32832" w:rsidRDefault="00000000" w:rsidP="00BA5D5D">
      <w:pPr>
        <w:pStyle w:val="BodyText"/>
        <w:jc w:val="both"/>
        <w:rPr>
          <w:rFonts w:ascii="Times New Roman" w:hAnsi="Times New Roman" w:cs="Times New Roman"/>
          <w:sz w:val="18"/>
          <w:szCs w:val="18"/>
        </w:rPr>
      </w:pPr>
      <m:oMath>
        <m:acc>
          <m:accPr>
            <m:chr m:val="‾"/>
            <m:ctrlPr>
              <w:rPr>
                <w:rFonts w:ascii="Cambria Math" w:hAnsi="Cambria Math" w:cs="Times New Roman"/>
                <w:sz w:val="18"/>
                <w:szCs w:val="18"/>
              </w:rPr>
            </m:ctrlPr>
          </m:accPr>
          <m:e>
            <m:r>
              <m:rPr>
                <m:sty m:val="p"/>
              </m:rPr>
              <w:rPr>
                <w:rFonts w:ascii="Cambria Math" w:hAnsi="Cambria Math" w:cs="Times New Roman"/>
                <w:sz w:val="18"/>
                <w:szCs w:val="18"/>
              </w:rPr>
              <m:t>A</m:t>
            </m:r>
          </m:e>
        </m:acc>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S</m:t>
            </m:r>
          </m:num>
          <m:den>
            <m:r>
              <m:rPr>
                <m:sty m:val="p"/>
              </m:rPr>
              <w:rPr>
                <w:rFonts w:ascii="Cambria Math" w:hAnsi="Cambria Math" w:cs="Times New Roman"/>
                <w:sz w:val="18"/>
                <w:szCs w:val="18"/>
              </w:rPr>
              <m:t>N</m:t>
            </m:r>
          </m:den>
        </m:f>
        <m:r>
          <m:rPr>
            <m:sty m:val="p"/>
          </m:rPr>
          <w:rPr>
            <w:rFonts w:ascii="Cambria Math" w:hAnsi="Cambria Math" w:cs="Times New Roman"/>
            <w:sz w:val="18"/>
            <w:szCs w:val="18"/>
          </w:rPr>
          <m:t>,  </m:t>
        </m:r>
        <m:sSup>
          <m:sSupPr>
            <m:ctrlPr>
              <w:rPr>
                <w:rFonts w:ascii="Cambria Math" w:hAnsi="Cambria Math" w:cs="Times New Roman"/>
                <w:sz w:val="18"/>
                <w:szCs w:val="18"/>
              </w:rPr>
            </m:ctrlPr>
          </m:sSupPr>
          <m:e>
            <m:r>
              <m:rPr>
                <m:sty m:val="p"/>
              </m:rPr>
              <w:rPr>
                <w:rFonts w:ascii="Cambria Math" w:hAnsi="Cambria Math" w:cs="Times New Roman"/>
                <w:sz w:val="18"/>
                <w:szCs w:val="18"/>
              </w:rPr>
              <m:t>σ</m:t>
            </m:r>
          </m:e>
          <m:sup>
            <m:r>
              <m:rPr>
                <m:sty m:val="p"/>
              </m:rPr>
              <w:rPr>
                <w:rFonts w:ascii="Cambria Math" w:hAnsi="Cambria Math" w:cs="Times New Roman"/>
                <w:sz w:val="18"/>
                <w:szCs w:val="18"/>
              </w:rPr>
              <m:t>2</m:t>
            </m:r>
          </m:sup>
        </m:sSup>
        <m:r>
          <m:rPr>
            <m:sty m:val="p"/>
          </m:rPr>
          <w:rPr>
            <w:rFonts w:ascii="Cambria Math" w:hAnsi="Cambria Math" w:cs="Times New Roman"/>
            <w:sz w:val="18"/>
            <w:szCs w:val="18"/>
          </w:rPr>
          <m:t>=max​</m:t>
        </m:r>
        <m:d>
          <m:dPr>
            <m:ctrlPr>
              <w:rPr>
                <w:rFonts w:ascii="Cambria Math" w:hAnsi="Cambria Math" w:cs="Times New Roman"/>
                <w:sz w:val="18"/>
                <w:szCs w:val="18"/>
              </w:rPr>
            </m:ctrlPr>
          </m:dPr>
          <m:e>
            <m:r>
              <m:rPr>
                <m:sty m:val="p"/>
              </m:rPr>
              <w:rPr>
                <w:rFonts w:ascii="Cambria Math" w:hAnsi="Cambria Math" w:cs="Times New Roman"/>
                <w:sz w:val="18"/>
                <w:szCs w:val="18"/>
              </w:rPr>
              <m:t>0, </m:t>
            </m:r>
            <m:f>
              <m:fPr>
                <m:ctrlPr>
                  <w:rPr>
                    <w:rFonts w:ascii="Cambria Math" w:hAnsi="Cambria Math" w:cs="Times New Roman"/>
                    <w:sz w:val="18"/>
                    <w:szCs w:val="18"/>
                  </w:rPr>
                </m:ctrlPr>
              </m:fPr>
              <m:num>
                <m:r>
                  <m:rPr>
                    <m:sty m:val="p"/>
                  </m:rPr>
                  <w:rPr>
                    <w:rFonts w:ascii="Cambria Math" w:hAnsi="Cambria Math" w:cs="Times New Roman"/>
                    <w:sz w:val="18"/>
                    <w:szCs w:val="18"/>
                  </w:rPr>
                  <m:t>Q</m:t>
                </m:r>
              </m:num>
              <m:den>
                <m:r>
                  <m:rPr>
                    <m:sty m:val="p"/>
                  </m:rPr>
                  <w:rPr>
                    <w:rFonts w:ascii="Cambria Math" w:hAnsi="Cambria Math" w:cs="Times New Roman"/>
                    <w:sz w:val="18"/>
                    <w:szCs w:val="18"/>
                  </w:rPr>
                  <m:t>N</m:t>
                </m:r>
              </m:den>
            </m:f>
            <m:r>
              <m:rPr>
                <m:sty m:val="p"/>
              </m:rPr>
              <w:rPr>
                <w:rFonts w:ascii="Cambria Math" w:hAnsi="Cambria Math" w:cs="Times New Roman"/>
                <w:sz w:val="18"/>
                <w:szCs w:val="18"/>
              </w:rPr>
              <m:t>-</m:t>
            </m:r>
            <m:sSup>
              <m:sSupPr>
                <m:ctrlPr>
                  <w:rPr>
                    <w:rFonts w:ascii="Cambria Math" w:hAnsi="Cambria Math" w:cs="Times New Roman"/>
                    <w:sz w:val="18"/>
                    <w:szCs w:val="18"/>
                  </w:rPr>
                </m:ctrlPr>
              </m:sSupPr>
              <m:e>
                <m:acc>
                  <m:accPr>
                    <m:chr m:val="‾"/>
                    <m:ctrlPr>
                      <w:rPr>
                        <w:rFonts w:ascii="Cambria Math" w:hAnsi="Cambria Math" w:cs="Times New Roman"/>
                        <w:sz w:val="18"/>
                        <w:szCs w:val="18"/>
                      </w:rPr>
                    </m:ctrlPr>
                  </m:accPr>
                  <m:e>
                    <m:r>
                      <m:rPr>
                        <m:sty m:val="p"/>
                      </m:rPr>
                      <w:rPr>
                        <w:rFonts w:ascii="Cambria Math" w:hAnsi="Cambria Math" w:cs="Times New Roman"/>
                        <w:sz w:val="18"/>
                        <w:szCs w:val="18"/>
                      </w:rPr>
                      <m:t>A</m:t>
                    </m:r>
                  </m:e>
                </m:acc>
              </m:e>
              <m:sup>
                <m:r>
                  <m:rPr>
                    <m:sty m:val="p"/>
                  </m:rPr>
                  <w:rPr>
                    <w:rFonts w:ascii="Cambria Math" w:hAnsi="Cambria Math" w:cs="Times New Roman"/>
                    <w:sz w:val="18"/>
                    <w:szCs w:val="18"/>
                  </w:rPr>
                  <m:t>⊙2</m:t>
                </m:r>
              </m:sup>
            </m:sSup>
          </m:e>
        </m:d>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nor/>
              </m:rPr>
              <w:rPr>
                <w:rFonts w:ascii="Times New Roman" w:hAnsi="Times New Roman" w:cs="Times New Roman"/>
                <w:sz w:val="18"/>
                <w:szCs w:val="18"/>
              </w:rPr>
              <m:t>map</m:t>
            </m:r>
          </m:sub>
        </m:sSub>
        <m:r>
          <m:rPr>
            <m:sty m:val="p"/>
          </m:rPr>
          <w:rPr>
            <w:rFonts w:ascii="Cambria Math" w:hAnsi="Cambria Math" w:cs="Times New Roman"/>
            <w:sz w:val="18"/>
            <w:szCs w:val="18"/>
          </w:rPr>
          <m:t>=</m:t>
        </m:r>
        <m:rad>
          <m:radPr>
            <m:degHide m:val="1"/>
            <m:ctrlPr>
              <w:rPr>
                <w:rFonts w:ascii="Cambria Math" w:hAnsi="Cambria Math" w:cs="Times New Roman"/>
                <w:sz w:val="18"/>
                <w:szCs w:val="18"/>
              </w:rPr>
            </m:ctrlPr>
          </m:radPr>
          <m:deg/>
          <m:e>
            <m:sSup>
              <m:sSupPr>
                <m:ctrlPr>
                  <w:rPr>
                    <w:rFonts w:ascii="Cambria Math" w:hAnsi="Cambria Math" w:cs="Times New Roman"/>
                    <w:sz w:val="18"/>
                    <w:szCs w:val="18"/>
                  </w:rPr>
                </m:ctrlPr>
              </m:sSupPr>
              <m:e>
                <m:r>
                  <m:rPr>
                    <m:sty m:val="p"/>
                  </m:rPr>
                  <w:rPr>
                    <w:rFonts w:ascii="Cambria Math" w:hAnsi="Cambria Math" w:cs="Times New Roman"/>
                    <w:sz w:val="18"/>
                    <w:szCs w:val="18"/>
                  </w:rPr>
                  <m:t>σ</m:t>
                </m:r>
              </m:e>
              <m:sup>
                <m:r>
                  <m:rPr>
                    <m:sty m:val="p"/>
                  </m:rPr>
                  <w:rPr>
                    <w:rFonts w:ascii="Cambria Math" w:hAnsi="Cambria Math" w:cs="Times New Roman"/>
                    <w:sz w:val="18"/>
                    <w:szCs w:val="18"/>
                  </w:rPr>
                  <m:t>2</m:t>
                </m:r>
              </m:sup>
            </m:sSup>
          </m:e>
        </m:rad>
      </m:oMath>
      <w:r>
        <w:rPr>
          <w:rFonts w:ascii="Times New Roman" w:hAnsi="Times New Roman" w:cs="Times New Roman"/>
          <w:b/>
          <w:sz w:val="18"/>
          <w:szCs w:val="18"/>
        </w:rPr>
        <w:t xml:space="preserve">  (3)</w:t>
      </w:r>
    </w:p>
    <w:p w14:paraId="718F2EFD" w14:textId="15EC9B37"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with the final displayed variability map averaged over the three colour channels. Because </w:t>
      </w:r>
      <m:oMath>
        <m:r>
          <m:rPr>
            <m:sty m:val="p"/>
          </m:rPr>
          <w:rPr>
            <w:rFonts w:ascii="Cambria Math" w:hAnsi="Cambria Math" w:cs="Times New Roman"/>
            <w:sz w:val="18"/>
            <w:szCs w:val="18"/>
          </w:rPr>
          <m:t>S</m:t>
        </m:r>
      </m:oMath>
      <w:r>
        <w:rPr>
          <w:rFonts w:ascii="Times New Roman" w:hAnsi="Times New Roman" w:cs="Times New Roman"/>
          <w:sz w:val="18"/>
          <w:szCs w:val="18"/>
        </w:rPr>
        <w:t xml:space="preserve"> and </w:t>
      </w:r>
      <m:oMath>
        <m:r>
          <m:rPr>
            <m:sty m:val="p"/>
          </m:rPr>
          <w:rPr>
            <w:rFonts w:ascii="Cambria Math" w:hAnsi="Cambria Math" w:cs="Times New Roman"/>
            <w:sz w:val="18"/>
            <w:szCs w:val="18"/>
          </w:rPr>
          <m:t>Q</m:t>
        </m:r>
      </m:oMath>
      <w:r>
        <w:rPr>
          <w:rFonts w:ascii="Times New Roman" w:hAnsi="Times New Roman" w:cs="Times New Roman"/>
          <w:sz w:val="18"/>
          <w:szCs w:val="18"/>
        </w:rPr>
        <w:t xml:space="preserve"> each occupy exactly one canvas sized array regardless of </w:t>
      </w:r>
      <m:oMath>
        <m:r>
          <m:rPr>
            <m:sty m:val="p"/>
          </m:rPr>
          <w:rPr>
            <w:rFonts w:ascii="Cambria Math" w:hAnsi="Cambria Math" w:cs="Times New Roman"/>
            <w:sz w:val="18"/>
            <w:szCs w:val="18"/>
          </w:rPr>
          <m:t>N</m:t>
        </m:r>
      </m:oMath>
      <w:r>
        <w:rPr>
          <w:rFonts w:ascii="Times New Roman" w:hAnsi="Times New Roman" w:cs="Times New Roman"/>
          <w:sz w:val="18"/>
          <w:szCs w:val="18"/>
        </w:rPr>
        <w:t xml:space="preserve">, peak memory use is </w:t>
      </w:r>
      <m:oMath>
        <m:r>
          <m:rPr>
            <m:sty m:val="p"/>
          </m:rPr>
          <w:rPr>
            <w:rFonts w:ascii="Cambria Math" w:hAnsi="Cambria Math" w:cs="Times New Roman"/>
            <w:sz w:val="18"/>
            <w:szCs w:val="18"/>
          </w:rPr>
          <m:t>O</m:t>
        </m:r>
        <m:d>
          <m:dPr>
            <m:ctrlPr>
              <w:rPr>
                <w:rFonts w:ascii="Cambria Math" w:hAnsi="Cambria Math" w:cs="Times New Roman"/>
                <w:sz w:val="18"/>
                <w:szCs w:val="18"/>
              </w:rPr>
            </m:ctrlPr>
          </m:dPr>
          <m:e>
            <m:r>
              <m:rPr>
                <m:nor/>
              </m:rPr>
              <w:rPr>
                <w:rFonts w:ascii="Times New Roman" w:hAnsi="Times New Roman" w:cs="Times New Roman"/>
                <w:sz w:val="18"/>
                <w:szCs w:val="18"/>
              </w:rPr>
              <m:t>canvas size</m:t>
            </m:r>
          </m:e>
        </m:d>
      </m:oMath>
      <w:r>
        <w:rPr>
          <w:rFonts w:ascii="Times New Roman" w:hAnsi="Times New Roman" w:cs="Times New Roman"/>
          <w:sz w:val="18"/>
          <w:szCs w:val="18"/>
        </w:rPr>
        <w:t xml:space="preserve">, not </w:t>
      </w:r>
      <m:oMath>
        <m:r>
          <m:rPr>
            <m:sty m:val="p"/>
          </m:rPr>
          <w:rPr>
            <w:rFonts w:ascii="Cambria Math" w:hAnsi="Cambria Math" w:cs="Times New Roman"/>
            <w:sz w:val="18"/>
            <w:szCs w:val="18"/>
          </w:rPr>
          <m:t>O</m:t>
        </m:r>
        <m:d>
          <m:dPr>
            <m:ctrlPr>
              <w:rPr>
                <w:rFonts w:ascii="Cambria Math" w:hAnsi="Cambria Math" w:cs="Times New Roman"/>
                <w:sz w:val="18"/>
                <w:szCs w:val="18"/>
              </w:rPr>
            </m:ctrlPr>
          </m:dPr>
          <m:e>
            <m:r>
              <m:rPr>
                <m:sty m:val="p"/>
              </m:rPr>
              <w:rPr>
                <w:rFonts w:ascii="Cambria Math" w:hAnsi="Cambria Math" w:cs="Times New Roman"/>
                <w:sz w:val="18"/>
                <w:szCs w:val="18"/>
              </w:rPr>
              <m:t>N×</m:t>
            </m:r>
            <m:r>
              <m:rPr>
                <m:nor/>
              </m:rPr>
              <w:rPr>
                <w:rFonts w:ascii="Times New Roman" w:hAnsi="Times New Roman" w:cs="Times New Roman"/>
                <w:sz w:val="18"/>
                <w:szCs w:val="18"/>
              </w:rPr>
              <m:t>canvas size</m:t>
            </m:r>
          </m:e>
        </m:d>
      </m:oMath>
      <w:r>
        <w:rPr>
          <w:rFonts w:ascii="Times New Roman" w:hAnsi="Times New Roman" w:cs="Times New Roman"/>
          <w:sz w:val="18"/>
          <w:szCs w:val="18"/>
        </w:rPr>
        <w:t xml:space="preserve">  the property this pipeline advertises as supporting batches of up to roughly 2000 images on ordinary desktop hardware. We verified this directly rather than merely asserting it: Figure 2A plots measured peak traced Python memory (</w:t>
      </w:r>
      <w:r>
        <w:rPr>
          <w:rStyle w:val="VerbatimChar"/>
          <w:rFonts w:ascii="Times New Roman" w:hAnsi="Times New Roman" w:cs="Times New Roman"/>
          <w:sz w:val="18"/>
          <w:szCs w:val="18"/>
        </w:rPr>
        <w:t>tracemalloc</w:t>
      </w:r>
      <w:r>
        <w:rPr>
          <w:rFonts w:ascii="Times New Roman" w:hAnsi="Times New Roman" w:cs="Times New Roman"/>
          <w:sz w:val="18"/>
          <w:szCs w:val="18"/>
        </w:rPr>
        <w:t xml:space="preserve">) against the number of images streamed through </w:t>
      </w:r>
      <w:r>
        <w:rPr>
          <w:rStyle w:val="VerbatimChar"/>
          <w:rFonts w:ascii="Times New Roman" w:hAnsi="Times New Roman" w:cs="Times New Roman"/>
          <w:sz w:val="18"/>
          <w:szCs w:val="18"/>
        </w:rPr>
        <w:t>BatchAligner</w:t>
      </w:r>
      <w:r>
        <w:rPr>
          <w:rFonts w:ascii="Times New Roman" w:hAnsi="Times New Roman" w:cs="Times New Roman"/>
          <w:sz w:val="18"/>
          <w:szCs w:val="18"/>
        </w:rPr>
        <w:t xml:space="preserve"> in this demonstration run.</w:t>
      </w:r>
    </w:p>
    <w:p w14:paraId="1D0A9314"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lastRenderedPageBreak/>
        <w:drawing>
          <wp:inline distT="0" distB="0" distL="0" distR="0" wp14:anchorId="67DEF6A9" wp14:editId="22052034">
            <wp:extent cx="4986388" cy="5524052"/>
            <wp:effectExtent l="0" t="0" r="5080" b="635"/>
            <wp:docPr id="602" name="Pictur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 name="Picture 602"/>
                    <pic:cNvPicPr/>
                  </pic:nvPicPr>
                  <pic:blipFill>
                    <a:blip r:embed="rId13">
                      <a:extLst>
                        <a:ext uri="{28A0092B-C50C-407E-A947-70E740481C1C}">
                          <a14:useLocalDpi xmlns:a14="http://schemas.microsoft.com/office/drawing/2010/main" val="0"/>
                        </a:ext>
                      </a:extLst>
                    </a:blip>
                    <a:stretch>
                      <a:fillRect/>
                    </a:stretch>
                  </pic:blipFill>
                  <pic:spPr>
                    <a:xfrm>
                      <a:off x="0" y="0"/>
                      <a:ext cx="4986388" cy="5524052"/>
                    </a:xfrm>
                    <a:prstGeom prst="rect">
                      <a:avLst/>
                    </a:prstGeom>
                  </pic:spPr>
                </pic:pic>
              </a:graphicData>
            </a:graphic>
          </wp:inline>
        </w:drawing>
      </w:r>
    </w:p>
    <w:p w14:paraId="39B920C9" w14:textId="1A95AE53" w:rsidR="00283C42" w:rsidRPr="00E32832" w:rsidRDefault="0058322D">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3. Streaming alignment and RGB-proxy vegetation/water index computation. (A) Streaming aligner memory use vs. batch size; (B) aggregate composite (left) and per-pixel variability map (right); (C) NDVI-proxy (left) and NDWI-proxy (right) maps; (D) full eight-index RGB-proxy vegetation/water index gallery; (E) outlier-trimmed RGB colour histogram with annotated channel means.</w:t>
      </w:r>
    </w:p>
    <w:p w14:paraId="557D569C" w14:textId="77777777" w:rsidR="00877156" w:rsidRPr="00E32832" w:rsidRDefault="00877156" w:rsidP="00BA5D5D">
      <w:pPr>
        <w:pStyle w:val="BodyText"/>
        <w:keepNext/>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p>
    <w:p w14:paraId="0E2B938B" w14:textId="4DD9703A" w:rsidR="00DA00EE" w:rsidRPr="00E32832" w:rsidRDefault="0058322D" w:rsidP="00BA5D5D">
      <w:pPr>
        <w:pStyle w:val="BodyText"/>
        <w:keepN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7 shows the resulting aggregate composite and its per pixel variability map for the eight image demonstration batch: the variability map is highest at spatial locations where the stress </w:t>
      </w:r>
      <w:r>
        <w:rPr>
          <w:rFonts w:ascii="Times New Roman" w:hAnsi="Times New Roman" w:cs="Times New Roman"/>
          <w:sz w:val="18"/>
          <w:szCs w:val="18"/>
        </w:rPr>
        <w:t>patches (which differ in position and size across the  batch, by construction) fail to average out cleanly  a genuine, if simple, cross image consistency diagnostic that requires no labels.</w:t>
      </w:r>
    </w:p>
    <w:p w14:paraId="38C7EAC7" w14:textId="172D8042"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A single lightweight descriptor, described formally in Section 4.4, is retained per successfully processed frame regardless of </w:t>
      </w:r>
      <m:oMath>
        <m:r>
          <m:rPr>
            <m:sty m:val="p"/>
          </m:rPr>
          <w:rPr>
            <w:rFonts w:ascii="Cambria Math" w:hAnsi="Cambria Math" w:cs="Times New Roman"/>
            <w:sz w:val="18"/>
            <w:szCs w:val="18"/>
          </w:rPr>
          <m:t>N</m:t>
        </m:r>
      </m:oMath>
      <w:r>
        <w:rPr>
          <w:rFonts w:ascii="Times New Roman" w:hAnsi="Times New Roman" w:cs="Times New Roman"/>
          <w:sz w:val="18"/>
          <w:szCs w:val="18"/>
        </w:rPr>
        <w:t>, which is what allows every cross image analysis in Sections 4.5–</w:t>
      </w:r>
      <w:r>
        <w:rPr>
          <w:rFonts w:ascii="Times New Roman" w:hAnsi="Times New Roman" w:cs="Times New Roman"/>
          <w:sz w:val="18"/>
          <w:szCs w:val="18"/>
        </w:rPr>
        <w:t>4.6 to scale to large batches without ever re opening the original image files.</w:t>
      </w:r>
    </w:p>
    <w:p w14:paraId="0DB18EF7" w14:textId="77777777" w:rsidR="00DA00EE" w:rsidRPr="00E32832" w:rsidRDefault="00DA00EE" w:rsidP="00BA5D5D">
      <w:pPr>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space="708"/>
          <w:docGrid w:linePitch="360"/>
        </w:sectPr>
      </w:pPr>
      <w:bookmarkStart w:id="37" w:name="rgb-proxy-vegetation-and-water-indices"/>
      <w:bookmarkEnd w:id="36"/>
    </w:p>
    <w:p w14:paraId="6FC6628F" w14:textId="77777777" w:rsidR="00DA00EE" w:rsidRPr="00E32832" w:rsidRDefault="00F84C4B" w:rsidP="00BA5D5D">
      <w:pPr>
        <w:pStyle w:val="Heading3"/>
        <w:jc w:val="both"/>
        <w:rPr>
          <w:rFonts w:ascii="Times New Roman" w:hAnsi="Times New Roman" w:cs="Times New Roman"/>
          <w:color w:val="auto"/>
          <w:sz w:val="18"/>
          <w:szCs w:val="18"/>
        </w:rPr>
      </w:pPr>
      <w:bookmarkStart w:id="38" w:name="_Toc234738407"/>
      <w:r>
        <w:rPr>
          <w:rFonts w:ascii="Times New Roman" w:hAnsi="Times New Roman" w:cs="Times New Roman"/>
          <w:color w:val="auto"/>
          <w:sz w:val="18"/>
          <w:szCs w:val="18"/>
        </w:rPr>
        <w:t>4.2 RGB proxy vegetation and water indices</w:t>
      </w:r>
      <w:bookmarkEnd w:id="38"/>
    </w:p>
    <w:p w14:paraId="28BFF712" w14:textId="085FD29F" w:rsidR="00BA5D5D"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A conventional RGB sensor records only red (</w:t>
      </w:r>
      <m:oMath>
        <m:r>
          <m:rPr>
            <m:sty m:val="p"/>
          </m:rPr>
          <w:rPr>
            <w:rFonts w:ascii="Cambria Math" w:hAnsi="Cambria Math" w:cs="Times New Roman"/>
            <w:sz w:val="18"/>
            <w:szCs w:val="18"/>
          </w:rPr>
          <m:t>R</m:t>
        </m:r>
      </m:oMath>
      <w:r>
        <w:rPr>
          <w:rFonts w:ascii="Times New Roman" w:hAnsi="Times New Roman" w:cs="Times New Roman"/>
          <w:sz w:val="18"/>
          <w:szCs w:val="18"/>
        </w:rPr>
        <w:t>), green (</w:t>
      </w:r>
      <m:oMath>
        <m:r>
          <m:rPr>
            <m:sty m:val="p"/>
          </m:rPr>
          <w:rPr>
            <w:rFonts w:ascii="Cambria Math" w:hAnsi="Cambria Math" w:cs="Times New Roman"/>
            <w:sz w:val="18"/>
            <w:szCs w:val="18"/>
          </w:rPr>
          <m:t>G</m:t>
        </m:r>
      </m:oMath>
      <w:r>
        <w:rPr>
          <w:rFonts w:ascii="Times New Roman" w:hAnsi="Times New Roman" w:cs="Times New Roman"/>
          <w:sz w:val="18"/>
          <w:szCs w:val="18"/>
        </w:rPr>
        <w:t>), and blue (</w:t>
      </w:r>
      <m:oMath>
        <m:r>
          <m:rPr>
            <m:sty m:val="p"/>
          </m:rPr>
          <w:rPr>
            <w:rFonts w:ascii="Cambria Math" w:hAnsi="Cambria Math" w:cs="Times New Roman"/>
            <w:sz w:val="18"/>
            <w:szCs w:val="18"/>
          </w:rPr>
          <m:t>B</m:t>
        </m:r>
      </m:oMath>
      <w:r>
        <w:rPr>
          <w:rFonts w:ascii="Times New Roman" w:hAnsi="Times New Roman" w:cs="Times New Roman"/>
          <w:sz w:val="18"/>
          <w:szCs w:val="18"/>
        </w:rPr>
        <w:t xml:space="preserve">) channels; it has no near infrared (NIR), red edge, or shortwave infrared band. Every vegetation index in this pipeline that classically requires one of those bands is computed using a </w:t>
      </w:r>
      <w:r>
        <w:rPr>
          <w:rFonts w:ascii="Times New Roman" w:hAnsi="Times New Roman" w:cs="Times New Roman"/>
          <w:b/>
          <w:bCs/>
          <w:sz w:val="18"/>
          <w:szCs w:val="18"/>
        </w:rPr>
        <w:t>documented channel substitution</w:t>
      </w:r>
      <w:r>
        <w:rPr>
          <w:rFonts w:ascii="Times New Roman" w:hAnsi="Times New Roman" w:cs="Times New Roman"/>
          <w:sz w:val="18"/>
          <w:szCs w:val="18"/>
        </w:rPr>
        <w:t xml:space="preserve">  never </w:t>
      </w:r>
    </w:p>
    <w:p w14:paraId="67762F66" w14:textId="33687753"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presented without that disclosure  consistent with the broad RGB proxy literature reviewed in Section 2.1. Table 2 gives the exact formula implemented for each index, its NIR proxy channel assignment, and its theoretical range.</w:t>
      </w:r>
    </w:p>
    <w:p w14:paraId="3C054F4C" w14:textId="6E4D37CF"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 xml:space="preserve">Table 2. RGB proxy vegetation/water index formulas implemented in </w:t>
      </w:r>
      <w:r>
        <w:rPr>
          <w:rStyle w:val="VerbatimChar"/>
          <w:rFonts w:ascii="Times New Roman" w:hAnsi="Times New Roman" w:cs="Times New Roman"/>
          <w:b/>
          <w:bCs/>
          <w:sz w:val="18"/>
          <w:szCs w:val="18"/>
        </w:rPr>
        <w:t>vegetation_indices.py</w:t>
      </w:r>
      <w:r>
        <w:rPr>
          <w:rFonts w:ascii="Times New Roman" w:hAnsi="Times New Roman" w:cs="Times New Roman"/>
          <w:b/>
          <w:bCs/>
          <w:sz w:val="18"/>
          <w:szCs w:val="18"/>
        </w:rPr>
        <w:t xml:space="preserve"> (all channels normalised to </w:t>
      </w: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0,1</m:t>
            </m:r>
          </m:e>
        </m:d>
      </m:oMath>
      <w:r>
        <w:rPr>
          <w:rFonts w:ascii="Times New Roman" w:hAnsi="Times New Roman" w:cs="Times New Roman"/>
          <w:b/>
          <w:bCs/>
          <w:sz w:val="18"/>
          <w:szCs w:val="18"/>
        </w:rPr>
        <w:t xml:space="preserve"> except where noted; </w:t>
      </w:r>
      <m:oMath>
        <m:r>
          <m:rPr>
            <m:sty m:val="p"/>
          </m:rPr>
          <w:rPr>
            <w:rFonts w:ascii="Cambria Math" w:hAnsi="Cambria Math" w:cs="Times New Roman"/>
            <w:sz w:val="18"/>
            <w:szCs w:val="18"/>
          </w:rPr>
          <m:t>R,G,B</m:t>
        </m:r>
      </m:oMath>
      <w:r>
        <w:rPr>
          <w:rFonts w:ascii="Times New Roman" w:hAnsi="Times New Roman" w:cs="Times New Roman"/>
          <w:b/>
          <w:bCs/>
          <w:sz w:val="18"/>
          <w:szCs w:val="18"/>
        </w:rPr>
        <w:t xml:space="preserve"> denote per pixel channel values).</w:t>
      </w:r>
    </w:p>
    <w:tbl>
      <w:tblPr>
        <w:tblStyle w:val="Table"/>
        <w:tblW w:w="5000" w:type="pct"/>
        <w:tblLook w:val="0020" w:firstRow="1" w:lastRow="0" w:firstColumn="0" w:lastColumn="0" w:noHBand="0" w:noVBand="0"/>
      </w:tblPr>
      <w:tblGrid>
        <w:gridCol w:w="1757"/>
        <w:gridCol w:w="2833"/>
        <w:gridCol w:w="1464"/>
        <w:gridCol w:w="1974"/>
        <w:gridCol w:w="1718"/>
      </w:tblGrid>
      <w:tr w:rsidR="00DA00EE" w:rsidRPr="00E32832" w14:paraId="3C92CFF8" w14:textId="77777777" w:rsidTr="00DA00EE">
        <w:trPr>
          <w:cnfStyle w:val="100000000000" w:firstRow="1" w:lastRow="0" w:firstColumn="0" w:lastColumn="0" w:oddVBand="0" w:evenVBand="0" w:oddHBand="0" w:evenHBand="0" w:firstRowFirstColumn="0" w:firstRowLastColumn="0" w:lastRowFirstColumn="0" w:lastRowLastColumn="0"/>
          <w:tblHeader/>
        </w:trPr>
        <w:tc>
          <w:tcPr>
            <w:tcW w:w="0" w:type="auto"/>
          </w:tcPr>
          <w:p w14:paraId="32BFD806"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lastRenderedPageBreak/>
              <w:t>Index</w:t>
            </w:r>
          </w:p>
        </w:tc>
        <w:tc>
          <w:tcPr>
            <w:tcW w:w="0" w:type="auto"/>
          </w:tcPr>
          <w:p w14:paraId="04CF279D"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Formula</w:t>
            </w:r>
          </w:p>
        </w:tc>
        <w:tc>
          <w:tcPr>
            <w:tcW w:w="0" w:type="auto"/>
          </w:tcPr>
          <w:p w14:paraId="1A2F65D0"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NIR proxy channel</w:t>
            </w:r>
          </w:p>
        </w:tc>
        <w:tc>
          <w:tcPr>
            <w:tcW w:w="0" w:type="auto"/>
          </w:tcPr>
          <w:p w14:paraId="2761A3BF"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Range</w:t>
            </w:r>
          </w:p>
        </w:tc>
        <w:tc>
          <w:tcPr>
            <w:tcW w:w="0" w:type="auto"/>
          </w:tcPr>
          <w:p w14:paraId="67D39F4A" w14:textId="77777777" w:rsidR="00283C42" w:rsidRPr="00E32832" w:rsidRDefault="00EF3290">
            <w:pPr>
              <w:pStyle w:val="Compact"/>
              <w:jc w:val="both"/>
              <w:rPr>
                <w:rFonts w:ascii="Times New Roman" w:hAnsi="Times New Roman" w:cs="Times New Roman"/>
                <w:sz w:val="18"/>
                <w:szCs w:val="18"/>
              </w:rPr>
            </w:pPr>
            <w:r>
              <w:rPr>
                <w:rFonts w:ascii="Times New Roman" w:hAnsi="Times New Roman" w:cs="Times New Roman"/>
                <w:b/>
                <w:bCs/>
                <w:sz w:val="18"/>
                <w:szCs w:val="18"/>
              </w:rPr>
              <w:t>Citation</w:t>
            </w:r>
          </w:p>
        </w:tc>
      </w:tr>
      <w:tr w:rsidR="00DA00EE" w:rsidRPr="00E32832" w14:paraId="54D8DF8B" w14:textId="77777777">
        <w:tc>
          <w:tcPr>
            <w:tcW w:w="0" w:type="auto"/>
          </w:tcPr>
          <w:p w14:paraId="6741411F"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NDVI</w:t>
            </w:r>
          </w:p>
        </w:tc>
        <w:tc>
          <w:tcPr>
            <w:tcW w:w="0" w:type="auto"/>
          </w:tcPr>
          <w:p w14:paraId="4D6C2EE8" w14:textId="52124642" w:rsidR="00DA00EE" w:rsidRPr="00E32832" w:rsidRDefault="00000000" w:rsidP="00BA5D5D">
            <w:pPr>
              <w:pStyle w:val="Compact"/>
              <w:jc w:val="both"/>
              <w:rPr>
                <w:rFonts w:ascii="Times New Roman" w:hAnsi="Times New Roman" w:cs="Times New Roman"/>
                <w:sz w:val="18"/>
                <w:szCs w:val="18"/>
              </w:rPr>
            </w:pPr>
            <m:oMathPara>
              <m:oMath>
                <m:f>
                  <m:fPr>
                    <m:ctrlPr>
                      <w:rPr>
                        <w:rFonts w:ascii="Cambria Math" w:hAnsi="Cambria Math" w:cs="Times New Roman"/>
                        <w:sz w:val="18"/>
                        <w:szCs w:val="18"/>
                      </w:rPr>
                    </m:ctrlPr>
                  </m:fPr>
                  <m:num>
                    <m:r>
                      <m:rPr>
                        <m:sty m:val="p"/>
                      </m:rPr>
                      <w:rPr>
                        <w:rFonts w:ascii="Cambria Math" w:hAnsi="Cambria Math" w:cs="Times New Roman"/>
                        <w:sz w:val="18"/>
                        <w:szCs w:val="18"/>
                      </w:rPr>
                      <m:t>G-R</m:t>
                    </m:r>
                  </m:num>
                  <m:den>
                    <m:r>
                      <m:rPr>
                        <m:sty m:val="p"/>
                      </m:rPr>
                      <w:rPr>
                        <w:rFonts w:ascii="Cambria Math" w:hAnsi="Cambria Math" w:cs="Times New Roman"/>
                        <w:sz w:val="18"/>
                        <w:szCs w:val="18"/>
                      </w:rPr>
                      <m:t>G+R+ϵ</m:t>
                    </m:r>
                  </m:den>
                </m:f>
              </m:oMath>
            </m:oMathPara>
          </w:p>
        </w:tc>
        <w:tc>
          <w:tcPr>
            <w:tcW w:w="0" w:type="auto"/>
          </w:tcPr>
          <w:p w14:paraId="4A5062A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Green</w:t>
            </w:r>
          </w:p>
        </w:tc>
        <w:tc>
          <w:tcPr>
            <w:tcW w:w="0" w:type="auto"/>
          </w:tcPr>
          <w:p w14:paraId="08E5A1D9" w14:textId="7D95F954" w:rsidR="00DA00EE" w:rsidRPr="00E32832" w:rsidRDefault="00000000" w:rsidP="00BA5D5D">
            <w:pPr>
              <w:pStyle w:val="Compact"/>
              <w:jc w:val="both"/>
              <w:rPr>
                <w:rFonts w:ascii="Times New Roman" w:hAnsi="Times New Roman" w:cs="Times New Roman"/>
                <w:sz w:val="18"/>
                <w:szCs w:val="18"/>
              </w:rPr>
            </w:pPr>
            <m:oMathPara>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m:oMathPara>
          </w:p>
        </w:tc>
        <w:tc>
          <w:tcPr>
            <w:tcW w:w="0" w:type="auto"/>
          </w:tcPr>
          <w:p w14:paraId="6C7EBB00" w14:textId="77777777" w:rsidR="00283C42" w:rsidRPr="00E32832" w:rsidRDefault="00283C42">
            <w:pPr>
              <w:pStyle w:val="Compact"/>
              <w:jc w:val="both"/>
              <w:rPr>
                <w:rFonts w:ascii="Times New Roman" w:hAnsi="Times New Roman" w:cs="Times New Roman"/>
                <w:sz w:val="18"/>
                <w:szCs w:val="18"/>
              </w:rPr>
            </w:pPr>
            <w:hyperlink w:anchor="ref-rouse1974" w:history="1">
              <w:r>
                <w:rPr>
                  <w:rFonts w:ascii="Times New Roman" w:hAnsi="Times New Roman" w:cs="Times New Roman"/>
                  <w:color w:val="1155CC"/>
                  <w:sz w:val="18"/>
                  <w:szCs w:val="18"/>
                  <w:u w:val="single"/>
                </w:rPr>
                <w:t>Rouse et al. (1974)</w:t>
              </w:r>
            </w:hyperlink>
          </w:p>
        </w:tc>
      </w:tr>
      <w:tr w:rsidR="00DA00EE" w:rsidRPr="00E32832" w14:paraId="023C49DC" w14:textId="77777777">
        <w:tc>
          <w:tcPr>
            <w:tcW w:w="0" w:type="auto"/>
          </w:tcPr>
          <w:p w14:paraId="1F04AABE"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NDWI</w:t>
            </w:r>
          </w:p>
        </w:tc>
        <w:tc>
          <w:tcPr>
            <w:tcW w:w="0" w:type="auto"/>
          </w:tcPr>
          <w:p w14:paraId="11170D4C" w14:textId="680CABD2" w:rsidR="00DA00EE" w:rsidRPr="00E32832" w:rsidRDefault="00000000" w:rsidP="00BA5D5D">
            <w:pPr>
              <w:pStyle w:val="Compact"/>
              <w:jc w:val="both"/>
              <w:rPr>
                <w:rFonts w:ascii="Times New Roman" w:hAnsi="Times New Roman" w:cs="Times New Roman"/>
                <w:sz w:val="18"/>
                <w:szCs w:val="18"/>
              </w:rPr>
            </w:pPr>
            <m:oMathPara>
              <m:oMath>
                <m:f>
                  <m:fPr>
                    <m:ctrlPr>
                      <w:rPr>
                        <w:rFonts w:ascii="Cambria Math" w:hAnsi="Cambria Math" w:cs="Times New Roman"/>
                        <w:sz w:val="18"/>
                        <w:szCs w:val="18"/>
                      </w:rPr>
                    </m:ctrlPr>
                  </m:fPr>
                  <m:num>
                    <m:r>
                      <m:rPr>
                        <m:sty m:val="p"/>
                      </m:rPr>
                      <w:rPr>
                        <w:rFonts w:ascii="Cambria Math" w:hAnsi="Cambria Math" w:cs="Times New Roman"/>
                        <w:sz w:val="18"/>
                        <w:szCs w:val="18"/>
                      </w:rPr>
                      <m:t>G-B</m:t>
                    </m:r>
                  </m:num>
                  <m:den>
                    <m:r>
                      <m:rPr>
                        <m:sty m:val="p"/>
                      </m:rPr>
                      <w:rPr>
                        <w:rFonts w:ascii="Cambria Math" w:hAnsi="Cambria Math" w:cs="Times New Roman"/>
                        <w:sz w:val="18"/>
                        <w:szCs w:val="18"/>
                      </w:rPr>
                      <m:t>G+B+ϵ</m:t>
                    </m:r>
                  </m:den>
                </m:f>
              </m:oMath>
            </m:oMathPara>
          </w:p>
        </w:tc>
        <w:tc>
          <w:tcPr>
            <w:tcW w:w="0" w:type="auto"/>
          </w:tcPr>
          <w:p w14:paraId="3C65E105"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Blue</w:t>
            </w:r>
          </w:p>
        </w:tc>
        <w:tc>
          <w:tcPr>
            <w:tcW w:w="0" w:type="auto"/>
          </w:tcPr>
          <w:p w14:paraId="2B765070" w14:textId="164061A2" w:rsidR="00DA00EE" w:rsidRPr="00E32832" w:rsidRDefault="00000000" w:rsidP="00BA5D5D">
            <w:pPr>
              <w:pStyle w:val="Compact"/>
              <w:jc w:val="both"/>
              <w:rPr>
                <w:rFonts w:ascii="Times New Roman" w:hAnsi="Times New Roman" w:cs="Times New Roman"/>
                <w:sz w:val="18"/>
                <w:szCs w:val="18"/>
              </w:rPr>
            </w:pPr>
            <m:oMathPara>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m:oMathPara>
          </w:p>
        </w:tc>
        <w:tc>
          <w:tcPr>
            <w:tcW w:w="0" w:type="auto"/>
          </w:tcPr>
          <w:p w14:paraId="74F8A76F" w14:textId="77777777" w:rsidR="00283C42" w:rsidRPr="00E32832" w:rsidRDefault="00283C42">
            <w:pPr>
              <w:pStyle w:val="Compact"/>
              <w:jc w:val="both"/>
              <w:rPr>
                <w:rFonts w:ascii="Times New Roman" w:hAnsi="Times New Roman" w:cs="Times New Roman"/>
                <w:sz w:val="18"/>
                <w:szCs w:val="18"/>
              </w:rPr>
            </w:pPr>
            <w:hyperlink w:anchor="ref-gao1996" w:history="1">
              <w:r>
                <w:rPr>
                  <w:rFonts w:ascii="Times New Roman" w:hAnsi="Times New Roman" w:cs="Times New Roman"/>
                  <w:color w:val="1155CC"/>
                  <w:sz w:val="18"/>
                  <w:szCs w:val="18"/>
                  <w:u w:val="single"/>
                </w:rPr>
                <w:t>Gao (1996)</w:t>
              </w:r>
            </w:hyperlink>
          </w:p>
        </w:tc>
      </w:tr>
      <w:tr w:rsidR="00DA00EE" w:rsidRPr="00E32832" w14:paraId="343216CB" w14:textId="77777777">
        <w:tc>
          <w:tcPr>
            <w:tcW w:w="0" w:type="auto"/>
          </w:tcPr>
          <w:p w14:paraId="5DEA2C33"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GNDVI</w:t>
            </w:r>
          </w:p>
        </w:tc>
        <w:tc>
          <w:tcPr>
            <w:tcW w:w="0" w:type="auto"/>
          </w:tcPr>
          <w:p w14:paraId="7BAE91F8" w14:textId="45281991" w:rsidR="00DA00EE" w:rsidRPr="00E32832" w:rsidRDefault="00000000" w:rsidP="00BA5D5D">
            <w:pPr>
              <w:pStyle w:val="Compact"/>
              <w:jc w:val="both"/>
              <w:rPr>
                <w:rFonts w:ascii="Times New Roman" w:hAnsi="Times New Roman" w:cs="Times New Roman"/>
                <w:sz w:val="18"/>
                <w:szCs w:val="18"/>
              </w:rPr>
            </w:pPr>
            <m:oMathPara>
              <m:oMath>
                <m:f>
                  <m:fPr>
                    <m:ctrlPr>
                      <w:rPr>
                        <w:rFonts w:ascii="Cambria Math" w:hAnsi="Cambria Math" w:cs="Times New Roman"/>
                        <w:sz w:val="18"/>
                        <w:szCs w:val="18"/>
                      </w:rPr>
                    </m:ctrlPr>
                  </m:fPr>
                  <m:num>
                    <m:r>
                      <m:rPr>
                        <m:sty m:val="p"/>
                      </m:rPr>
                      <w:rPr>
                        <w:rFonts w:ascii="Cambria Math" w:hAnsi="Cambria Math" w:cs="Times New Roman"/>
                        <w:sz w:val="18"/>
                        <w:szCs w:val="18"/>
                      </w:rPr>
                      <m:t>B-G</m:t>
                    </m:r>
                  </m:num>
                  <m:den>
                    <m:r>
                      <m:rPr>
                        <m:sty m:val="p"/>
                      </m:rPr>
                      <w:rPr>
                        <w:rFonts w:ascii="Cambria Math" w:hAnsi="Cambria Math" w:cs="Times New Roman"/>
                        <w:sz w:val="18"/>
                        <w:szCs w:val="18"/>
                      </w:rPr>
                      <m:t>B+G+ϵ</m:t>
                    </m:r>
                  </m:den>
                </m:f>
              </m:oMath>
            </m:oMathPara>
          </w:p>
        </w:tc>
        <w:tc>
          <w:tcPr>
            <w:tcW w:w="0" w:type="auto"/>
          </w:tcPr>
          <w:p w14:paraId="7322C815"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Blue</w:t>
            </w:r>
          </w:p>
        </w:tc>
        <w:tc>
          <w:tcPr>
            <w:tcW w:w="0" w:type="auto"/>
          </w:tcPr>
          <w:p w14:paraId="1862CA8A" w14:textId="1962BBB2" w:rsidR="00DA00EE" w:rsidRPr="00E32832" w:rsidRDefault="00000000" w:rsidP="00BA5D5D">
            <w:pPr>
              <w:pStyle w:val="Compact"/>
              <w:jc w:val="both"/>
              <w:rPr>
                <w:rFonts w:ascii="Times New Roman" w:hAnsi="Times New Roman" w:cs="Times New Roman"/>
                <w:sz w:val="18"/>
                <w:szCs w:val="18"/>
              </w:rPr>
            </w:pPr>
            <m:oMathPara>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m:oMathPara>
          </w:p>
        </w:tc>
        <w:tc>
          <w:tcPr>
            <w:tcW w:w="0" w:type="auto"/>
          </w:tcPr>
          <w:p w14:paraId="2100BBD1" w14:textId="77777777" w:rsidR="00283C42" w:rsidRPr="00E32832" w:rsidRDefault="00283C42">
            <w:pPr>
              <w:pStyle w:val="Compact"/>
              <w:jc w:val="both"/>
              <w:rPr>
                <w:rFonts w:ascii="Times New Roman" w:hAnsi="Times New Roman" w:cs="Times New Roman"/>
                <w:sz w:val="18"/>
                <w:szCs w:val="18"/>
              </w:rPr>
            </w:pPr>
            <w:hyperlink w:anchor="ref-gitelson1996" w:history="1">
              <w:r>
                <w:rPr>
                  <w:rFonts w:ascii="Times New Roman" w:hAnsi="Times New Roman" w:cs="Times New Roman"/>
                  <w:color w:val="1155CC"/>
                  <w:sz w:val="18"/>
                  <w:szCs w:val="18"/>
                  <w:u w:val="single"/>
                </w:rPr>
                <w:t>Gitelson et al. (1996)</w:t>
              </w:r>
            </w:hyperlink>
          </w:p>
        </w:tc>
      </w:tr>
      <w:tr w:rsidR="00DA00EE" w:rsidRPr="00E32832" w14:paraId="7F146678" w14:textId="77777777">
        <w:tc>
          <w:tcPr>
            <w:tcW w:w="0" w:type="auto"/>
          </w:tcPr>
          <w:p w14:paraId="00A149BC"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EVI</w:t>
            </w:r>
          </w:p>
        </w:tc>
        <w:tc>
          <w:tcPr>
            <w:tcW w:w="0" w:type="auto"/>
          </w:tcPr>
          <w:p w14:paraId="4696588F" w14:textId="21E2FD5E" w:rsidR="00DA00EE" w:rsidRPr="00E32832" w:rsidRDefault="00E32832" w:rsidP="00BA5D5D">
            <w:pPr>
              <w:pStyle w:val="Compact"/>
              <w:jc w:val="both"/>
              <w:rPr>
                <w:rFonts w:ascii="Times New Roman" w:hAnsi="Times New Roman" w:cs="Times New Roman"/>
                <w:sz w:val="18"/>
                <w:szCs w:val="18"/>
              </w:rPr>
            </w:pPr>
            <m:oMathPara>
              <m:oMath>
                <m:r>
                  <m:rPr>
                    <m:sty m:val="p"/>
                  </m:rPr>
                  <w:rPr>
                    <w:rFonts w:ascii="Cambria Math" w:hAnsi="Cambria Math" w:cs="Times New Roman"/>
                    <w:sz w:val="18"/>
                    <w:szCs w:val="18"/>
                  </w:rPr>
                  <m:t>2.5 </m:t>
                </m:r>
                <m:f>
                  <m:fPr>
                    <m:ctrlPr>
                      <w:rPr>
                        <w:rFonts w:ascii="Cambria Math" w:hAnsi="Cambria Math" w:cs="Times New Roman"/>
                        <w:sz w:val="18"/>
                        <w:szCs w:val="18"/>
                      </w:rPr>
                    </m:ctrlPr>
                  </m:fPr>
                  <m:num>
                    <m:r>
                      <m:rPr>
                        <m:sty m:val="p"/>
                      </m:rPr>
                      <w:rPr>
                        <w:rFonts w:ascii="Cambria Math" w:hAnsi="Cambria Math" w:cs="Times New Roman"/>
                        <w:sz w:val="18"/>
                        <w:szCs w:val="18"/>
                      </w:rPr>
                      <m:t>G-R</m:t>
                    </m:r>
                  </m:num>
                  <m:den>
                    <m:r>
                      <m:rPr>
                        <m:sty m:val="p"/>
                      </m:rPr>
                      <w:rPr>
                        <w:rFonts w:ascii="Cambria Math" w:hAnsi="Cambria Math" w:cs="Times New Roman"/>
                        <w:sz w:val="18"/>
                        <w:szCs w:val="18"/>
                      </w:rPr>
                      <m:t>G+6R-7.5B+1+ϵ</m:t>
                    </m:r>
                  </m:den>
                </m:f>
              </m:oMath>
            </m:oMathPara>
          </w:p>
        </w:tc>
        <w:tc>
          <w:tcPr>
            <w:tcW w:w="0" w:type="auto"/>
          </w:tcPr>
          <w:p w14:paraId="10D046B0"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Green</w:t>
            </w:r>
          </w:p>
        </w:tc>
        <w:tc>
          <w:tcPr>
            <w:tcW w:w="0" w:type="auto"/>
          </w:tcPr>
          <w:p w14:paraId="2134799F" w14:textId="7B604839" w:rsidR="00DA00EE" w:rsidRPr="00E32832" w:rsidRDefault="00000000" w:rsidP="00BA5D5D">
            <w:pPr>
              <w:pStyle w:val="Compact"/>
              <w:jc w:val="both"/>
              <w:rPr>
                <w:rFonts w:ascii="Times New Roman" w:hAnsi="Times New Roman" w:cs="Times New Roman"/>
                <w:sz w:val="18"/>
                <w:szCs w:val="18"/>
              </w:rPr>
            </w:pP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w:r>
              <w:rPr>
                <w:rFonts w:ascii="Times New Roman" w:hAnsi="Times New Roman" w:cs="Times New Roman"/>
                <w:sz w:val="18"/>
                <w:szCs w:val="18"/>
              </w:rPr>
              <w:t xml:space="preserve"> (proxy clipped)</w:t>
            </w:r>
          </w:p>
        </w:tc>
        <w:tc>
          <w:tcPr>
            <w:tcW w:w="0" w:type="auto"/>
          </w:tcPr>
          <w:p w14:paraId="752A9EA0" w14:textId="77777777" w:rsidR="00283C42" w:rsidRPr="00E32832" w:rsidRDefault="00283C42">
            <w:pPr>
              <w:pStyle w:val="Compact"/>
              <w:jc w:val="both"/>
              <w:rPr>
                <w:rFonts w:ascii="Times New Roman" w:hAnsi="Times New Roman" w:cs="Times New Roman"/>
                <w:sz w:val="18"/>
                <w:szCs w:val="18"/>
              </w:rPr>
            </w:pPr>
            <w:hyperlink w:anchor="ref-huete2002" w:history="1">
              <w:r>
                <w:rPr>
                  <w:rFonts w:ascii="Times New Roman" w:hAnsi="Times New Roman" w:cs="Times New Roman"/>
                  <w:color w:val="1155CC"/>
                  <w:sz w:val="18"/>
                  <w:szCs w:val="18"/>
                  <w:u w:val="single"/>
                </w:rPr>
                <w:t>Huete et al. (2002)</w:t>
              </w:r>
            </w:hyperlink>
          </w:p>
        </w:tc>
      </w:tr>
      <w:tr w:rsidR="00DA00EE" w:rsidRPr="00E32832" w14:paraId="5A655763" w14:textId="77777777">
        <w:tc>
          <w:tcPr>
            <w:tcW w:w="0" w:type="auto"/>
          </w:tcPr>
          <w:p w14:paraId="4CABFDA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SAVI</w:t>
            </w:r>
          </w:p>
        </w:tc>
        <w:tc>
          <w:tcPr>
            <w:tcW w:w="0" w:type="auto"/>
          </w:tcPr>
          <w:p w14:paraId="7D2EFDCE" w14:textId="23FA3497" w:rsidR="00DA00EE" w:rsidRPr="00E32832" w:rsidRDefault="00000000" w:rsidP="00BA5D5D">
            <w:pPr>
              <w:pStyle w:val="Compact"/>
              <w:jc w:val="both"/>
              <w:rPr>
                <w:rFonts w:ascii="Times New Roman" w:hAnsi="Times New Roman" w:cs="Times New Roman"/>
                <w:sz w:val="18"/>
                <w:szCs w:val="18"/>
              </w:rPr>
            </w:pPr>
            <m:oMathPara>
              <m:oMath>
                <m:d>
                  <m:dPr>
                    <m:ctrlPr>
                      <w:rPr>
                        <w:rFonts w:ascii="Cambria Math" w:hAnsi="Cambria Math" w:cs="Times New Roman"/>
                        <w:sz w:val="18"/>
                        <w:szCs w:val="18"/>
                      </w:rPr>
                    </m:ctrlPr>
                  </m:dPr>
                  <m:e>
                    <m:f>
                      <m:fPr>
                        <m:ctrlPr>
                          <w:rPr>
                            <w:rFonts w:ascii="Cambria Math" w:hAnsi="Cambria Math" w:cs="Times New Roman"/>
                            <w:sz w:val="18"/>
                            <w:szCs w:val="18"/>
                          </w:rPr>
                        </m:ctrlPr>
                      </m:fPr>
                      <m:num>
                        <m:r>
                          <m:rPr>
                            <m:sty m:val="p"/>
                          </m:rPr>
                          <w:rPr>
                            <w:rFonts w:ascii="Cambria Math" w:hAnsi="Cambria Math" w:cs="Times New Roman"/>
                            <w:sz w:val="18"/>
                            <w:szCs w:val="18"/>
                          </w:rPr>
                          <m:t>G-R</m:t>
                        </m:r>
                      </m:num>
                      <m:den>
                        <m:r>
                          <m:rPr>
                            <m:sty m:val="p"/>
                          </m:rPr>
                          <w:rPr>
                            <w:rFonts w:ascii="Cambria Math" w:hAnsi="Cambria Math" w:cs="Times New Roman"/>
                            <w:sz w:val="18"/>
                            <w:szCs w:val="18"/>
                          </w:rPr>
                          <m:t>G+R+L+ϵ</m:t>
                        </m:r>
                      </m:den>
                    </m:f>
                  </m:e>
                </m:d>
                <m:d>
                  <m:dPr>
                    <m:ctrlPr>
                      <w:rPr>
                        <w:rFonts w:ascii="Cambria Math" w:hAnsi="Cambria Math" w:cs="Times New Roman"/>
                        <w:sz w:val="18"/>
                        <w:szCs w:val="18"/>
                      </w:rPr>
                    </m:ctrlPr>
                  </m:dPr>
                  <m:e>
                    <m:r>
                      <m:rPr>
                        <m:sty m:val="p"/>
                      </m:rPr>
                      <w:rPr>
                        <w:rFonts w:ascii="Cambria Math" w:hAnsi="Cambria Math" w:cs="Times New Roman"/>
                        <w:sz w:val="18"/>
                        <w:szCs w:val="18"/>
                      </w:rPr>
                      <m:t>1+L</m:t>
                    </m:r>
                  </m:e>
                </m:d>
                <m:r>
                  <m:rPr>
                    <m:sty m:val="p"/>
                  </m:rPr>
                  <w:rPr>
                    <w:rFonts w:ascii="Cambria Math" w:hAnsi="Cambria Math" w:cs="Times New Roman"/>
                    <w:sz w:val="18"/>
                    <w:szCs w:val="18"/>
                  </w:rPr>
                  <m:t>, L=0.5</m:t>
                </m:r>
              </m:oMath>
            </m:oMathPara>
          </w:p>
        </w:tc>
        <w:tc>
          <w:tcPr>
            <w:tcW w:w="0" w:type="auto"/>
          </w:tcPr>
          <w:p w14:paraId="0ECBB7A2"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Green</w:t>
            </w:r>
          </w:p>
        </w:tc>
        <w:tc>
          <w:tcPr>
            <w:tcW w:w="0" w:type="auto"/>
          </w:tcPr>
          <w:p w14:paraId="385075A1" w14:textId="75709E5A" w:rsidR="00DA00EE" w:rsidRPr="00E32832" w:rsidRDefault="00000000" w:rsidP="00BA5D5D">
            <w:pPr>
              <w:pStyle w:val="Compact"/>
              <w:jc w:val="both"/>
              <w:rPr>
                <w:rFonts w:ascii="Times New Roman" w:hAnsi="Times New Roman" w:cs="Times New Roman"/>
                <w:sz w:val="18"/>
                <w:szCs w:val="18"/>
              </w:rPr>
            </w:pP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w:r>
              <w:rPr>
                <w:rFonts w:ascii="Times New Roman" w:hAnsi="Times New Roman" w:cs="Times New Roman"/>
                <w:sz w:val="18"/>
                <w:szCs w:val="18"/>
              </w:rPr>
              <w:t xml:space="preserve"> (proxy clipped)</w:t>
            </w:r>
          </w:p>
        </w:tc>
        <w:tc>
          <w:tcPr>
            <w:tcW w:w="0" w:type="auto"/>
          </w:tcPr>
          <w:p w14:paraId="01BD68AD" w14:textId="77777777" w:rsidR="00283C42" w:rsidRPr="00E32832" w:rsidRDefault="00283C42">
            <w:pPr>
              <w:pStyle w:val="Compact"/>
              <w:jc w:val="both"/>
              <w:rPr>
                <w:rFonts w:ascii="Times New Roman" w:hAnsi="Times New Roman" w:cs="Times New Roman"/>
                <w:sz w:val="18"/>
                <w:szCs w:val="18"/>
              </w:rPr>
            </w:pPr>
            <w:hyperlink w:anchor="ref-huete1988" w:history="1">
              <w:r>
                <w:rPr>
                  <w:rFonts w:ascii="Times New Roman" w:hAnsi="Times New Roman" w:cs="Times New Roman"/>
                  <w:color w:val="1155CC"/>
                  <w:sz w:val="18"/>
                  <w:szCs w:val="18"/>
                  <w:u w:val="single"/>
                </w:rPr>
                <w:t>Huete (1988)</w:t>
              </w:r>
            </w:hyperlink>
          </w:p>
        </w:tc>
      </w:tr>
      <w:tr w:rsidR="00DA00EE" w:rsidRPr="00E32832" w14:paraId="0CC5EC22" w14:textId="77777777">
        <w:tc>
          <w:tcPr>
            <w:tcW w:w="0" w:type="auto"/>
          </w:tcPr>
          <w:p w14:paraId="7CD6670D"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MSAVI</w:t>
            </w:r>
          </w:p>
        </w:tc>
        <w:tc>
          <w:tcPr>
            <w:tcW w:w="0" w:type="auto"/>
          </w:tcPr>
          <w:p w14:paraId="483C58C1" w14:textId="1B310543" w:rsidR="00DA00EE" w:rsidRPr="00E32832" w:rsidRDefault="00000000" w:rsidP="00BA5D5D">
            <w:pPr>
              <w:pStyle w:val="Compact"/>
              <w:jc w:val="both"/>
              <w:rPr>
                <w:rFonts w:ascii="Times New Roman" w:hAnsi="Times New Roman" w:cs="Times New Roman"/>
                <w:sz w:val="18"/>
                <w:szCs w:val="18"/>
              </w:rPr>
            </w:pPr>
            <m:oMathPara>
              <m:oMath>
                <m:f>
                  <m:fPr>
                    <m:ctrlPr>
                      <w:rPr>
                        <w:rFonts w:ascii="Cambria Math" w:hAnsi="Cambria Math" w:cs="Times New Roman"/>
                        <w:sz w:val="18"/>
                        <w:szCs w:val="18"/>
                      </w:rPr>
                    </m:ctrlPr>
                  </m:fPr>
                  <m:num>
                    <m:r>
                      <m:rPr>
                        <m:sty m:val="p"/>
                      </m:rPr>
                      <w:rPr>
                        <w:rFonts w:ascii="Cambria Math" w:hAnsi="Cambria Math" w:cs="Times New Roman"/>
                        <w:sz w:val="18"/>
                        <w:szCs w:val="18"/>
                      </w:rPr>
                      <m:t>2G+1-</m:t>
                    </m:r>
                    <m:rad>
                      <m:radPr>
                        <m:degHide m:val="1"/>
                        <m:ctrlPr>
                          <w:rPr>
                            <w:rFonts w:ascii="Cambria Math" w:hAnsi="Cambria Math" w:cs="Times New Roman"/>
                            <w:sz w:val="18"/>
                            <w:szCs w:val="18"/>
                          </w:rPr>
                        </m:ctrlPr>
                      </m:radPr>
                      <m:deg/>
                      <m:e>
                        <m:sSup>
                          <m:sSupPr>
                            <m:ctrlPr>
                              <w:rPr>
                                <w:rFonts w:ascii="Cambria Math" w:hAnsi="Cambria Math" w:cs="Times New Roman"/>
                                <w:sz w:val="18"/>
                                <w:szCs w:val="18"/>
                              </w:rPr>
                            </m:ctrlPr>
                          </m:sSupPr>
                          <m:e>
                            <m:d>
                              <m:dPr>
                                <m:ctrlPr>
                                  <w:rPr>
                                    <w:rFonts w:ascii="Cambria Math" w:hAnsi="Cambria Math" w:cs="Times New Roman"/>
                                    <w:sz w:val="18"/>
                                    <w:szCs w:val="18"/>
                                  </w:rPr>
                                </m:ctrlPr>
                              </m:dPr>
                              <m:e>
                                <m:r>
                                  <m:rPr>
                                    <m:sty m:val="p"/>
                                  </m:rPr>
                                  <w:rPr>
                                    <w:rFonts w:ascii="Cambria Math" w:hAnsi="Cambria Math" w:cs="Times New Roman"/>
                                    <w:sz w:val="18"/>
                                    <w:szCs w:val="18"/>
                                  </w:rPr>
                                  <m:t>2G+1</m:t>
                                </m:r>
                              </m:e>
                            </m:d>
                          </m:e>
                          <m:sup>
                            <m:r>
                              <m:rPr>
                                <m:sty m:val="p"/>
                              </m:rPr>
                              <w:rPr>
                                <w:rFonts w:ascii="Cambria Math" w:hAnsi="Cambria Math" w:cs="Times New Roman"/>
                                <w:sz w:val="18"/>
                                <w:szCs w:val="18"/>
                              </w:rPr>
                              <m:t>2</m:t>
                            </m:r>
                          </m:sup>
                        </m:sSup>
                        <m:r>
                          <m:rPr>
                            <m:sty m:val="p"/>
                          </m:rPr>
                          <w:rPr>
                            <w:rFonts w:ascii="Cambria Math" w:hAnsi="Cambria Math" w:cs="Times New Roman"/>
                            <w:sz w:val="18"/>
                            <w:szCs w:val="18"/>
                          </w:rPr>
                          <m:t>-8</m:t>
                        </m:r>
                        <m:d>
                          <m:dPr>
                            <m:ctrlPr>
                              <w:rPr>
                                <w:rFonts w:ascii="Cambria Math" w:hAnsi="Cambria Math" w:cs="Times New Roman"/>
                                <w:sz w:val="18"/>
                                <w:szCs w:val="18"/>
                              </w:rPr>
                            </m:ctrlPr>
                          </m:dPr>
                          <m:e>
                            <m:r>
                              <m:rPr>
                                <m:sty m:val="p"/>
                              </m:rPr>
                              <w:rPr>
                                <w:rFonts w:ascii="Cambria Math" w:hAnsi="Cambria Math" w:cs="Times New Roman"/>
                                <w:sz w:val="18"/>
                                <w:szCs w:val="18"/>
                              </w:rPr>
                              <m:t>G-R</m:t>
                            </m:r>
                          </m:e>
                        </m:d>
                      </m:e>
                    </m:rad>
                  </m:num>
                  <m:den>
                    <m:r>
                      <m:rPr>
                        <m:sty m:val="p"/>
                      </m:rPr>
                      <w:rPr>
                        <w:rFonts w:ascii="Cambria Math" w:hAnsi="Cambria Math" w:cs="Times New Roman"/>
                        <w:sz w:val="18"/>
                        <w:szCs w:val="18"/>
                      </w:rPr>
                      <m:t>2</m:t>
                    </m:r>
                  </m:den>
                </m:f>
              </m:oMath>
            </m:oMathPara>
          </w:p>
        </w:tc>
        <w:tc>
          <w:tcPr>
            <w:tcW w:w="0" w:type="auto"/>
          </w:tcPr>
          <w:p w14:paraId="4E25C7D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Green</w:t>
            </w:r>
          </w:p>
        </w:tc>
        <w:tc>
          <w:tcPr>
            <w:tcW w:w="0" w:type="auto"/>
          </w:tcPr>
          <w:p w14:paraId="1A707A3E" w14:textId="74C33440" w:rsidR="00DA00EE" w:rsidRPr="00E32832" w:rsidRDefault="00000000" w:rsidP="00BA5D5D">
            <w:pPr>
              <w:pStyle w:val="Compact"/>
              <w:jc w:val="both"/>
              <w:rPr>
                <w:rFonts w:ascii="Times New Roman" w:hAnsi="Times New Roman" w:cs="Times New Roman"/>
                <w:sz w:val="18"/>
                <w:szCs w:val="18"/>
              </w:rPr>
            </w:pP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w:r>
              <w:rPr>
                <w:rFonts w:ascii="Times New Roman" w:hAnsi="Times New Roman" w:cs="Times New Roman"/>
                <w:sz w:val="18"/>
                <w:szCs w:val="18"/>
              </w:rPr>
              <w:t xml:space="preserve"> (proxy clipped)</w:t>
            </w:r>
          </w:p>
        </w:tc>
        <w:tc>
          <w:tcPr>
            <w:tcW w:w="0" w:type="auto"/>
          </w:tcPr>
          <w:p w14:paraId="680E6F04" w14:textId="77777777" w:rsidR="00283C42" w:rsidRPr="00E32832" w:rsidRDefault="00283C42">
            <w:pPr>
              <w:pStyle w:val="Compact"/>
              <w:jc w:val="both"/>
              <w:rPr>
                <w:rFonts w:ascii="Times New Roman" w:hAnsi="Times New Roman" w:cs="Times New Roman"/>
                <w:sz w:val="18"/>
                <w:szCs w:val="18"/>
              </w:rPr>
            </w:pPr>
            <w:hyperlink w:anchor="ref-qi1994" w:history="1">
              <w:r>
                <w:rPr>
                  <w:rFonts w:ascii="Times New Roman" w:hAnsi="Times New Roman" w:cs="Times New Roman"/>
                  <w:color w:val="1155CC"/>
                  <w:sz w:val="18"/>
                  <w:szCs w:val="18"/>
                  <w:u w:val="single"/>
                </w:rPr>
                <w:t>Qi et al. (1994)</w:t>
              </w:r>
            </w:hyperlink>
          </w:p>
        </w:tc>
      </w:tr>
      <w:tr w:rsidR="00DA00EE" w:rsidRPr="00E32832" w14:paraId="31266392" w14:textId="77777777">
        <w:tc>
          <w:tcPr>
            <w:tcW w:w="0" w:type="auto"/>
          </w:tcPr>
          <w:p w14:paraId="20009B9C"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OSAVI</w:t>
            </w:r>
          </w:p>
        </w:tc>
        <w:tc>
          <w:tcPr>
            <w:tcW w:w="0" w:type="auto"/>
          </w:tcPr>
          <w:p w14:paraId="525E7F8B" w14:textId="20EFC090" w:rsidR="00DA00EE" w:rsidRPr="00E32832" w:rsidRDefault="00000000" w:rsidP="00BA5D5D">
            <w:pPr>
              <w:pStyle w:val="Compact"/>
              <w:jc w:val="both"/>
              <w:rPr>
                <w:rFonts w:ascii="Times New Roman" w:hAnsi="Times New Roman" w:cs="Times New Roman"/>
                <w:sz w:val="18"/>
                <w:szCs w:val="18"/>
              </w:rPr>
            </w:pPr>
            <m:oMathPara>
              <m:oMath>
                <m:f>
                  <m:fPr>
                    <m:ctrlPr>
                      <w:rPr>
                        <w:rFonts w:ascii="Cambria Math" w:hAnsi="Cambria Math" w:cs="Times New Roman"/>
                        <w:sz w:val="18"/>
                        <w:szCs w:val="18"/>
                      </w:rPr>
                    </m:ctrlPr>
                  </m:fPr>
                  <m:num>
                    <m:r>
                      <m:rPr>
                        <m:sty m:val="p"/>
                      </m:rPr>
                      <w:rPr>
                        <w:rFonts w:ascii="Cambria Math" w:hAnsi="Cambria Math" w:cs="Times New Roman"/>
                        <w:sz w:val="18"/>
                        <w:szCs w:val="18"/>
                      </w:rPr>
                      <m:t>G-R</m:t>
                    </m:r>
                  </m:num>
                  <m:den>
                    <m:r>
                      <m:rPr>
                        <m:sty m:val="p"/>
                      </m:rPr>
                      <w:rPr>
                        <w:rFonts w:ascii="Cambria Math" w:hAnsi="Cambria Math" w:cs="Times New Roman"/>
                        <w:sz w:val="18"/>
                        <w:szCs w:val="18"/>
                      </w:rPr>
                      <m:t>G+R+0.16+ϵ</m:t>
                    </m:r>
                  </m:den>
                </m:f>
              </m:oMath>
            </m:oMathPara>
          </w:p>
        </w:tc>
        <w:tc>
          <w:tcPr>
            <w:tcW w:w="0" w:type="auto"/>
          </w:tcPr>
          <w:p w14:paraId="0E4FE977"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Green</w:t>
            </w:r>
          </w:p>
        </w:tc>
        <w:tc>
          <w:tcPr>
            <w:tcW w:w="0" w:type="auto"/>
          </w:tcPr>
          <w:p w14:paraId="2ABC3846" w14:textId="6527F499" w:rsidR="00DA00EE" w:rsidRPr="00E32832" w:rsidRDefault="00000000" w:rsidP="00BA5D5D">
            <w:pPr>
              <w:pStyle w:val="Compact"/>
              <w:jc w:val="both"/>
              <w:rPr>
                <w:rFonts w:ascii="Times New Roman" w:hAnsi="Times New Roman" w:cs="Times New Roman"/>
                <w:sz w:val="18"/>
                <w:szCs w:val="18"/>
              </w:rPr>
            </w:pP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w:r>
              <w:rPr>
                <w:rFonts w:ascii="Times New Roman" w:hAnsi="Times New Roman" w:cs="Times New Roman"/>
                <w:sz w:val="18"/>
                <w:szCs w:val="18"/>
              </w:rPr>
              <w:t xml:space="preserve"> (proxy clipped)</w:t>
            </w:r>
          </w:p>
        </w:tc>
        <w:tc>
          <w:tcPr>
            <w:tcW w:w="0" w:type="auto"/>
          </w:tcPr>
          <w:p w14:paraId="11C79832" w14:textId="77777777" w:rsidR="00283C42" w:rsidRPr="00E32832" w:rsidRDefault="00283C42">
            <w:pPr>
              <w:pStyle w:val="Compact"/>
              <w:jc w:val="both"/>
              <w:rPr>
                <w:rFonts w:ascii="Times New Roman" w:hAnsi="Times New Roman" w:cs="Times New Roman"/>
                <w:sz w:val="18"/>
                <w:szCs w:val="18"/>
              </w:rPr>
            </w:pPr>
            <w:hyperlink w:anchor="ref-rondeaux1996" w:history="1">
              <w:r>
                <w:rPr>
                  <w:rFonts w:ascii="Times New Roman" w:hAnsi="Times New Roman" w:cs="Times New Roman"/>
                  <w:color w:val="1155CC"/>
                  <w:sz w:val="18"/>
                  <w:szCs w:val="18"/>
                  <w:u w:val="single"/>
                </w:rPr>
                <w:t>Rondeaux et al. (1996)</w:t>
              </w:r>
            </w:hyperlink>
          </w:p>
        </w:tc>
      </w:tr>
      <w:tr w:rsidR="00DA00EE" w:rsidRPr="00E32832" w14:paraId="4F0BCCC0" w14:textId="77777777">
        <w:tc>
          <w:tcPr>
            <w:tcW w:w="0" w:type="auto"/>
          </w:tcPr>
          <w:p w14:paraId="28C6B4BA"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Chlorophyll Index (CI)</w:t>
            </w:r>
          </w:p>
        </w:tc>
        <w:tc>
          <w:tcPr>
            <w:tcW w:w="0" w:type="auto"/>
          </w:tcPr>
          <w:p w14:paraId="6A10117E" w14:textId="5FA9F134" w:rsidR="00DA00EE" w:rsidRPr="00E32832" w:rsidRDefault="00000000" w:rsidP="00BA5D5D">
            <w:pPr>
              <w:pStyle w:val="Compact"/>
              <w:jc w:val="both"/>
              <w:rPr>
                <w:rFonts w:ascii="Times New Roman" w:hAnsi="Times New Roman" w:cs="Times New Roman"/>
                <w:sz w:val="18"/>
                <w:szCs w:val="18"/>
              </w:rPr>
            </w:pPr>
            <m:oMath>
              <m:f>
                <m:fPr>
                  <m:ctrlPr>
                    <w:rPr>
                      <w:rFonts w:ascii="Cambria Math" w:hAnsi="Cambria Math" w:cs="Times New Roman"/>
                      <w:sz w:val="18"/>
                      <w:szCs w:val="18"/>
                    </w:rPr>
                  </m:ctrlPr>
                </m:fPr>
                <m:num>
                  <m:r>
                    <m:rPr>
                      <m:sty m:val="p"/>
                    </m:rPr>
                    <w:rPr>
                      <w:rFonts w:ascii="Cambria Math" w:hAnsi="Cambria Math" w:cs="Times New Roman"/>
                      <w:sz w:val="18"/>
                      <w:szCs w:val="18"/>
                    </w:rPr>
                    <m:t>B</m:t>
                  </m:r>
                </m:num>
                <m:den>
                  <m:r>
                    <m:rPr>
                      <m:sty m:val="p"/>
                    </m:rPr>
                    <w:rPr>
                      <w:rFonts w:ascii="Cambria Math" w:hAnsi="Cambria Math" w:cs="Times New Roman"/>
                      <w:sz w:val="18"/>
                      <w:szCs w:val="18"/>
                    </w:rPr>
                    <m:t>max</m:t>
                  </m:r>
                  <m:d>
                    <m:dPr>
                      <m:ctrlPr>
                        <w:rPr>
                          <w:rFonts w:ascii="Cambria Math" w:hAnsi="Cambria Math" w:cs="Times New Roman"/>
                          <w:sz w:val="18"/>
                          <w:szCs w:val="18"/>
                        </w:rPr>
                      </m:ctrlPr>
                    </m:dPr>
                    <m:e>
                      <m:r>
                        <m:rPr>
                          <m:sty m:val="p"/>
                        </m:rPr>
                        <w:rPr>
                          <w:rFonts w:ascii="Cambria Math" w:hAnsi="Cambria Math" w:cs="Times New Roman"/>
                          <w:sz w:val="18"/>
                          <w:szCs w:val="18"/>
                        </w:rPr>
                        <m:t>G, 8/255</m:t>
                      </m:r>
                    </m:e>
                  </m:d>
                </m:den>
              </m:f>
              <m:r>
                <m:rPr>
                  <m:sty m:val="p"/>
                </m:rPr>
                <w:rPr>
                  <w:rFonts w:ascii="Cambria Math" w:hAnsi="Cambria Math" w:cs="Times New Roman"/>
                  <w:sz w:val="18"/>
                  <w:szCs w:val="18"/>
                </w:rPr>
                <m:t>-1</m:t>
              </m:r>
            </m:oMath>
            <w:r>
              <w:rPr>
                <w:rFonts w:ascii="Times New Roman" w:hAnsi="Times New Roman" w:cs="Times New Roman"/>
                <w:sz w:val="18"/>
                <w:szCs w:val="18"/>
              </w:rPr>
              <w:t xml:space="preserve">, clipped to </w:t>
            </w: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-5,20</m:t>
                  </m:r>
                </m:e>
              </m:d>
            </m:oMath>
          </w:p>
        </w:tc>
        <w:tc>
          <w:tcPr>
            <w:tcW w:w="0" w:type="auto"/>
          </w:tcPr>
          <w:p w14:paraId="057C0B62"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Blue</w:t>
            </w:r>
          </w:p>
        </w:tc>
        <w:tc>
          <w:tcPr>
            <w:tcW w:w="0" w:type="auto"/>
          </w:tcPr>
          <w:p w14:paraId="02CD64B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2nd–98th percentile stretch</w:t>
            </w:r>
          </w:p>
        </w:tc>
        <w:tc>
          <w:tcPr>
            <w:tcW w:w="0" w:type="auto"/>
          </w:tcPr>
          <w:p w14:paraId="1C9D066A" w14:textId="77777777" w:rsidR="00283C42" w:rsidRPr="00E32832" w:rsidRDefault="00283C42">
            <w:pPr>
              <w:pStyle w:val="Compact"/>
              <w:jc w:val="both"/>
              <w:rPr>
                <w:rFonts w:ascii="Times New Roman" w:hAnsi="Times New Roman" w:cs="Times New Roman"/>
                <w:sz w:val="18"/>
                <w:szCs w:val="18"/>
              </w:rPr>
            </w:pPr>
            <w:hyperlink w:anchor="ref-gitelson2003" w:history="1">
              <w:r>
                <w:rPr>
                  <w:rFonts w:ascii="Times New Roman" w:hAnsi="Times New Roman" w:cs="Times New Roman"/>
                  <w:color w:val="1155CC"/>
                  <w:sz w:val="18"/>
                  <w:szCs w:val="18"/>
                  <w:u w:val="single"/>
                </w:rPr>
                <w:t>Gitelson et al. (2003)</w:t>
              </w:r>
            </w:hyperlink>
          </w:p>
        </w:tc>
      </w:tr>
    </w:tbl>
    <w:p w14:paraId="12BAD418" w14:textId="77777777" w:rsidR="00DA00EE" w:rsidRPr="00E32832" w:rsidRDefault="00DA00EE" w:rsidP="00BA5D5D">
      <w:pPr>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space="708"/>
          <w:docGrid w:linePitch="360"/>
        </w:sectPr>
      </w:pPr>
    </w:p>
    <w:p w14:paraId="2467573D" w14:textId="77777777" w:rsidR="00DA00EE" w:rsidRPr="00E32832" w:rsidRDefault="00DA00EE" w:rsidP="00BA5D5D">
      <w:pPr>
        <w:jc w:val="both"/>
        <w:rPr>
          <w:rFonts w:ascii="Times New Roman" w:hAnsi="Times New Roman" w:cs="Times New Roman"/>
          <w:sz w:val="18"/>
          <w:szCs w:val="18"/>
        </w:rPr>
      </w:pPr>
    </w:p>
    <w:p w14:paraId="2B8A93AE" w14:textId="6A6C80E8"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where </w:t>
      </w:r>
      <m:oMath>
        <m:r>
          <m:rPr>
            <m:sty m:val="p"/>
          </m:rPr>
          <w:rPr>
            <w:rFonts w:ascii="Cambria Math" w:hAnsi="Cambria Math" w:cs="Times New Roman"/>
            <w:sz w:val="18"/>
            <w:szCs w:val="18"/>
          </w:rPr>
          <m:t>ϵ=</m:t>
        </m:r>
        <m:sSup>
          <m:sSupPr>
            <m:ctrlPr>
              <w:rPr>
                <w:rFonts w:ascii="Cambria Math" w:hAnsi="Cambria Math" w:cs="Times New Roman"/>
                <w:sz w:val="18"/>
                <w:szCs w:val="18"/>
              </w:rPr>
            </m:ctrlPr>
          </m:sSupPr>
          <m:e>
            <m:r>
              <m:rPr>
                <m:sty m:val="p"/>
              </m:rPr>
              <w:rPr>
                <w:rFonts w:ascii="Cambria Math" w:hAnsi="Cambria Math" w:cs="Times New Roman"/>
                <w:sz w:val="18"/>
                <w:szCs w:val="18"/>
              </w:rPr>
              <m:t>10</m:t>
            </m:r>
          </m:e>
          <m:sup>
            <m:r>
              <m:rPr>
                <m:sty m:val="p"/>
              </m:rPr>
              <w:rPr>
                <w:rFonts w:ascii="Cambria Math" w:hAnsi="Cambria Math" w:cs="Times New Roman"/>
                <w:sz w:val="18"/>
                <w:szCs w:val="18"/>
              </w:rPr>
              <m:t>-6</m:t>
            </m:r>
          </m:sup>
        </m:sSup>
      </m:oMath>
      <w:r>
        <w:rPr>
          <w:rFonts w:ascii="Times New Roman" w:hAnsi="Times New Roman" w:cs="Times New Roman"/>
          <w:sz w:val="18"/>
          <w:szCs w:val="18"/>
        </w:rPr>
        <w:t xml:space="preserve"> prevents division by zero on near black pixels. Note that GNDVI is deliberately assigned blue, rather than green, as its NIR proxy channel: since the green channel already serves as the NIR proxy for NDVI, using it again for GNDVI’s own NIR proxy would make the two indices numerically degenerate (GNDVI would reduce to a trivial transform of NDVI); assigning blue avoids this degeneracy at the cost of GNDVI becoming an even rougher approximation, a trade off stated directly in the source. True NDVI and NDRE are additionally implemented in </w:t>
      </w:r>
      <w:r>
        <w:rPr>
          <w:rStyle w:val="VerbatimChar"/>
          <w:rFonts w:ascii="Times New Roman" w:hAnsi="Times New Roman" w:cs="Times New Roman"/>
          <w:sz w:val="18"/>
          <w:szCs w:val="18"/>
        </w:rPr>
        <w:t>multispectral.py</w:t>
      </w:r>
      <w:r>
        <w:rPr>
          <w:rFonts w:ascii="Times New Roman" w:hAnsi="Times New Roman" w:cs="Times New Roman"/>
          <w:sz w:val="18"/>
          <w:szCs w:val="18"/>
        </w:rPr>
        <w:t xml:space="preserve"> as </w:t>
      </w:r>
      <m:oMath>
        <m:sSub>
          <m:sSubPr>
            <m:ctrlPr>
              <w:rPr>
                <w:rFonts w:ascii="Cambria Math" w:hAnsi="Cambria Math" w:cs="Times New Roman"/>
                <w:sz w:val="18"/>
                <w:szCs w:val="18"/>
              </w:rPr>
            </m:ctrlPr>
          </m:sSubPr>
          <m:e>
            <m:r>
              <m:rPr>
                <m:nor/>
              </m:rPr>
              <w:rPr>
                <w:rFonts w:ascii="Times New Roman" w:hAnsi="Times New Roman" w:cs="Times New Roman"/>
                <w:sz w:val="18"/>
                <w:szCs w:val="18"/>
              </w:rPr>
              <m:t>NDVI</m:t>
            </m:r>
          </m:e>
          <m:sub>
            <m:r>
              <m:rPr>
                <m:nor/>
              </m:rPr>
              <w:rPr>
                <w:rFonts w:ascii="Times New Roman" w:hAnsi="Times New Roman" w:cs="Times New Roman"/>
                <w:sz w:val="18"/>
                <w:szCs w:val="18"/>
              </w:rPr>
              <m:t>true</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r>
              <m:rPr>
                <m:nor/>
              </m:rPr>
              <w:rPr>
                <w:rFonts w:ascii="Times New Roman" w:hAnsi="Times New Roman" w:cs="Times New Roman"/>
                <w:sz w:val="18"/>
                <w:szCs w:val="18"/>
              </w:rPr>
              <m:t>NIR</m:t>
            </m:r>
            <m:r>
              <m:rPr>
                <m:sty m:val="p"/>
              </m:rPr>
              <w:rPr>
                <w:rFonts w:ascii="Cambria Math" w:hAnsi="Cambria Math" w:cs="Times New Roman"/>
                <w:sz w:val="18"/>
                <w:szCs w:val="18"/>
              </w:rPr>
              <m:t>-R</m:t>
            </m:r>
          </m:e>
        </m:d>
        <m:r>
          <m:rPr>
            <m:sty m:val="p"/>
          </m:rPr>
          <w:rPr>
            <w:rFonts w:ascii="Cambria Math" w:hAnsi="Cambria Math" w:cs="Times New Roman"/>
            <w:sz w:val="18"/>
            <w:szCs w:val="18"/>
          </w:rPr>
          <m:t>/</m:t>
        </m:r>
        <m:d>
          <m:dPr>
            <m:ctrlPr>
              <w:rPr>
                <w:rFonts w:ascii="Cambria Math" w:hAnsi="Cambria Math" w:cs="Times New Roman"/>
                <w:sz w:val="18"/>
                <w:szCs w:val="18"/>
              </w:rPr>
            </m:ctrlPr>
          </m:dPr>
          <m:e>
            <m:r>
              <m:rPr>
                <m:nor/>
              </m:rPr>
              <w:rPr>
                <w:rFonts w:ascii="Times New Roman" w:hAnsi="Times New Roman" w:cs="Times New Roman"/>
                <w:sz w:val="18"/>
                <w:szCs w:val="18"/>
              </w:rPr>
              <m:t>NIR</m:t>
            </m:r>
            <m:r>
              <m:rPr>
                <m:sty m:val="p"/>
              </m:rPr>
              <w:rPr>
                <w:rFonts w:ascii="Cambria Math" w:hAnsi="Cambria Math" w:cs="Times New Roman"/>
                <w:sz w:val="18"/>
                <w:szCs w:val="18"/>
              </w:rPr>
              <m:t>+R+ϵ</m:t>
            </m:r>
          </m:e>
        </m:d>
      </m:oMath>
      <w:r>
        <w:rPr>
          <w:rFonts w:ascii="Times New Roman" w:hAnsi="Times New Roman" w:cs="Times New Roman"/>
          <w:sz w:val="18"/>
          <w:szCs w:val="18"/>
        </w:rPr>
        <w:t xml:space="preserve"> and </w:t>
      </w:r>
      <m:oMath>
        <m:r>
          <m:rPr>
            <m:nor/>
          </m:rPr>
          <w:rPr>
            <w:rFonts w:ascii="Times New Roman" w:hAnsi="Times New Roman" w:cs="Times New Roman"/>
            <w:sz w:val="18"/>
            <w:szCs w:val="18"/>
          </w:rPr>
          <m:t>NDRE</m:t>
        </m:r>
        <m:r>
          <m:rPr>
            <m:sty m:val="p"/>
          </m:rPr>
          <w:rPr>
            <w:rFonts w:ascii="Cambria Math" w:hAnsi="Cambria Math" w:cs="Times New Roman"/>
            <w:sz w:val="18"/>
            <w:szCs w:val="18"/>
          </w:rPr>
          <m:t>=</m:t>
        </m:r>
        <m:d>
          <m:dPr>
            <m:ctrlPr>
              <w:rPr>
                <w:rFonts w:ascii="Cambria Math" w:hAnsi="Cambria Math" w:cs="Times New Roman"/>
                <w:sz w:val="18"/>
                <w:szCs w:val="18"/>
              </w:rPr>
            </m:ctrlPr>
          </m:dPr>
          <m:e>
            <m:r>
              <m:rPr>
                <m:nor/>
              </m:rPr>
              <w:rPr>
                <w:rFonts w:ascii="Times New Roman" w:hAnsi="Times New Roman" w:cs="Times New Roman"/>
                <w:sz w:val="18"/>
                <w:szCs w:val="18"/>
              </w:rPr>
              <m:t>NIR</m:t>
            </m:r>
            <m:r>
              <m:rPr>
                <m:sty m:val="p"/>
              </m:rPr>
              <w:rPr>
                <w:rFonts w:ascii="Cambria Math" w:hAnsi="Cambria Math" w:cs="Times New Roman"/>
                <w:sz w:val="18"/>
                <w:szCs w:val="18"/>
              </w:rPr>
              <m:t>-</m:t>
            </m:r>
            <m:r>
              <m:rPr>
                <m:nor/>
              </m:rPr>
              <w:rPr>
                <w:rFonts w:ascii="Times New Roman" w:hAnsi="Times New Roman" w:cs="Times New Roman"/>
                <w:sz w:val="18"/>
                <w:szCs w:val="18"/>
              </w:rPr>
              <m:t>RedEdge</m:t>
            </m:r>
          </m:e>
        </m:d>
        <m:r>
          <m:rPr>
            <m:sty m:val="p"/>
          </m:rPr>
          <w:rPr>
            <w:rFonts w:ascii="Cambria Math" w:hAnsi="Cambria Math" w:cs="Times New Roman"/>
            <w:sz w:val="18"/>
            <w:szCs w:val="18"/>
          </w:rPr>
          <m:t>/</m:t>
        </m:r>
        <m:d>
          <m:dPr>
            <m:ctrlPr>
              <w:rPr>
                <w:rFonts w:ascii="Cambria Math" w:hAnsi="Cambria Math" w:cs="Times New Roman"/>
                <w:sz w:val="18"/>
                <w:szCs w:val="18"/>
              </w:rPr>
            </m:ctrlPr>
          </m:dPr>
          <m:e>
            <m:r>
              <m:rPr>
                <m:nor/>
              </m:rPr>
              <w:rPr>
                <w:rFonts w:ascii="Times New Roman" w:hAnsi="Times New Roman" w:cs="Times New Roman"/>
                <w:sz w:val="18"/>
                <w:szCs w:val="18"/>
              </w:rPr>
              <m:t>NIR</m:t>
            </m:r>
            <m:r>
              <m:rPr>
                <m:sty m:val="p"/>
              </m:rPr>
              <w:rPr>
                <w:rFonts w:ascii="Cambria Math" w:hAnsi="Cambria Math" w:cs="Times New Roman"/>
                <w:sz w:val="18"/>
                <w:szCs w:val="18"/>
              </w:rPr>
              <m:t>+</m:t>
            </m:r>
            <m:r>
              <m:rPr>
                <m:nor/>
              </m:rPr>
              <w:rPr>
                <w:rFonts w:ascii="Times New Roman" w:hAnsi="Times New Roman" w:cs="Times New Roman"/>
                <w:sz w:val="18"/>
                <w:szCs w:val="18"/>
              </w:rPr>
              <m:t>RedEdge</m:t>
            </m:r>
            <m:r>
              <m:rPr>
                <m:sty m:val="p"/>
              </m:rPr>
              <w:rPr>
                <w:rFonts w:ascii="Cambria Math" w:hAnsi="Cambria Math" w:cs="Times New Roman"/>
                <w:sz w:val="18"/>
                <w:szCs w:val="18"/>
              </w:rPr>
              <m:t>+ϵ</m:t>
            </m:r>
          </m:e>
        </m:d>
      </m:oMath>
      <w:r>
        <w:rPr>
          <w:rFonts w:ascii="Times New Roman" w:hAnsi="Times New Roman" w:cs="Times New Roman"/>
          <w:sz w:val="18"/>
          <w:szCs w:val="18"/>
        </w:rPr>
        <w:t xml:space="preserve">, computed from genuine calibrated bands rather than a channel substitution, whenever a multi band UAV GeoTIFF (or a set of correctly role assigned single band files) is loaded. Four further indices that </w:t>
      </w:r>
      <w:r>
        <w:rPr>
          <w:rFonts w:ascii="Times New Roman" w:hAnsi="Times New Roman" w:cs="Times New Roman"/>
          <w:sz w:val="18"/>
          <w:szCs w:val="18"/>
        </w:rPr>
        <w:t xml:space="preserve">fundamentally require spectral information no RGB sensor captures  true NDRE without a red edge band, PRI (needs narrowband 531 nm/570 nm reflectance), MSI (needs SWIR ~1600 nm), and ARI (needs a genuine red edge band)  are implemented as explicit </w:t>
      </w:r>
      <w:r>
        <w:rPr>
          <w:rStyle w:val="VerbatimChar"/>
          <w:rFonts w:ascii="Times New Roman" w:hAnsi="Times New Roman" w:cs="Times New Roman"/>
          <w:sz w:val="18"/>
          <w:szCs w:val="18"/>
        </w:rPr>
        <w:t>IndexResult(array=None, is_proxy=False, note="UNAVAILABLE: ...")</w:t>
      </w:r>
      <w:r>
        <w:rPr>
          <w:rFonts w:ascii="Times New Roman" w:hAnsi="Times New Roman" w:cs="Times New Roman"/>
          <w:sz w:val="18"/>
          <w:szCs w:val="18"/>
        </w:rPr>
        <w:t xml:space="preserve"> objects rather than approximated with a look alike formula.</w:t>
      </w:r>
    </w:p>
    <w:p w14:paraId="7E504FDA" w14:textId="182D5B0E" w:rsidR="00DA00EE" w:rsidRPr="00E32832" w:rsidRDefault="0058322D" w:rsidP="00BA5D5D">
      <w:pPr>
        <w:pStyle w:val="BodyText"/>
        <w:keepN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3 shows the NDVI proxy and NDWI proxy maps for one demonstration image with correctly scaled </w:t>
      </w: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w:r>
        <w:rPr>
          <w:rFonts w:ascii="Times New Roman" w:hAnsi="Times New Roman" w:cs="Times New Roman"/>
          <w:sz w:val="18"/>
          <w:szCs w:val="18"/>
        </w:rPr>
        <w:t xml:space="preserve"> colourbars, and Figure 2D shows the full eight index gallery on the same image, illustrating both the shared structure across indices (all driven by the same underlying green/red/blue contrast) and their differing sensitivity to the  stress patch.</w:t>
      </w:r>
    </w:p>
    <w:p w14:paraId="6A144FA2" w14:textId="144B5383"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In addition to the spatial index maps, the pipeline reports a per image, outlier trimmed RGB colour histogram (pixel values beyond 1.5× the interquartile range per channel are excluded so that isolated sensor artefacts such as hot pixels or clipped </w:t>
      </w:r>
      <w:r>
        <w:rPr>
          <w:rFonts w:ascii="Times New Roman" w:hAnsi="Times New Roman" w:cs="Times New Roman"/>
          <w:sz w:val="18"/>
          <w:szCs w:val="18"/>
        </w:rPr>
        <w:t>highlights do not dominate the axis scale), annotated directly with the real measured per channel means and the chlorophyll index proxy mean, so that the numeric summary and the visual distribution are always presented together (Figure 4).</w:t>
      </w:r>
    </w:p>
    <w:p w14:paraId="283FFA5B" w14:textId="77777777" w:rsidR="00DA00EE" w:rsidRPr="00E32832" w:rsidRDefault="00F84C4B" w:rsidP="00BA5D5D">
      <w:pPr>
        <w:pStyle w:val="Heading3"/>
        <w:jc w:val="both"/>
        <w:rPr>
          <w:rFonts w:ascii="Times New Roman" w:hAnsi="Times New Roman" w:cs="Times New Roman"/>
          <w:color w:val="auto"/>
          <w:sz w:val="18"/>
          <w:szCs w:val="18"/>
        </w:rPr>
      </w:pPr>
      <w:bookmarkStart w:id="39" w:name="_Toc234738408"/>
      <w:bookmarkStart w:id="40" w:name="glcm-texture-features"/>
      <w:bookmarkEnd w:id="37"/>
      <w:r>
        <w:rPr>
          <w:rFonts w:ascii="Times New Roman" w:hAnsi="Times New Roman" w:cs="Times New Roman"/>
          <w:color w:val="auto"/>
          <w:sz w:val="18"/>
          <w:szCs w:val="18"/>
        </w:rPr>
        <w:t>4.3 GLCM texture features</w:t>
      </w:r>
      <w:bookmarkEnd w:id="39"/>
    </w:p>
    <w:p w14:paraId="39743C3E" w14:textId="0244FE7D"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Texture is computed via the Grey Level Co occurrence Matrix (GLCM), following </w:t>
      </w:r>
      <w:hyperlink w:anchor="ref-haralick1973" w:history="1">
        <w:r>
          <w:rPr>
            <w:rFonts w:ascii="Times New Roman" w:hAnsi="Times New Roman" w:cs="Times New Roman"/>
            <w:color w:val="1155CC"/>
            <w:sz w:val="18"/>
            <w:szCs w:val="18"/>
            <w:u w:val="single"/>
          </w:rPr>
          <w:t>Haralick, Shanmugam, and Dinstein (1973)</w:t>
        </w:r>
      </w:hyperlink>
      <w:r>
        <w:rPr>
          <w:rFonts w:ascii="Times New Roman" w:hAnsi="Times New Roman" w:cs="Times New Roman"/>
          <w:sz w:val="18"/>
          <w:szCs w:val="18"/>
        </w:rPr>
        <w:t xml:space="preserve">. The grayscale image is quantised to </w:t>
      </w:r>
      <m:oMath>
        <m:r>
          <m:rPr>
            <m:sty m:val="p"/>
          </m:rPr>
          <w:rPr>
            <w:rFonts w:ascii="Cambria Math" w:hAnsi="Cambria Math" w:cs="Times New Roman"/>
            <w:sz w:val="18"/>
            <w:szCs w:val="18"/>
          </w:rPr>
          <m:t>L=32</m:t>
        </m:r>
      </m:oMath>
      <w:r>
        <w:rPr>
          <w:rFonts w:ascii="Times New Roman" w:hAnsi="Times New Roman" w:cs="Times New Roman"/>
          <w:sz w:val="18"/>
          <w:szCs w:val="18"/>
        </w:rPr>
        <w:t xml:space="preserve"> grey levels, and for a fixed pixel pair offset </w:t>
      </w:r>
      <m:oMath>
        <m:d>
          <m:dPr>
            <m:ctrlPr>
              <w:rPr>
                <w:rFonts w:ascii="Cambria Math" w:hAnsi="Cambria Math" w:cs="Times New Roman"/>
                <w:sz w:val="18"/>
                <w:szCs w:val="18"/>
              </w:rPr>
            </m:ctrlPr>
          </m:dPr>
          <m:e>
            <m:r>
              <m:rPr>
                <m:sty m:val="p"/>
              </m:rPr>
              <w:rPr>
                <w:rFonts w:ascii="Cambria Math" w:hAnsi="Cambria Math" w:cs="Times New Roman"/>
                <w:sz w:val="18"/>
                <w:szCs w:val="18"/>
              </w:rPr>
              <m:t>Δy,Δx</m:t>
            </m:r>
          </m:e>
        </m:d>
      </m:oMath>
      <w:r>
        <w:rPr>
          <w:rFonts w:ascii="Times New Roman" w:hAnsi="Times New Roman" w:cs="Times New Roman"/>
          <w:sz w:val="18"/>
          <w:szCs w:val="18"/>
        </w:rPr>
        <w:t xml:space="preserve"> (distance 1, angle 0° in this implementation), the co occurrence matrix entry is</w:t>
      </w:r>
    </w:p>
    <w:p w14:paraId="3B37DF6E" w14:textId="47D46EC7" w:rsidR="00DA00EE" w:rsidRPr="00E32832" w:rsidRDefault="00E32832" w:rsidP="00BA5D5D">
      <w:pPr>
        <w:pStyle w:val="BodyText"/>
        <w:jc w:val="both"/>
        <w:rPr>
          <w:rFonts w:ascii="Times New Roman" w:hAnsi="Times New Roman" w:cs="Times New Roman"/>
          <w:sz w:val="18"/>
          <w:szCs w:val="18"/>
        </w:rPr>
      </w:pPr>
      <m:oMath>
        <m:r>
          <m:rPr>
            <m:sty m:val="p"/>
          </m:rPr>
          <w:rPr>
            <w:rFonts w:ascii="Cambria Math" w:hAnsi="Cambria Math" w:cs="Times New Roman"/>
            <w:sz w:val="18"/>
            <w:szCs w:val="18"/>
          </w:rPr>
          <m:t>P</m:t>
        </m:r>
        <m:d>
          <m:dPr>
            <m:ctrlPr>
              <w:rPr>
                <w:rFonts w:ascii="Cambria Math" w:hAnsi="Cambria Math" w:cs="Times New Roman"/>
                <w:sz w:val="18"/>
                <w:szCs w:val="18"/>
              </w:rPr>
            </m:ctrlPr>
          </m:dPr>
          <m:e>
            <m:r>
              <m:rPr>
                <m:sty m:val="p"/>
              </m:rPr>
              <w:rPr>
                <w:rFonts w:ascii="Cambria Math" w:hAnsi="Cambria Math" w:cs="Times New Roman"/>
                <w:sz w:val="18"/>
                <w:szCs w:val="18"/>
              </w:rPr>
              <m:t>i,j</m:t>
            </m:r>
          </m:e>
        </m:d>
        <m:r>
          <m:rPr>
            <m:sty m:val="p"/>
          </m:rPr>
          <w:rPr>
            <w:rFonts w:ascii="Cambria Math" w:hAnsi="Cambria Math" w:cs="Times New Roman"/>
            <w:sz w:val="18"/>
            <w:szCs w:val="18"/>
          </w:rPr>
          <m:t>=#{</m:t>
        </m:r>
        <m:d>
          <m:dPr>
            <m:ctrlPr>
              <w:rPr>
                <w:rFonts w:ascii="Cambria Math" w:hAnsi="Cambria Math" w:cs="Times New Roman"/>
                <w:sz w:val="18"/>
                <w:szCs w:val="18"/>
              </w:rPr>
            </m:ctrlPr>
          </m:dPr>
          <m:e>
            <m:r>
              <m:rPr>
                <m:sty m:val="p"/>
              </m:rPr>
              <w:rPr>
                <w:rFonts w:ascii="Cambria Math" w:hAnsi="Cambria Math" w:cs="Times New Roman"/>
                <w:sz w:val="18"/>
                <w:szCs w:val="18"/>
              </w:rPr>
              <m:t>p,q</m:t>
            </m:r>
          </m:e>
        </m:d>
        <m:r>
          <m:rPr>
            <m:sty m:val="p"/>
          </m:rPr>
          <w:rPr>
            <w:rFonts w:ascii="Cambria Math" w:hAnsi="Cambria Math" w:cs="Times New Roman"/>
            <w:sz w:val="18"/>
            <w:szCs w:val="18"/>
          </w:rPr>
          <m:t>:G</m:t>
        </m:r>
        <m:d>
          <m:dPr>
            <m:ctrlPr>
              <w:rPr>
                <w:rFonts w:ascii="Cambria Math" w:hAnsi="Cambria Math" w:cs="Times New Roman"/>
                <w:sz w:val="18"/>
                <w:szCs w:val="18"/>
              </w:rPr>
            </m:ctrlPr>
          </m:dPr>
          <m:e>
            <m:r>
              <m:rPr>
                <m:sty m:val="p"/>
              </m:rPr>
              <w:rPr>
                <w:rFonts w:ascii="Cambria Math" w:hAnsi="Cambria Math" w:cs="Times New Roman"/>
                <w:sz w:val="18"/>
                <w:szCs w:val="18"/>
              </w:rPr>
              <m:t>p,q</m:t>
            </m:r>
          </m:e>
        </m:d>
        <m:r>
          <m:rPr>
            <m:sty m:val="p"/>
          </m:rPr>
          <w:rPr>
            <w:rFonts w:ascii="Cambria Math" w:hAnsi="Cambria Math" w:cs="Times New Roman"/>
            <w:sz w:val="18"/>
            <w:szCs w:val="18"/>
          </w:rPr>
          <m:t>=i, G</m:t>
        </m:r>
        <m:d>
          <m:dPr>
            <m:ctrlPr>
              <w:rPr>
                <w:rFonts w:ascii="Cambria Math" w:hAnsi="Cambria Math" w:cs="Times New Roman"/>
                <w:sz w:val="18"/>
                <w:szCs w:val="18"/>
              </w:rPr>
            </m:ctrlPr>
          </m:dPr>
          <m:e>
            <m:r>
              <m:rPr>
                <m:sty m:val="p"/>
              </m:rPr>
              <w:rPr>
                <w:rFonts w:ascii="Cambria Math" w:hAnsi="Cambria Math" w:cs="Times New Roman"/>
                <w:sz w:val="18"/>
                <w:szCs w:val="18"/>
              </w:rPr>
              <m:t>p+Δy, q+Δx</m:t>
            </m:r>
          </m:e>
        </m:d>
        <m:r>
          <m:rPr>
            <m:sty m:val="p"/>
          </m:rPr>
          <w:rPr>
            <w:rFonts w:ascii="Cambria Math" w:hAnsi="Cambria Math" w:cs="Times New Roman"/>
            <w:sz w:val="18"/>
            <w:szCs w:val="18"/>
          </w:rPr>
          <m:t>=j}</m:t>
        </m:r>
      </m:oMath>
      <w:r>
        <w:rPr>
          <w:rFonts w:ascii="Times New Roman" w:hAnsi="Times New Roman" w:cs="Times New Roman"/>
          <w:b/>
          <w:sz w:val="18"/>
          <w:szCs w:val="18"/>
        </w:rPr>
        <w:t xml:space="preserve">  (4)</w:t>
      </w:r>
    </w:p>
    <w:p w14:paraId="69834EAF" w14:textId="235EE29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normalised so that </w:t>
      </w:r>
      <m:oMath>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i,j</m:t>
            </m:r>
          </m:sub>
          <m:sup>
            <m:r>
              <m:rPr>
                <m:sty m:val="p"/>
              </m:rPr>
              <w:rPr>
                <w:rFonts w:ascii="Cambria Math" w:hAnsi="Cambria Math" w:cs="Times New Roman"/>
                <w:sz w:val="18"/>
                <w:szCs w:val="18"/>
              </w:rPr>
              <m:t>​</m:t>
            </m:r>
          </m:sup>
          <m:e>
            <m:r>
              <m:rPr>
                <m:sty m:val="p"/>
              </m:rPr>
              <w:rPr>
                <w:rFonts w:ascii="Cambria Math" w:hAnsi="Cambria Math" w:cs="Times New Roman"/>
                <w:sz w:val="18"/>
                <w:szCs w:val="18"/>
              </w:rPr>
              <m:t>P</m:t>
            </m:r>
          </m:e>
        </m:nary>
        <m:d>
          <m:dPr>
            <m:ctrlPr>
              <w:rPr>
                <w:rFonts w:ascii="Cambria Math" w:hAnsi="Cambria Math" w:cs="Times New Roman"/>
                <w:sz w:val="18"/>
                <w:szCs w:val="18"/>
              </w:rPr>
            </m:ctrlPr>
          </m:dPr>
          <m:e>
            <m:r>
              <m:rPr>
                <m:sty m:val="p"/>
              </m:rPr>
              <w:rPr>
                <w:rFonts w:ascii="Cambria Math" w:hAnsi="Cambria Math" w:cs="Times New Roman"/>
                <w:sz w:val="18"/>
                <w:szCs w:val="18"/>
              </w:rPr>
              <m:t>i,j</m:t>
            </m:r>
          </m:e>
        </m:d>
        <m:r>
          <m:rPr>
            <m:sty m:val="p"/>
          </m:rPr>
          <w:rPr>
            <w:rFonts w:ascii="Cambria Math" w:hAnsi="Cambria Math" w:cs="Times New Roman"/>
            <w:sz w:val="18"/>
            <w:szCs w:val="18"/>
          </w:rPr>
          <m:t>=1</m:t>
        </m:r>
      </m:oMath>
      <w:r>
        <w:rPr>
          <w:rFonts w:ascii="Times New Roman" w:hAnsi="Times New Roman" w:cs="Times New Roman"/>
          <w:sz w:val="18"/>
          <w:szCs w:val="18"/>
        </w:rPr>
        <w:t xml:space="preserve"> and symmetrised so that </w:t>
      </w:r>
      <m:oMath>
        <m:r>
          <m:rPr>
            <m:sty m:val="p"/>
          </m:rPr>
          <w:rPr>
            <w:rFonts w:ascii="Cambria Math" w:hAnsi="Cambria Math" w:cs="Times New Roman"/>
            <w:sz w:val="18"/>
            <w:szCs w:val="18"/>
          </w:rPr>
          <m:t>P</m:t>
        </m:r>
        <m:d>
          <m:dPr>
            <m:ctrlPr>
              <w:rPr>
                <w:rFonts w:ascii="Cambria Math" w:hAnsi="Cambria Math" w:cs="Times New Roman"/>
                <w:sz w:val="18"/>
                <w:szCs w:val="18"/>
              </w:rPr>
            </m:ctrlPr>
          </m:dPr>
          <m:e>
            <m:r>
              <m:rPr>
                <m:sty m:val="p"/>
              </m:rPr>
              <w:rPr>
                <w:rFonts w:ascii="Cambria Math" w:hAnsi="Cambria Math" w:cs="Times New Roman"/>
                <w:sz w:val="18"/>
                <w:szCs w:val="18"/>
              </w:rPr>
              <m:t>i,j</m:t>
            </m:r>
          </m:e>
        </m:d>
        <m:r>
          <m:rPr>
            <m:sty m:val="p"/>
          </m:rPr>
          <w:rPr>
            <w:rFonts w:ascii="Cambria Math" w:hAnsi="Cambria Math" w:cs="Times New Roman"/>
            <w:sz w:val="18"/>
            <w:szCs w:val="18"/>
          </w:rPr>
          <m:t>=P</m:t>
        </m:r>
        <m:d>
          <m:dPr>
            <m:ctrlPr>
              <w:rPr>
                <w:rFonts w:ascii="Cambria Math" w:hAnsi="Cambria Math" w:cs="Times New Roman"/>
                <w:sz w:val="18"/>
                <w:szCs w:val="18"/>
              </w:rPr>
            </m:ctrlPr>
          </m:dPr>
          <m:e>
            <m:r>
              <m:rPr>
                <m:sty m:val="p"/>
              </m:rPr>
              <w:rPr>
                <w:rFonts w:ascii="Cambria Math" w:hAnsi="Cambria Math" w:cs="Times New Roman"/>
                <w:sz w:val="18"/>
                <w:szCs w:val="18"/>
              </w:rPr>
              <m:t>j,i</m:t>
            </m:r>
          </m:e>
        </m:d>
      </m:oMath>
      <w:r>
        <w:rPr>
          <w:rFonts w:ascii="Times New Roman" w:hAnsi="Times New Roman" w:cs="Times New Roman"/>
          <w:sz w:val="18"/>
          <w:szCs w:val="18"/>
        </w:rPr>
        <w:t>. From the normalised matrix, the pipeline reports six standard Haralick features:</w:t>
      </w:r>
    </w:p>
    <w:p w14:paraId="6D6E739A" w14:textId="27182BF3" w:rsidR="00DA00EE" w:rsidRPr="00E32832" w:rsidRDefault="00F84C4B" w:rsidP="00BA5D5D">
      <w:pPr>
        <w:pStyle w:val="BodyText"/>
        <w:jc w:val="both"/>
        <w:rPr>
          <w:rFonts w:ascii="Times New Roman" w:hAnsi="Times New Roman" w:cs="Times New Roman"/>
          <w:sz w:val="18"/>
          <w:szCs w:val="18"/>
        </w:rPr>
      </w:pPr>
      <m:oMath>
        <m:r>
          <m:rPr>
            <m:nor/>
          </m:rPr>
          <w:rPr>
            <w:rFonts w:ascii="Times New Roman" w:hAnsi="Times New Roman" w:cs="Times New Roman"/>
            <w:sz w:val="18"/>
            <w:szCs w:val="18"/>
          </w:rPr>
          <m:t>Contrast</m:t>
        </m:r>
        <m:r>
          <m:rPr>
            <m:sty m:val="p"/>
          </m:rPr>
          <w:rPr>
            <w:rFonts w:ascii="Cambria Math" w:hAnsi="Cambria Math" w:cs="Times New Roman"/>
            <w:sz w:val="18"/>
            <w:szCs w:val="18"/>
          </w:rPr>
          <m:t>=</m:t>
        </m:r>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i,j</m:t>
            </m:r>
          </m:sub>
          <m:sup>
            <m:r>
              <m:rPr>
                <m:sty m:val="p"/>
              </m:rPr>
              <w:rPr>
                <w:rFonts w:ascii="Cambria Math" w:hAnsi="Cambria Math" w:cs="Times New Roman"/>
                <w:sz w:val="18"/>
                <w:szCs w:val="18"/>
              </w:rPr>
              <m:t>​</m:t>
            </m:r>
          </m:sup>
          <m:e>
            <m:sSup>
              <m:sSupPr>
                <m:ctrlPr>
                  <w:rPr>
                    <w:rFonts w:ascii="Cambria Math" w:hAnsi="Cambria Math" w:cs="Times New Roman"/>
                    <w:sz w:val="18"/>
                    <w:szCs w:val="18"/>
                  </w:rPr>
                </m:ctrlPr>
              </m:sSupPr>
              <m:e>
                <m:d>
                  <m:dPr>
                    <m:ctrlPr>
                      <w:rPr>
                        <w:rFonts w:ascii="Cambria Math" w:hAnsi="Cambria Math" w:cs="Times New Roman"/>
                        <w:sz w:val="18"/>
                        <w:szCs w:val="18"/>
                      </w:rPr>
                    </m:ctrlPr>
                  </m:dPr>
                  <m:e>
                    <m:r>
                      <m:rPr>
                        <m:sty m:val="p"/>
                      </m:rPr>
                      <w:rPr>
                        <w:rFonts w:ascii="Cambria Math" w:hAnsi="Cambria Math" w:cs="Times New Roman"/>
                        <w:sz w:val="18"/>
                        <w:szCs w:val="18"/>
                      </w:rPr>
                      <m:t>i-j</m:t>
                    </m:r>
                  </m:e>
                </m:d>
              </m:e>
              <m:sup>
                <m:r>
                  <m:rPr>
                    <m:sty m:val="p"/>
                  </m:rPr>
                  <w:rPr>
                    <w:rFonts w:ascii="Cambria Math" w:hAnsi="Cambria Math" w:cs="Times New Roman"/>
                    <w:sz w:val="18"/>
                    <w:szCs w:val="18"/>
                  </w:rPr>
                  <m:t>2</m:t>
                </m:r>
              </m:sup>
            </m:sSup>
          </m:e>
        </m:nary>
        <m:r>
          <m:rPr>
            <m:sty m:val="p"/>
          </m:rPr>
          <w:rPr>
            <w:rFonts w:ascii="Cambria Math" w:hAnsi="Cambria Math" w:cs="Times New Roman"/>
            <w:sz w:val="18"/>
            <w:szCs w:val="18"/>
          </w:rPr>
          <m:t>P</m:t>
        </m:r>
        <m:d>
          <m:dPr>
            <m:ctrlPr>
              <w:rPr>
                <w:rFonts w:ascii="Cambria Math" w:hAnsi="Cambria Math" w:cs="Times New Roman"/>
                <w:sz w:val="18"/>
                <w:szCs w:val="18"/>
              </w:rPr>
            </m:ctrlPr>
          </m:dPr>
          <m:e>
            <m:r>
              <m:rPr>
                <m:sty m:val="p"/>
              </m:rPr>
              <w:rPr>
                <w:rFonts w:ascii="Cambria Math" w:hAnsi="Cambria Math" w:cs="Times New Roman"/>
                <w:sz w:val="18"/>
                <w:szCs w:val="18"/>
              </w:rPr>
              <m:t>i,j</m:t>
            </m:r>
          </m:e>
        </m:d>
        <m:r>
          <m:rPr>
            <m:sty m:val="p"/>
          </m:rPr>
          <w:rPr>
            <w:rFonts w:ascii="Cambria Math" w:hAnsi="Cambria Math" w:cs="Times New Roman"/>
            <w:sz w:val="18"/>
            <w:szCs w:val="18"/>
          </w:rPr>
          <m:t>,  </m:t>
        </m:r>
        <m:r>
          <m:rPr>
            <m:nor/>
          </m:rPr>
          <w:rPr>
            <w:rFonts w:ascii="Times New Roman" w:hAnsi="Times New Roman" w:cs="Times New Roman"/>
            <w:sz w:val="18"/>
            <w:szCs w:val="18"/>
          </w:rPr>
          <m:t>Homogeneity</m:t>
        </m:r>
        <m:r>
          <m:rPr>
            <m:sty m:val="p"/>
          </m:rPr>
          <w:rPr>
            <w:rFonts w:ascii="Cambria Math" w:hAnsi="Cambria Math" w:cs="Times New Roman"/>
            <w:sz w:val="18"/>
            <w:szCs w:val="18"/>
          </w:rPr>
          <m:t>=</m:t>
        </m:r>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i,j</m:t>
            </m:r>
          </m:sub>
          <m:sup>
            <m:r>
              <m:rPr>
                <m:sty m:val="p"/>
              </m:rPr>
              <w:rPr>
                <w:rFonts w:ascii="Cambria Math" w:hAnsi="Cambria Math" w:cs="Times New Roman"/>
                <w:sz w:val="18"/>
                <w:szCs w:val="18"/>
              </w:rPr>
              <m:t>​</m:t>
            </m:r>
          </m:sup>
          <m:e>
            <m:f>
              <m:fPr>
                <m:ctrlPr>
                  <w:rPr>
                    <w:rFonts w:ascii="Cambria Math" w:hAnsi="Cambria Math" w:cs="Times New Roman"/>
                    <w:sz w:val="18"/>
                    <w:szCs w:val="18"/>
                  </w:rPr>
                </m:ctrlPr>
              </m:fPr>
              <m:num>
                <m:r>
                  <m:rPr>
                    <m:sty m:val="p"/>
                  </m:rPr>
                  <w:rPr>
                    <w:rFonts w:ascii="Cambria Math" w:hAnsi="Cambria Math" w:cs="Times New Roman"/>
                    <w:sz w:val="18"/>
                    <w:szCs w:val="18"/>
                  </w:rPr>
                  <m:t>P</m:t>
                </m:r>
                <m:d>
                  <m:dPr>
                    <m:ctrlPr>
                      <w:rPr>
                        <w:rFonts w:ascii="Cambria Math" w:hAnsi="Cambria Math" w:cs="Times New Roman"/>
                        <w:sz w:val="18"/>
                        <w:szCs w:val="18"/>
                      </w:rPr>
                    </m:ctrlPr>
                  </m:dPr>
                  <m:e>
                    <m:r>
                      <m:rPr>
                        <m:sty m:val="p"/>
                      </m:rPr>
                      <w:rPr>
                        <w:rFonts w:ascii="Cambria Math" w:hAnsi="Cambria Math" w:cs="Times New Roman"/>
                        <w:sz w:val="18"/>
                        <w:szCs w:val="18"/>
                      </w:rPr>
                      <m:t>i,j</m:t>
                    </m:r>
                  </m:e>
                </m:d>
              </m:num>
              <m:den>
                <m:r>
                  <m:rPr>
                    <m:sty m:val="p"/>
                  </m:rPr>
                  <w:rPr>
                    <w:rFonts w:ascii="Cambria Math" w:hAnsi="Cambria Math" w:cs="Times New Roman"/>
                    <w:sz w:val="18"/>
                    <w:szCs w:val="18"/>
                  </w:rPr>
                  <m:t>1+</m:t>
                </m:r>
                <m:sSup>
                  <m:sSupPr>
                    <m:ctrlPr>
                      <w:rPr>
                        <w:rFonts w:ascii="Cambria Math" w:hAnsi="Cambria Math" w:cs="Times New Roman"/>
                        <w:sz w:val="18"/>
                        <w:szCs w:val="18"/>
                      </w:rPr>
                    </m:ctrlPr>
                  </m:sSupPr>
                  <m:e>
                    <m:d>
                      <m:dPr>
                        <m:ctrlPr>
                          <w:rPr>
                            <w:rFonts w:ascii="Cambria Math" w:hAnsi="Cambria Math" w:cs="Times New Roman"/>
                            <w:sz w:val="18"/>
                            <w:szCs w:val="18"/>
                          </w:rPr>
                        </m:ctrlPr>
                      </m:dPr>
                      <m:e>
                        <m:r>
                          <m:rPr>
                            <m:sty m:val="p"/>
                          </m:rPr>
                          <w:rPr>
                            <w:rFonts w:ascii="Cambria Math" w:hAnsi="Cambria Math" w:cs="Times New Roman"/>
                            <w:sz w:val="18"/>
                            <w:szCs w:val="18"/>
                          </w:rPr>
                          <m:t>i-j</m:t>
                        </m:r>
                      </m:e>
                    </m:d>
                  </m:e>
                  <m:sup>
                    <m:r>
                      <m:rPr>
                        <m:sty m:val="p"/>
                      </m:rPr>
                      <w:rPr>
                        <w:rFonts w:ascii="Cambria Math" w:hAnsi="Cambria Math" w:cs="Times New Roman"/>
                        <w:sz w:val="18"/>
                        <w:szCs w:val="18"/>
                      </w:rPr>
                      <m:t>2</m:t>
                    </m:r>
                  </m:sup>
                </m:sSup>
              </m:den>
            </m:f>
          </m:e>
        </m:nary>
      </m:oMath>
      <w:r>
        <w:rPr>
          <w:rFonts w:ascii="Times New Roman" w:hAnsi="Times New Roman" w:cs="Times New Roman"/>
          <w:b/>
          <w:sz w:val="18"/>
          <w:szCs w:val="18"/>
        </w:rPr>
        <w:t xml:space="preserve">  (5)</w:t>
      </w:r>
    </w:p>
    <w:p w14:paraId="4155C797" w14:textId="76CEC6BC" w:rsidR="00DA00EE" w:rsidRPr="00E32832" w:rsidRDefault="00000000" w:rsidP="00BA5D5D">
      <w:pPr>
        <w:pStyle w:val="BodyText"/>
        <w:jc w:val="both"/>
        <w:rPr>
          <w:rFonts w:ascii="Times New Roman" w:hAnsi="Times New Roman" w:cs="Times New Roman"/>
          <w:sz w:val="18"/>
          <w:szCs w:val="18"/>
        </w:rPr>
      </w:pPr>
      <m:oMath>
        <m:sSup>
          <m:sSupPr>
            <m:ctrlPr>
              <w:rPr>
                <w:rFonts w:ascii="Cambria Math" w:hAnsi="Cambria Math" w:cs="Times New Roman"/>
                <w:sz w:val="18"/>
                <w:szCs w:val="18"/>
              </w:rPr>
            </m:ctrlPr>
          </m:sSupPr>
          <m:e>
            <m:r>
              <m:rPr>
                <m:nor/>
              </m:rPr>
              <w:rPr>
                <w:rFonts w:ascii="Times New Roman" w:hAnsi="Times New Roman" w:cs="Times New Roman"/>
                <w:sz w:val="18"/>
                <w:szCs w:val="18"/>
              </w:rPr>
              <m:t>Energy (ASM</m:t>
            </m:r>
          </m:e>
          <m:sup>
            <m:r>
              <m:rPr>
                <m:sty m:val="p"/>
              </m:rPr>
              <w:rPr>
                <w:rFonts w:ascii="Cambria Math" w:hAnsi="Cambria Math" w:cs="Times New Roman"/>
                <w:sz w:val="18"/>
                <w:szCs w:val="18"/>
              </w:rPr>
              <m:t>1/2</m:t>
            </m:r>
          </m:sup>
        </m:sSup>
        <m:r>
          <m:rPr>
            <m:nor/>
          </m:rPr>
          <w:rPr>
            <w:rFonts w:ascii="Times New Roman" w:hAnsi="Times New Roman" w:cs="Times New Roman"/>
            <w:sz w:val="18"/>
            <w:szCs w:val="18"/>
          </w:rPr>
          <m:t>)</m:t>
        </m:r>
        <m:r>
          <m:rPr>
            <m:sty m:val="p"/>
          </m:rPr>
          <w:rPr>
            <w:rFonts w:ascii="Cambria Math" w:hAnsi="Cambria Math" w:cs="Times New Roman"/>
            <w:sz w:val="18"/>
            <w:szCs w:val="18"/>
          </w:rPr>
          <m:t>=</m:t>
        </m:r>
        <m:rad>
          <m:radPr>
            <m:degHide m:val="1"/>
            <m:ctrlPr>
              <w:rPr>
                <w:rFonts w:ascii="Cambria Math" w:hAnsi="Cambria Math" w:cs="Times New Roman"/>
                <w:sz w:val="18"/>
                <w:szCs w:val="18"/>
              </w:rPr>
            </m:ctrlPr>
          </m:radPr>
          <m:deg/>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i,j</m:t>
                </m:r>
              </m:sub>
              <m:sup>
                <m:r>
                  <m:rPr>
                    <m:sty m:val="p"/>
                  </m:rPr>
                  <w:rPr>
                    <w:rFonts w:ascii="Cambria Math" w:hAnsi="Cambria Math" w:cs="Times New Roman"/>
                    <w:sz w:val="18"/>
                    <w:szCs w:val="18"/>
                  </w:rPr>
                  <m:t>​</m:t>
                </m:r>
              </m:sup>
              <m:e>
                <m:r>
                  <m:rPr>
                    <m:sty m:val="p"/>
                  </m:rPr>
                  <w:rPr>
                    <w:rFonts w:ascii="Cambria Math" w:hAnsi="Cambria Math" w:cs="Times New Roman"/>
                    <w:sz w:val="18"/>
                    <w:szCs w:val="18"/>
                  </w:rPr>
                  <m:t>P</m:t>
                </m:r>
              </m:e>
            </m:nary>
            <m:sSup>
              <m:sSupPr>
                <m:ctrlPr>
                  <w:rPr>
                    <w:rFonts w:ascii="Cambria Math" w:hAnsi="Cambria Math" w:cs="Times New Roman"/>
                    <w:sz w:val="18"/>
                    <w:szCs w:val="18"/>
                  </w:rPr>
                </m:ctrlPr>
              </m:sSupPr>
              <m:e>
                <m:d>
                  <m:dPr>
                    <m:ctrlPr>
                      <w:rPr>
                        <w:rFonts w:ascii="Cambria Math" w:hAnsi="Cambria Math" w:cs="Times New Roman"/>
                        <w:sz w:val="18"/>
                        <w:szCs w:val="18"/>
                      </w:rPr>
                    </m:ctrlPr>
                  </m:dPr>
                  <m:e>
                    <m:r>
                      <m:rPr>
                        <m:sty m:val="p"/>
                      </m:rPr>
                      <w:rPr>
                        <w:rFonts w:ascii="Cambria Math" w:hAnsi="Cambria Math" w:cs="Times New Roman"/>
                        <w:sz w:val="18"/>
                        <w:szCs w:val="18"/>
                      </w:rPr>
                      <m:t>i,j</m:t>
                    </m:r>
                  </m:e>
                </m:d>
              </m:e>
              <m:sup>
                <m:r>
                  <m:rPr>
                    <m:sty m:val="p"/>
                  </m:rPr>
                  <w:rPr>
                    <w:rFonts w:ascii="Cambria Math" w:hAnsi="Cambria Math" w:cs="Times New Roman"/>
                    <w:sz w:val="18"/>
                    <w:szCs w:val="18"/>
                  </w:rPr>
                  <m:t>2</m:t>
                </m:r>
              </m:sup>
            </m:sSup>
          </m:e>
        </m:rad>
        <m:r>
          <m:rPr>
            <m:sty m:val="p"/>
          </m:rPr>
          <w:rPr>
            <w:rFonts w:ascii="Cambria Math" w:hAnsi="Cambria Math" w:cs="Times New Roman"/>
            <w:sz w:val="18"/>
            <w:szCs w:val="18"/>
          </w:rPr>
          <m:t>,  </m:t>
        </m:r>
        <m:r>
          <m:rPr>
            <m:nor/>
          </m:rPr>
          <w:rPr>
            <w:rFonts w:ascii="Times New Roman" w:hAnsi="Times New Roman" w:cs="Times New Roman"/>
            <w:sz w:val="18"/>
            <w:szCs w:val="18"/>
          </w:rPr>
          <m:t>ASM</m:t>
        </m:r>
        <m:r>
          <m:rPr>
            <m:sty m:val="p"/>
          </m:rPr>
          <w:rPr>
            <w:rFonts w:ascii="Cambria Math" w:hAnsi="Cambria Math" w:cs="Times New Roman"/>
            <w:sz w:val="18"/>
            <w:szCs w:val="18"/>
          </w:rPr>
          <m:t>=</m:t>
        </m:r>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i,j</m:t>
            </m:r>
          </m:sub>
          <m:sup>
            <m:r>
              <m:rPr>
                <m:sty m:val="p"/>
              </m:rPr>
              <w:rPr>
                <w:rFonts w:ascii="Cambria Math" w:hAnsi="Cambria Math" w:cs="Times New Roman"/>
                <w:sz w:val="18"/>
                <w:szCs w:val="18"/>
              </w:rPr>
              <m:t>​</m:t>
            </m:r>
          </m:sup>
          <m:e>
            <m:r>
              <m:rPr>
                <m:sty m:val="p"/>
              </m:rPr>
              <w:rPr>
                <w:rFonts w:ascii="Cambria Math" w:hAnsi="Cambria Math" w:cs="Times New Roman"/>
                <w:sz w:val="18"/>
                <w:szCs w:val="18"/>
              </w:rPr>
              <m:t>P</m:t>
            </m:r>
          </m:e>
        </m:nary>
        <m:sSup>
          <m:sSupPr>
            <m:ctrlPr>
              <w:rPr>
                <w:rFonts w:ascii="Cambria Math" w:hAnsi="Cambria Math" w:cs="Times New Roman"/>
                <w:sz w:val="18"/>
                <w:szCs w:val="18"/>
              </w:rPr>
            </m:ctrlPr>
          </m:sSupPr>
          <m:e>
            <m:d>
              <m:dPr>
                <m:ctrlPr>
                  <w:rPr>
                    <w:rFonts w:ascii="Cambria Math" w:hAnsi="Cambria Math" w:cs="Times New Roman"/>
                    <w:sz w:val="18"/>
                    <w:szCs w:val="18"/>
                  </w:rPr>
                </m:ctrlPr>
              </m:dPr>
              <m:e>
                <m:r>
                  <m:rPr>
                    <m:sty m:val="p"/>
                  </m:rPr>
                  <w:rPr>
                    <w:rFonts w:ascii="Cambria Math" w:hAnsi="Cambria Math" w:cs="Times New Roman"/>
                    <w:sz w:val="18"/>
                    <w:szCs w:val="18"/>
                  </w:rPr>
                  <m:t>i,j</m:t>
                </m:r>
              </m:e>
            </m:d>
          </m:e>
          <m:sup>
            <m:r>
              <m:rPr>
                <m:sty m:val="p"/>
              </m:rPr>
              <w:rPr>
                <w:rFonts w:ascii="Cambria Math" w:hAnsi="Cambria Math" w:cs="Times New Roman"/>
                <w:sz w:val="18"/>
                <w:szCs w:val="18"/>
              </w:rPr>
              <m:t>2</m:t>
            </m:r>
          </m:sup>
        </m:sSup>
      </m:oMath>
      <w:r>
        <w:rPr>
          <w:rFonts w:ascii="Times New Roman" w:hAnsi="Times New Roman" w:cs="Times New Roman"/>
          <w:b/>
          <w:sz w:val="18"/>
          <w:szCs w:val="18"/>
        </w:rPr>
        <w:t xml:space="preserve">  (6)</w:t>
      </w:r>
    </w:p>
    <w:p w14:paraId="12D6D462" w14:textId="529CB975" w:rsidR="00DA00EE" w:rsidRPr="00E32832" w:rsidRDefault="00F84C4B" w:rsidP="00BA5D5D">
      <w:pPr>
        <w:pStyle w:val="BodyText"/>
        <w:jc w:val="both"/>
        <w:rPr>
          <w:rFonts w:ascii="Times New Roman" w:hAnsi="Times New Roman" w:cs="Times New Roman"/>
          <w:sz w:val="18"/>
          <w:szCs w:val="18"/>
        </w:rPr>
      </w:pPr>
      <m:oMath>
        <m:r>
          <m:rPr>
            <m:nor/>
          </m:rPr>
          <w:rPr>
            <w:rFonts w:ascii="Times New Roman" w:hAnsi="Times New Roman" w:cs="Times New Roman"/>
            <w:sz w:val="18"/>
            <w:szCs w:val="18"/>
          </w:rPr>
          <m:t>Dissimilarity</m:t>
        </m:r>
        <m:r>
          <m:rPr>
            <m:sty m:val="p"/>
          </m:rPr>
          <w:rPr>
            <w:rFonts w:ascii="Cambria Math" w:hAnsi="Cambria Math" w:cs="Times New Roman"/>
            <w:sz w:val="18"/>
            <w:szCs w:val="18"/>
          </w:rPr>
          <m:t>=</m:t>
        </m:r>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i,j</m:t>
            </m:r>
          </m:sub>
          <m:sup>
            <m:r>
              <m:rPr>
                <m:sty m:val="p"/>
              </m:rPr>
              <w:rPr>
                <w:rFonts w:ascii="Cambria Math" w:hAnsi="Cambria Math" w:cs="Times New Roman"/>
                <w:sz w:val="18"/>
                <w:szCs w:val="18"/>
              </w:rPr>
              <m:t>​</m:t>
            </m:r>
          </m:sup>
          <m:e>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i-j</m:t>
                </m:r>
              </m:e>
            </m:d>
          </m:e>
        </m:nary>
        <m:r>
          <m:rPr>
            <m:sty m:val="p"/>
          </m:rPr>
          <w:rPr>
            <w:rFonts w:ascii="Cambria Math" w:hAnsi="Cambria Math" w:cs="Times New Roman"/>
            <w:sz w:val="18"/>
            <w:szCs w:val="18"/>
          </w:rPr>
          <m:t> P</m:t>
        </m:r>
        <m:d>
          <m:dPr>
            <m:ctrlPr>
              <w:rPr>
                <w:rFonts w:ascii="Cambria Math" w:hAnsi="Cambria Math" w:cs="Times New Roman"/>
                <w:sz w:val="18"/>
                <w:szCs w:val="18"/>
              </w:rPr>
            </m:ctrlPr>
          </m:dPr>
          <m:e>
            <m:r>
              <m:rPr>
                <m:sty m:val="p"/>
              </m:rPr>
              <w:rPr>
                <w:rFonts w:ascii="Cambria Math" w:hAnsi="Cambria Math" w:cs="Times New Roman"/>
                <w:sz w:val="18"/>
                <w:szCs w:val="18"/>
              </w:rPr>
              <m:t>i,j</m:t>
            </m:r>
          </m:e>
        </m:d>
        <m:r>
          <m:rPr>
            <m:sty m:val="p"/>
          </m:rPr>
          <w:rPr>
            <w:rFonts w:ascii="Cambria Math" w:hAnsi="Cambria Math" w:cs="Times New Roman"/>
            <w:sz w:val="18"/>
            <w:szCs w:val="18"/>
          </w:rPr>
          <m:t>,  </m:t>
        </m:r>
        <m:r>
          <m:rPr>
            <m:nor/>
          </m:rPr>
          <w:rPr>
            <w:rFonts w:ascii="Times New Roman" w:hAnsi="Times New Roman" w:cs="Times New Roman"/>
            <w:sz w:val="18"/>
            <w:szCs w:val="18"/>
          </w:rPr>
          <m:t>Correlation</m:t>
        </m:r>
        <m:r>
          <m:rPr>
            <m:sty m:val="p"/>
          </m:rPr>
          <w:rPr>
            <w:rFonts w:ascii="Cambria Math" w:hAnsi="Cambria Math" w:cs="Times New Roman"/>
            <w:sz w:val="18"/>
            <w:szCs w:val="18"/>
          </w:rPr>
          <m:t>=</m:t>
        </m:r>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i,j</m:t>
            </m:r>
          </m:sub>
          <m:sup>
            <m:r>
              <m:rPr>
                <m:sty m:val="p"/>
              </m:rPr>
              <w:rPr>
                <w:rFonts w:ascii="Cambria Math" w:hAnsi="Cambria Math" w:cs="Times New Roman"/>
                <w:sz w:val="18"/>
                <w:szCs w:val="18"/>
              </w:rPr>
              <m:t>​</m:t>
            </m:r>
          </m:sup>
          <m:e>
            <m:f>
              <m:fPr>
                <m:ctrlPr>
                  <w:rPr>
                    <w:rFonts w:ascii="Cambria Math" w:hAnsi="Cambria Math" w:cs="Times New Roman"/>
                    <w:sz w:val="18"/>
                    <w:szCs w:val="18"/>
                  </w:rPr>
                </m:ctrlPr>
              </m:fPr>
              <m:num>
                <m:d>
                  <m:dPr>
                    <m:ctrlPr>
                      <w:rPr>
                        <w:rFonts w:ascii="Cambria Math" w:hAnsi="Cambria Math" w:cs="Times New Roman"/>
                        <w:sz w:val="18"/>
                        <w:szCs w:val="18"/>
                      </w:rPr>
                    </m:ctrlPr>
                  </m:dPr>
                  <m:e>
                    <m:r>
                      <m:rPr>
                        <m:sty m:val="p"/>
                      </m:rPr>
                      <w:rPr>
                        <w:rFonts w:ascii="Cambria Math" w:hAnsi="Cambria Math" w:cs="Times New Roman"/>
                        <w:sz w:val="18"/>
                        <w:szCs w:val="18"/>
                      </w:rPr>
                      <m:t>i-</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i</m:t>
                        </m:r>
                      </m:sub>
                    </m:sSub>
                  </m:e>
                </m:d>
                <m:d>
                  <m:dPr>
                    <m:ctrlPr>
                      <w:rPr>
                        <w:rFonts w:ascii="Cambria Math" w:hAnsi="Cambria Math" w:cs="Times New Roman"/>
                        <w:sz w:val="18"/>
                        <w:szCs w:val="18"/>
                      </w:rPr>
                    </m:ctrlPr>
                  </m:dPr>
                  <m:e>
                    <m:r>
                      <m:rPr>
                        <m:sty m:val="p"/>
                      </m:rPr>
                      <w:rPr>
                        <w:rFonts w:ascii="Cambria Math" w:hAnsi="Cambria Math" w:cs="Times New Roman"/>
                        <w:sz w:val="18"/>
                        <w:szCs w:val="18"/>
                      </w:rPr>
                      <m:t>j-</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e>
                </m:d>
                <m:r>
                  <m:rPr>
                    <m:sty m:val="p"/>
                  </m:rPr>
                  <w:rPr>
                    <w:rFonts w:ascii="Cambria Math" w:hAnsi="Cambria Math" w:cs="Times New Roman"/>
                    <w:sz w:val="18"/>
                    <w:szCs w:val="18"/>
                  </w:rPr>
                  <m:t> P</m:t>
                </m:r>
                <m:d>
                  <m:dPr>
                    <m:ctrlPr>
                      <w:rPr>
                        <w:rFonts w:ascii="Cambria Math" w:hAnsi="Cambria Math" w:cs="Times New Roman"/>
                        <w:sz w:val="18"/>
                        <w:szCs w:val="18"/>
                      </w:rPr>
                    </m:ctrlPr>
                  </m:dPr>
                  <m:e>
                    <m:r>
                      <m:rPr>
                        <m:sty m:val="p"/>
                      </m:rPr>
                      <w:rPr>
                        <w:rFonts w:ascii="Cambria Math" w:hAnsi="Cambria Math" w:cs="Times New Roman"/>
                        <w:sz w:val="18"/>
                        <w:szCs w:val="18"/>
                      </w:rPr>
                      <m:t>i,j</m:t>
                    </m:r>
                  </m:e>
                </m:d>
              </m:num>
              <m:den>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sty m:val="p"/>
                      </m:rPr>
                      <w:rPr>
                        <w:rFonts w:ascii="Cambria Math" w:hAnsi="Cambria Math" w:cs="Times New Roman"/>
                        <w:sz w:val="18"/>
                        <w:szCs w:val="18"/>
                      </w:rPr>
                      <m:t>i</m:t>
                    </m:r>
                  </m:sub>
                </m:sSub>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sty m:val="p"/>
                      </m:rPr>
                      <w:rPr>
                        <w:rFonts w:ascii="Cambria Math" w:hAnsi="Cambria Math" w:cs="Times New Roman"/>
                        <w:sz w:val="18"/>
                        <w:szCs w:val="18"/>
                      </w:rPr>
                      <m:t>j</m:t>
                    </m:r>
                  </m:sub>
                </m:sSub>
              </m:den>
            </m:f>
          </m:e>
        </m:nary>
      </m:oMath>
      <w:r>
        <w:rPr>
          <w:rFonts w:ascii="Times New Roman" w:hAnsi="Times New Roman" w:cs="Times New Roman"/>
          <w:b/>
          <w:sz w:val="18"/>
          <w:szCs w:val="18"/>
        </w:rPr>
        <w:t xml:space="preserve">  (7)</w:t>
      </w:r>
    </w:p>
    <w:p w14:paraId="569E75FD" w14:textId="1A516D1B"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These are genuine, well established descriptors computed directly from each image’s own pixels, with no training data required  consistent with their continued use in the plant pathology texture literature reviewed in Section 2.2 (</w:t>
      </w:r>
      <w:hyperlink w:anchor="ref-nancy2024">
        <w:r>
          <w:rPr>
            <w:rStyle w:val="Hyperlink"/>
            <w:rFonts w:ascii="Times New Roman" w:hAnsi="Times New Roman" w:cs="Times New Roman"/>
            <w:sz w:val="18"/>
            <w:szCs w:val="18"/>
          </w:rPr>
          <w:t>Nancy and Kiran 2024</w:t>
        </w:r>
      </w:hyperlink>
      <w:r>
        <w:rPr>
          <w:rFonts w:ascii="Times New Roman" w:hAnsi="Times New Roman" w:cs="Times New Roman"/>
          <w:sz w:val="18"/>
          <w:szCs w:val="18"/>
        </w:rPr>
        <w:t xml:space="preserve">; </w:t>
      </w:r>
      <w:hyperlink w:anchor="ref-ossai2022">
        <w:r>
          <w:rPr>
            <w:rStyle w:val="Hyperlink"/>
            <w:rFonts w:ascii="Times New Roman" w:hAnsi="Times New Roman" w:cs="Times New Roman"/>
            <w:sz w:val="18"/>
            <w:szCs w:val="18"/>
          </w:rPr>
          <w:t>Ossai and Wickramasinghe 2022</w:t>
        </w:r>
      </w:hyperlink>
      <w:r>
        <w:rPr>
          <w:rFonts w:ascii="Times New Roman" w:hAnsi="Times New Roman" w:cs="Times New Roman"/>
          <w:sz w:val="18"/>
          <w:szCs w:val="18"/>
        </w:rPr>
        <w:t>). The module explicitly frames this as a whole image texture signature and not a per lesion signature, since the latter would require ground truth lesion segmentation masks that are outside this pipeline’s scope. Figure 5 compares all six GLCM features across the eight image demonstration batch, and Figure 6 shows the module’s text panel rendering for a single image.</w:t>
      </w:r>
    </w:p>
    <w:p w14:paraId="18214234"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lastRenderedPageBreak/>
        <w:drawing>
          <wp:inline distT="0" distB="0" distL="0" distR="0" wp14:anchorId="5A4EA06D" wp14:editId="54E95F9F">
            <wp:extent cx="5095096" cy="5526741"/>
            <wp:effectExtent l="0" t="0" r="0" b="0"/>
            <wp:docPr id="603" name="Pictur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4">
                      <a:extLst>
                        <a:ext uri="{28A0092B-C50C-407E-A947-70E740481C1C}">
                          <a14:useLocalDpi xmlns:a14="http://schemas.microsoft.com/office/drawing/2010/main" val="0"/>
                        </a:ext>
                      </a:extLst>
                    </a:blip>
                    <a:stretch>
                      <a:fillRect/>
                    </a:stretch>
                  </pic:blipFill>
                  <pic:spPr>
                    <a:xfrm>
                      <a:off x="0" y="0"/>
                      <a:ext cx="5095096" cy="5526741"/>
                    </a:xfrm>
                    <a:prstGeom prst="rect">
                      <a:avLst/>
                    </a:prstGeom>
                  </pic:spPr>
                </pic:pic>
              </a:graphicData>
            </a:graphic>
          </wp:inline>
        </w:drawing>
      </w:r>
    </w:p>
    <w:p w14:paraId="4EF58FD1" w14:textId="4992A4C3" w:rsidR="00283C42" w:rsidRPr="00E32832" w:rsidRDefault="0058322D">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4. GLCM texture, descriptor invariance and contrastive-loss diagnostics. (A) GLCM texture feature panel; (B) tabulated GLCM feature values; (C) eight-dimensional descriptor invariance under six geometric/photometric transforms; (D) InfoNCE contrastive-loss values; (E) PCA projection of the descriptor feature space.</w:t>
      </w:r>
    </w:p>
    <w:p w14:paraId="44708FBD" w14:textId="77777777" w:rsidR="00877156" w:rsidRPr="00E32832" w:rsidRDefault="00877156" w:rsidP="00BA5D5D">
      <w:pPr>
        <w:pStyle w:val="Heading3"/>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bookmarkStart w:id="41" w:name="_Toc234738409"/>
      <w:bookmarkStart w:id="42" w:name="Xa7c6b499407602b8281c8e8ce3aca83a07252c5"/>
      <w:bookmarkEnd w:id="40"/>
    </w:p>
    <w:p w14:paraId="3D9B3757" w14:textId="77777777" w:rsidR="00DA00EE" w:rsidRPr="00E32832" w:rsidRDefault="00F84C4B" w:rsidP="00BA5D5D">
      <w:pPr>
        <w:pStyle w:val="Heading3"/>
        <w:jc w:val="both"/>
        <w:rPr>
          <w:rFonts w:ascii="Times New Roman" w:hAnsi="Times New Roman" w:cs="Times New Roman"/>
          <w:color w:val="auto"/>
          <w:sz w:val="18"/>
          <w:szCs w:val="18"/>
        </w:rPr>
      </w:pPr>
      <w:r>
        <w:rPr>
          <w:rFonts w:ascii="Times New Roman" w:hAnsi="Times New Roman" w:cs="Times New Roman"/>
          <w:color w:val="auto"/>
          <w:sz w:val="18"/>
          <w:szCs w:val="18"/>
        </w:rPr>
        <w:t>4.4 Compact descriptor vector, invariance testing, and contrastive loss mechanics</w:t>
      </w:r>
      <w:bookmarkEnd w:id="41"/>
    </w:p>
    <w:p w14:paraId="06A6EC76"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b/>
          <w:bCs/>
          <w:sz w:val="18"/>
          <w:szCs w:val="18"/>
        </w:rPr>
        <w:t>Descriptor.</w:t>
      </w:r>
      <w:r>
        <w:rPr>
          <w:rFonts w:ascii="Times New Roman" w:hAnsi="Times New Roman" w:cs="Times New Roman"/>
          <w:sz w:val="18"/>
          <w:szCs w:val="18"/>
        </w:rPr>
        <w:t xml:space="preserve"> Every successfully processed image is reduced to a compact, real, eight dimensional descriptor</w:t>
      </w:r>
    </w:p>
    <w:p w14:paraId="4CCA14E7" w14:textId="1DA138D0" w:rsidR="00DA00EE" w:rsidRPr="00E32832" w:rsidRDefault="00E32832" w:rsidP="00BA5D5D">
      <w:pPr>
        <w:pStyle w:val="BodyText"/>
        <w:jc w:val="both"/>
        <w:rPr>
          <w:rFonts w:ascii="Times New Roman" w:hAnsi="Times New Roman" w:cs="Times New Roman"/>
          <w:sz w:val="18"/>
          <w:szCs w:val="18"/>
        </w:rPr>
      </w:pPr>
      <m:oMath>
        <m:r>
          <m:rPr>
            <m:sty m:val="b"/>
          </m:rPr>
          <w:rPr>
            <w:rFonts w:ascii="Cambria Math" w:hAnsi="Cambria Math" w:cs="Times New Roman"/>
            <w:sz w:val="18"/>
            <w:szCs w:val="18"/>
          </w:rPr>
          <m:t>d</m:t>
        </m:r>
        <m:r>
          <m:rPr>
            <m:sty m:val="p"/>
          </m:rPr>
          <w:rPr>
            <w:rFonts w:ascii="Cambria Math" w:hAnsi="Cambria Math" w:cs="Times New Roman"/>
            <w:sz w:val="18"/>
            <w:szCs w:val="18"/>
          </w:rPr>
          <m:t>=</m:t>
        </m:r>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nor/>
                  </m:rPr>
                  <w:rPr>
                    <w:rFonts w:ascii="Times New Roman" w:hAnsi="Times New Roman" w:cs="Times New Roman"/>
                    <w:sz w:val="18"/>
                    <w:szCs w:val="18"/>
                  </w:rPr>
                  <m:t>gray</m:t>
                </m:r>
              </m:sub>
            </m:sSub>
            <m:r>
              <m:rPr>
                <m:sty m:val="p"/>
              </m:rPr>
              <w:rPr>
                <w:rFonts w:ascii="Cambria Math" w:hAnsi="Cambria Math" w:cs="Times New Roman"/>
                <w:sz w:val="18"/>
                <w:szCs w:val="18"/>
              </w:rPr>
              <m:t xml:space="preserve">, </m:t>
            </m:r>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nor/>
                  </m:rPr>
                  <w:rPr>
                    <w:rFonts w:ascii="Times New Roman" w:hAnsi="Times New Roman" w:cs="Times New Roman"/>
                    <w:sz w:val="18"/>
                    <w:szCs w:val="18"/>
                  </w:rPr>
                  <m:t>gray</m:t>
                </m:r>
              </m:sub>
            </m:sSub>
            <m:r>
              <m:rPr>
                <m:sty m:val="p"/>
              </m:rPr>
              <w:rPr>
                <w:rFonts w:ascii="Cambria Math" w:hAnsi="Cambria Math" w:cs="Times New Roman"/>
                <w:sz w:val="18"/>
                <w:szCs w:val="18"/>
              </w:rPr>
              <m:t xml:space="preserve">, </m:t>
            </m:r>
            <m:acc>
              <m:accPr>
                <m:chr m:val="‾"/>
                <m:ctrlPr>
                  <w:rPr>
                    <w:rFonts w:ascii="Cambria Math" w:hAnsi="Cambria Math" w:cs="Times New Roman"/>
                    <w:sz w:val="18"/>
                    <w:szCs w:val="18"/>
                  </w:rPr>
                </m:ctrlPr>
              </m:accPr>
              <m:e>
                <m:r>
                  <m:rPr>
                    <m:sty m:val="p"/>
                  </m:rPr>
                  <w:rPr>
                    <w:rFonts w:ascii="Cambria Math" w:hAnsi="Cambria Math" w:cs="Times New Roman"/>
                    <w:sz w:val="18"/>
                    <w:szCs w:val="18"/>
                  </w:rPr>
                  <m:t>e</m:t>
                </m:r>
              </m:e>
            </m:acc>
            <m:r>
              <m:rPr>
                <m:sty m:val="p"/>
              </m:rPr>
              <w:rPr>
                <w:rFonts w:ascii="Cambria Math" w:hAnsi="Cambria Math" w:cs="Times New Roman"/>
                <w:sz w:val="18"/>
                <w:szCs w:val="18"/>
              </w:rPr>
              <m:t xml:space="preserve">, </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R</m:t>
                </m:r>
              </m:sub>
            </m:sSub>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G</m:t>
                </m:r>
              </m:sub>
            </m:sSub>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B</m:t>
                </m:r>
              </m:sub>
            </m:sSub>
            <m:r>
              <m:rPr>
                <m:sty m:val="p"/>
              </m:rPr>
              <w:rPr>
                <w:rFonts w:ascii="Cambria Math" w:hAnsi="Cambria Math" w:cs="Times New Roman"/>
                <w:sz w:val="18"/>
                <w:szCs w:val="18"/>
              </w:rPr>
              <m:t xml:space="preserve">, </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nor/>
                  </m:rPr>
                  <w:rPr>
                    <w:rFonts w:ascii="Times New Roman" w:hAnsi="Times New Roman" w:cs="Times New Roman"/>
                    <w:sz w:val="18"/>
                    <w:szCs w:val="18"/>
                  </w:rPr>
                  <m:t>NDVI</m:t>
                </m:r>
              </m:sub>
            </m:sSub>
            <m:r>
              <m:rPr>
                <m:sty m:val="p"/>
              </m:rPr>
              <w:rPr>
                <w:rFonts w:ascii="Cambria Math" w:hAnsi="Cambria Math" w:cs="Times New Roman"/>
                <w:sz w:val="18"/>
                <w:szCs w:val="18"/>
              </w:rPr>
              <m:t xml:space="preserve">, </m:t>
            </m:r>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nor/>
                  </m:rPr>
                  <w:rPr>
                    <w:rFonts w:ascii="Times New Roman" w:hAnsi="Times New Roman" w:cs="Times New Roman"/>
                    <w:sz w:val="18"/>
                    <w:szCs w:val="18"/>
                  </w:rPr>
                  <m:t>NDVI</m:t>
                </m:r>
              </m:sub>
            </m:sSub>
            <m:r>
              <m:rPr>
                <m:sty m:val="p"/>
              </m:rPr>
              <w:rPr>
                <w:rFonts w:ascii="Cambria Math" w:hAnsi="Cambria Math" w:cs="Times New Roman"/>
                <w:sz w:val="18"/>
                <w:szCs w:val="18"/>
              </w:rPr>
              <m:t> </m:t>
            </m:r>
          </m:e>
        </m:d>
        <m:r>
          <m:rPr>
            <m:sty m:val="p"/>
          </m:rPr>
          <w:rPr>
            <w:rFonts w:ascii="Cambria Math" w:hAnsi="Cambria Math" w:cs="Times New Roman"/>
            <w:sz w:val="18"/>
            <w:szCs w:val="18"/>
          </w:rPr>
          <m:t>∈</m:t>
        </m:r>
        <m:sSup>
          <m:sSupPr>
            <m:ctrlPr>
              <w:rPr>
                <w:rFonts w:ascii="Cambria Math" w:hAnsi="Cambria Math" w:cs="Times New Roman"/>
                <w:sz w:val="18"/>
                <w:szCs w:val="18"/>
              </w:rPr>
            </m:ctrlPr>
          </m:sSupPr>
          <m:e>
            <m:r>
              <m:rPr>
                <m:scr m:val="double-struck"/>
                <m:sty m:val="p"/>
              </m:rPr>
              <w:rPr>
                <w:rFonts w:ascii="Cambria Math" w:hAnsi="Cambria Math" w:cs="Times New Roman"/>
                <w:sz w:val="18"/>
                <w:szCs w:val="18"/>
              </w:rPr>
              <m:t>R</m:t>
            </m:r>
          </m:e>
          <m:sup>
            <m:r>
              <m:rPr>
                <m:sty m:val="p"/>
              </m:rPr>
              <w:rPr>
                <w:rFonts w:ascii="Cambria Math" w:hAnsi="Cambria Math" w:cs="Times New Roman"/>
                <w:sz w:val="18"/>
                <w:szCs w:val="18"/>
              </w:rPr>
              <m:t>8</m:t>
            </m:r>
          </m:sup>
        </m:sSup>
      </m:oMath>
      <w:r>
        <w:rPr>
          <w:rFonts w:ascii="Times New Roman" w:hAnsi="Times New Roman" w:cs="Times New Roman"/>
          <w:b/>
          <w:sz w:val="18"/>
          <w:szCs w:val="18"/>
        </w:rPr>
        <w:t xml:space="preserve">  (8)</w:t>
      </w:r>
    </w:p>
    <w:p w14:paraId="7F90B7EF" w14:textId="23F93233"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where </w:t>
      </w:r>
      <m:oMath>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nor/>
              </m:rPr>
              <w:rPr>
                <w:rFonts w:ascii="Times New Roman" w:hAnsi="Times New Roman" w:cs="Times New Roman"/>
                <w:sz w:val="18"/>
                <w:szCs w:val="18"/>
              </w:rPr>
              <m:t>gray</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nor/>
              </m:rPr>
              <w:rPr>
                <w:rFonts w:ascii="Times New Roman" w:hAnsi="Times New Roman" w:cs="Times New Roman"/>
                <w:sz w:val="18"/>
                <w:szCs w:val="18"/>
              </w:rPr>
              <m:t>gray</m:t>
            </m:r>
          </m:sub>
        </m:sSub>
      </m:oMath>
      <w:r>
        <w:rPr>
          <w:rFonts w:ascii="Times New Roman" w:hAnsi="Times New Roman" w:cs="Times New Roman"/>
          <w:sz w:val="18"/>
          <w:szCs w:val="18"/>
        </w:rPr>
        <w:t xml:space="preserve"> are the mean and standard deviation of the grayscale image, </w:t>
      </w:r>
      <m:oMath>
        <m:acc>
          <m:accPr>
            <m:chr m:val="‾"/>
            <m:ctrlPr>
              <w:rPr>
                <w:rFonts w:ascii="Cambria Math" w:hAnsi="Cambria Math" w:cs="Times New Roman"/>
                <w:sz w:val="18"/>
                <w:szCs w:val="18"/>
              </w:rPr>
            </m:ctrlPr>
          </m:accPr>
          <m:e>
            <m:r>
              <m:rPr>
                <m:sty m:val="p"/>
              </m:rPr>
              <w:rPr>
                <w:rFonts w:ascii="Cambria Math" w:hAnsi="Cambria Math" w:cs="Times New Roman"/>
                <w:sz w:val="18"/>
                <w:szCs w:val="18"/>
              </w:rPr>
              <m:t>e</m:t>
            </m:r>
          </m:e>
        </m:acc>
      </m:oMath>
      <w:r>
        <w:rPr>
          <w:rFonts w:ascii="Times New Roman" w:hAnsi="Times New Roman" w:cs="Times New Roman"/>
          <w:sz w:val="18"/>
          <w:szCs w:val="18"/>
        </w:rPr>
        <w:t xml:space="preserve"> is the mean Sobel (</w:t>
      </w:r>
      <w:hyperlink w:anchor="ref-sobelfeldman1968">
        <w:r>
          <w:rPr>
            <w:rStyle w:val="Hyperlink"/>
            <w:rFonts w:ascii="Times New Roman" w:hAnsi="Times New Roman" w:cs="Times New Roman"/>
            <w:sz w:val="18"/>
            <w:szCs w:val="18"/>
          </w:rPr>
          <w:t>Sobel and Feldman 1968</w:t>
        </w:r>
      </w:hyperlink>
      <w:r>
        <w:rPr>
          <w:rFonts w:ascii="Times New Roman" w:hAnsi="Times New Roman" w:cs="Times New Roman"/>
          <w:sz w:val="18"/>
          <w:szCs w:val="18"/>
        </w:rPr>
        <w:t xml:space="preserve">) edge gradient magnitude, </w:t>
      </w:r>
      <m:oMath>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R</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G</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B</m:t>
            </m:r>
          </m:sub>
        </m:sSub>
      </m:oMath>
      <w:r>
        <w:rPr>
          <w:rFonts w:ascii="Times New Roman" w:hAnsi="Times New Roman" w:cs="Times New Roman"/>
          <w:sz w:val="18"/>
          <w:szCs w:val="18"/>
        </w:rPr>
        <w:t xml:space="preserve"> are per channel means, and </w:t>
      </w:r>
      <m:oMath>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nor/>
              </m:rPr>
              <w:rPr>
                <w:rFonts w:ascii="Times New Roman" w:hAnsi="Times New Roman" w:cs="Times New Roman"/>
                <w:sz w:val="18"/>
                <w:szCs w:val="18"/>
              </w:rPr>
              <m:t>NDVI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nor/>
              </m:rPr>
              <w:rPr>
                <w:rFonts w:ascii="Times New Roman" w:hAnsi="Times New Roman" w:cs="Times New Roman"/>
                <w:sz w:val="18"/>
                <w:szCs w:val="18"/>
              </w:rPr>
              <m:t>NDVI</m:t>
            </m:r>
          </m:sub>
        </m:sSub>
      </m:oMath>
      <w:r>
        <w:rPr>
          <w:rFonts w:ascii="Times New Roman" w:hAnsi="Times New Roman" w:cs="Times New Roman"/>
          <w:sz w:val="18"/>
          <w:szCs w:val="18"/>
        </w:rPr>
        <w:t xml:space="preserve"> are the mean and standard deviation of the NDVI proxy map. This descriptor  explicitly documented in the source as “the real, simple 8 dimensional colour/texture/NDVI descriptor,” not a learned embedding  is what powers every batch level analysis (PCA, k NN, K Means, similarity recommendation) at </w:t>
      </w:r>
      <m:oMath>
        <m:r>
          <m:rPr>
            <m:sty m:val="p"/>
          </m:rPr>
          <w:rPr>
            <w:rFonts w:ascii="Cambria Math" w:hAnsi="Cambria Math" w:cs="Times New Roman"/>
            <w:sz w:val="18"/>
            <w:szCs w:val="18"/>
          </w:rPr>
          <m:t>O</m:t>
        </m:r>
        <m:d>
          <m:dPr>
            <m:ctrlPr>
              <w:rPr>
                <w:rFonts w:ascii="Cambria Math" w:hAnsi="Cambria Math" w:cs="Times New Roman"/>
                <w:sz w:val="18"/>
                <w:szCs w:val="18"/>
              </w:rPr>
            </m:ctrlPr>
          </m:dPr>
          <m:e>
            <m:r>
              <m:rPr>
                <m:sty m:val="p"/>
              </m:rPr>
              <w:rPr>
                <w:rFonts w:ascii="Cambria Math" w:hAnsi="Cambria Math" w:cs="Times New Roman"/>
                <w:sz w:val="18"/>
                <w:szCs w:val="18"/>
              </w:rPr>
              <m:t>1</m:t>
            </m:r>
          </m:e>
        </m:d>
      </m:oMath>
      <w:r>
        <w:rPr>
          <w:rFonts w:ascii="Times New Roman" w:hAnsi="Times New Roman" w:cs="Times New Roman"/>
          <w:sz w:val="18"/>
          <w:szCs w:val="18"/>
        </w:rPr>
        <w:t xml:space="preserve"> storage per image, which is what makes those analyses tractable at the pipeline’s target batch sizes (up to ~2000 images) without keeping full resolution pixel data resident.</w:t>
      </w:r>
    </w:p>
    <w:p w14:paraId="6DED39BE" w14:textId="73EB5024"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Pairwise similarity.</w:t>
      </w:r>
      <w:r>
        <w:rPr>
          <w:rFonts w:ascii="Times New Roman" w:hAnsi="Times New Roman" w:cs="Times New Roman"/>
          <w:sz w:val="18"/>
          <w:szCs w:val="18"/>
        </w:rPr>
        <w:t xml:space="preserve"> For two descriptors </w:t>
      </w:r>
      <m:oMath>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rPr>
              <m:t>j</m:t>
            </m:r>
          </m:sub>
        </m:sSub>
      </m:oMath>
      <w:r>
        <w:rPr>
          <w:rFonts w:ascii="Times New Roman" w:hAnsi="Times New Roman" w:cs="Times New Roman"/>
          <w:sz w:val="18"/>
          <w:szCs w:val="18"/>
        </w:rPr>
        <w:t>, cosine similarity and Euclidean distance are computed as</w:t>
      </w:r>
    </w:p>
    <w:p w14:paraId="40CD19D8" w14:textId="17A4844D" w:rsidR="00DA00EE" w:rsidRPr="00E32832" w:rsidRDefault="00F84C4B" w:rsidP="00BA5D5D">
      <w:pPr>
        <w:pStyle w:val="BodyText"/>
        <w:jc w:val="both"/>
        <w:rPr>
          <w:rFonts w:ascii="Times New Roman" w:hAnsi="Times New Roman" w:cs="Times New Roman"/>
          <w:sz w:val="18"/>
          <w:szCs w:val="18"/>
          <w:lang w:val="pt-BR"/>
        </w:rPr>
      </w:pPr>
      <m:oMath>
        <m:r>
          <m:rPr>
            <m:nor/>
          </m:rPr>
          <w:rPr>
            <w:rFonts w:ascii="Times New Roman" w:hAnsi="Times New Roman" w:cs="Times New Roman"/>
            <w:sz w:val="18"/>
            <w:szCs w:val="18"/>
            <w:lang w:val="pt-BR"/>
          </w:rPr>
          <m:t>cos</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lang w:val="pt-BR"/>
                  </w:rPr>
                  <m:t>i</m:t>
                </m:r>
              </m:sub>
            </m:sSub>
            <m:r>
              <m:rPr>
                <m:sty m:val="p"/>
              </m:rPr>
              <w:rPr>
                <w:rFonts w:ascii="Cambria Math" w:hAnsi="Cambria Math" w:cs="Times New Roman"/>
                <w:sz w:val="18"/>
                <w:szCs w:val="18"/>
                <w:lang w:val="pt-BR"/>
              </w:rPr>
              <m:t>,</m:t>
            </m:r>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lang w:val="pt-BR"/>
                  </w:rPr>
                  <m:t>j</m:t>
                </m:r>
              </m:sub>
            </m:sSub>
          </m:e>
        </m:d>
        <m:r>
          <m:rPr>
            <m:sty m:val="p"/>
          </m:rPr>
          <w:rPr>
            <w:rFonts w:ascii="Cambria Math" w:hAnsi="Cambria Math" w:cs="Times New Roman"/>
            <w:sz w:val="18"/>
            <w:szCs w:val="18"/>
            <w:lang w:val="pt-BR"/>
          </w:rPr>
          <m:t>=</m:t>
        </m:r>
        <m:f>
          <m:fPr>
            <m:ctrlPr>
              <w:rPr>
                <w:rFonts w:ascii="Cambria Math" w:hAnsi="Cambria Math" w:cs="Times New Roman"/>
                <w:sz w:val="18"/>
                <w:szCs w:val="18"/>
              </w:rPr>
            </m:ctrlPr>
          </m:fPr>
          <m:num>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lang w:val="pt-BR"/>
                  </w:rPr>
                  <m:t>i</m:t>
                </m:r>
              </m:sub>
            </m:sSub>
            <m:r>
              <m:rPr>
                <m:sty m:val="p"/>
              </m:rPr>
              <w:rPr>
                <w:rFonts w:ascii="Cambria Math" w:hAnsi="Cambria Math" w:cs="Times New Roman"/>
                <w:sz w:val="18"/>
                <w:szCs w:val="18"/>
                <w:lang w:val="pt-BR"/>
              </w:rPr>
              <m:t>⋅</m:t>
            </m:r>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lang w:val="pt-BR"/>
                  </w:rPr>
                  <m:t>j</m:t>
                </m:r>
              </m:sub>
            </m:sSub>
          </m:num>
          <m:den>
            <m:r>
              <m:rPr>
                <m:sty m:val="p"/>
              </m:rPr>
              <w:rPr>
                <w:rFonts w:ascii="Cambria Math" w:hAnsi="Cambria Math" w:cs="Times New Roman"/>
                <w:sz w:val="18"/>
                <w:szCs w:val="18"/>
                <w:lang w:val="pt-BR"/>
              </w:rPr>
              <m:t>∥</m:t>
            </m:r>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lang w:val="pt-BR"/>
                  </w:rPr>
                  <m:t>i</m:t>
                </m:r>
              </m:sub>
            </m:sSub>
            <m:r>
              <m:rPr>
                <m:sty m:val="p"/>
              </m:rPr>
              <w:rPr>
                <w:rFonts w:ascii="Cambria Math" w:hAnsi="Cambria Math" w:cs="Times New Roman"/>
                <w:sz w:val="18"/>
                <w:szCs w:val="18"/>
                <w:lang w:val="pt-BR"/>
              </w:rPr>
              <m:t>∥∥</m:t>
            </m:r>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lang w:val="pt-BR"/>
                  </w:rPr>
                  <m:t>j</m:t>
                </m:r>
              </m:sub>
            </m:sSub>
            <m:r>
              <m:rPr>
                <m:sty m:val="p"/>
              </m:rPr>
              <w:rPr>
                <w:rFonts w:ascii="Cambria Math" w:hAnsi="Cambria Math" w:cs="Times New Roman"/>
                <w:sz w:val="18"/>
                <w:szCs w:val="18"/>
                <w:lang w:val="pt-BR"/>
              </w:rPr>
              <m:t>∥+</m:t>
            </m:r>
            <m:r>
              <m:rPr>
                <m:sty m:val="p"/>
              </m:rPr>
              <w:rPr>
                <w:rFonts w:ascii="Cambria Math" w:hAnsi="Cambria Math" w:cs="Times New Roman"/>
                <w:sz w:val="18"/>
                <w:szCs w:val="18"/>
              </w:rPr>
              <m:t>ϵ</m:t>
            </m:r>
          </m:den>
        </m:f>
        <m:r>
          <m:rPr>
            <m:sty m:val="p"/>
          </m:rPr>
          <w:rPr>
            <w:rFonts w:ascii="Cambria Math" w:hAnsi="Cambria Math" w:cs="Times New Roman"/>
            <w:sz w:val="18"/>
            <w:szCs w:val="18"/>
            <w:lang w:val="pt-BR"/>
          </w:rPr>
          <m:t>,  ∥</m:t>
        </m:r>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lang w:val="pt-BR"/>
              </w:rPr>
              <m:t>i</m:t>
            </m:r>
          </m:sub>
        </m:sSub>
        <m:r>
          <m:rPr>
            <m:sty m:val="p"/>
          </m:rPr>
          <w:rPr>
            <w:rFonts w:ascii="Cambria Math" w:hAnsi="Cambria Math" w:cs="Times New Roman"/>
            <w:sz w:val="18"/>
            <w:szCs w:val="18"/>
            <w:lang w:val="pt-BR"/>
          </w:rPr>
          <m:t>-</m:t>
        </m:r>
        <m:sSub>
          <m:sSubPr>
            <m:ctrlPr>
              <w:rPr>
                <w:rFonts w:ascii="Cambria Math" w:hAnsi="Cambria Math" w:cs="Times New Roman"/>
                <w:sz w:val="18"/>
                <w:szCs w:val="18"/>
              </w:rPr>
            </m:ctrlPr>
          </m:sSubPr>
          <m:e>
            <m:r>
              <m:rPr>
                <m:sty m:val="b"/>
              </m:rPr>
              <w:rPr>
                <w:rFonts w:ascii="Cambria Math" w:hAnsi="Cambria Math" w:cs="Times New Roman"/>
                <w:sz w:val="18"/>
                <w:szCs w:val="18"/>
              </w:rPr>
              <m:t>d</m:t>
            </m:r>
          </m:e>
          <m:sub>
            <m:r>
              <m:rPr>
                <m:sty m:val="p"/>
              </m:rPr>
              <w:rPr>
                <w:rFonts w:ascii="Cambria Math" w:hAnsi="Cambria Math" w:cs="Times New Roman"/>
                <w:sz w:val="18"/>
                <w:szCs w:val="18"/>
                <w:lang w:val="pt-BR"/>
              </w:rPr>
              <m:t>j</m:t>
            </m:r>
          </m:sub>
        </m:sSub>
        <m:sSub>
          <m:sSubPr>
            <m:ctrlPr>
              <w:rPr>
                <w:rFonts w:ascii="Cambria Math" w:hAnsi="Cambria Math" w:cs="Times New Roman"/>
                <w:sz w:val="18"/>
                <w:szCs w:val="18"/>
              </w:rPr>
            </m:ctrlPr>
          </m:sSubPr>
          <m:e>
            <m:r>
              <m:rPr>
                <m:sty m:val="p"/>
              </m:rPr>
              <w:rPr>
                <w:rFonts w:ascii="Cambria Math" w:hAnsi="Cambria Math" w:cs="Times New Roman"/>
                <w:sz w:val="18"/>
                <w:szCs w:val="18"/>
                <w:lang w:val="pt-BR"/>
              </w:rPr>
              <m:t>∥</m:t>
            </m:r>
          </m:e>
          <m:sub>
            <m:r>
              <m:rPr>
                <m:sty m:val="p"/>
              </m:rPr>
              <w:rPr>
                <w:rFonts w:ascii="Cambria Math" w:hAnsi="Cambria Math" w:cs="Times New Roman"/>
                <w:sz w:val="18"/>
                <w:szCs w:val="18"/>
                <w:lang w:val="pt-BR"/>
              </w:rPr>
              <m:t>2</m:t>
            </m:r>
          </m:sub>
        </m:sSub>
        <m:r>
          <m:rPr>
            <m:sty m:val="p"/>
          </m:rPr>
          <w:rPr>
            <w:rFonts w:ascii="Cambria Math" w:hAnsi="Cambria Math" w:cs="Times New Roman"/>
            <w:sz w:val="18"/>
            <w:szCs w:val="18"/>
            <w:lang w:val="pt-BR"/>
          </w:rPr>
          <m:t>=</m:t>
        </m:r>
        <m:rad>
          <m:radPr>
            <m:degHide m:val="1"/>
            <m:ctrlPr>
              <w:rPr>
                <w:rFonts w:ascii="Cambria Math" w:hAnsi="Cambria Math" w:cs="Times New Roman"/>
                <w:sz w:val="18"/>
                <w:szCs w:val="18"/>
              </w:rPr>
            </m:ctrlPr>
          </m:radPr>
          <m:deg/>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lang w:val="pt-BR"/>
                  </w:rPr>
                  <m:t>k</m:t>
                </m:r>
              </m:sub>
              <m:sup>
                <m:r>
                  <m:rPr>
                    <m:sty m:val="p"/>
                  </m:rPr>
                  <w:rPr>
                    <w:rFonts w:ascii="Cambria Math" w:hAnsi="Cambria Math" w:cs="Times New Roman"/>
                    <w:sz w:val="18"/>
                    <w:szCs w:val="18"/>
                    <w:lang w:val="pt-BR"/>
                  </w:rPr>
                  <m:t>​</m:t>
                </m:r>
              </m:sup>
              <m:e>
                <m:sSup>
                  <m:sSupPr>
                    <m:ctrlPr>
                      <w:rPr>
                        <w:rFonts w:ascii="Cambria Math" w:hAnsi="Cambria Math" w:cs="Times New Roman"/>
                        <w:sz w:val="18"/>
                        <w:szCs w:val="18"/>
                      </w:rPr>
                    </m:ctrlPr>
                  </m:sSupPr>
                  <m:e>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lang w:val="pt-BR"/>
                              </w:rPr>
                              <m:t>d</m:t>
                            </m:r>
                          </m:e>
                          <m:sub>
                            <m:r>
                              <m:rPr>
                                <m:sty m:val="p"/>
                              </m:rPr>
                              <w:rPr>
                                <w:rFonts w:ascii="Cambria Math" w:hAnsi="Cambria Math" w:cs="Times New Roman"/>
                                <w:sz w:val="18"/>
                                <w:szCs w:val="18"/>
                                <w:lang w:val="pt-BR"/>
                              </w:rPr>
                              <m:t>i,k</m:t>
                            </m:r>
                          </m:sub>
                        </m:sSub>
                        <m:r>
                          <m:rPr>
                            <m:sty m:val="p"/>
                          </m:rPr>
                          <w:rPr>
                            <w:rFonts w:ascii="Cambria Math" w:hAnsi="Cambria Math" w:cs="Times New Roman"/>
                            <w:sz w:val="18"/>
                            <w:szCs w:val="18"/>
                            <w:lang w:val="pt-BR"/>
                          </w:rPr>
                          <m:t>-</m:t>
                        </m:r>
                        <m:sSub>
                          <m:sSubPr>
                            <m:ctrlPr>
                              <w:rPr>
                                <w:rFonts w:ascii="Cambria Math" w:hAnsi="Cambria Math" w:cs="Times New Roman"/>
                                <w:sz w:val="18"/>
                                <w:szCs w:val="18"/>
                              </w:rPr>
                            </m:ctrlPr>
                          </m:sSubPr>
                          <m:e>
                            <m:r>
                              <m:rPr>
                                <m:sty m:val="p"/>
                              </m:rPr>
                              <w:rPr>
                                <w:rFonts w:ascii="Cambria Math" w:hAnsi="Cambria Math" w:cs="Times New Roman"/>
                                <w:sz w:val="18"/>
                                <w:szCs w:val="18"/>
                                <w:lang w:val="pt-BR"/>
                              </w:rPr>
                              <m:t>d</m:t>
                            </m:r>
                          </m:e>
                          <m:sub>
                            <m:r>
                              <m:rPr>
                                <m:sty m:val="p"/>
                              </m:rPr>
                              <w:rPr>
                                <w:rFonts w:ascii="Cambria Math" w:hAnsi="Cambria Math" w:cs="Times New Roman"/>
                                <w:sz w:val="18"/>
                                <w:szCs w:val="18"/>
                                <w:lang w:val="pt-BR"/>
                              </w:rPr>
                              <m:t>j,k</m:t>
                            </m:r>
                          </m:sub>
                        </m:sSub>
                      </m:e>
                    </m:d>
                  </m:e>
                  <m:sup>
                    <m:r>
                      <m:rPr>
                        <m:sty m:val="p"/>
                      </m:rPr>
                      <w:rPr>
                        <w:rFonts w:ascii="Cambria Math" w:hAnsi="Cambria Math" w:cs="Times New Roman"/>
                        <w:sz w:val="18"/>
                        <w:szCs w:val="18"/>
                        <w:lang w:val="pt-BR"/>
                      </w:rPr>
                      <m:t>2</m:t>
                    </m:r>
                  </m:sup>
                </m:sSup>
              </m:e>
            </m:nary>
          </m:e>
        </m:rad>
      </m:oMath>
      <w:r>
        <w:rPr>
          <w:rFonts w:ascii="Times New Roman" w:hAnsi="Times New Roman" w:cs="Times New Roman"/>
          <w:b/>
          <w:sz w:val="18"/>
          <w:szCs w:val="18"/>
          <w:lang w:val="pt-BR"/>
        </w:rPr>
        <w:t xml:space="preserve">  (9)</w:t>
      </w:r>
    </w:p>
    <w:p w14:paraId="17655BFF"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which underlies both the cross image similarity recommendation panel (“if image 3 was confirmed diseased, image 7’s descriptor is most similar and may be worth inspecting next”) and the intra /inter class similarity diagnostic, the latter of which is reported only when the user has entered two or more group labels via the Field &amp; Sensor Data panel and is otherwise returned as </w:t>
      </w:r>
      <w:r>
        <w:rPr>
          <w:rStyle w:val="VerbatimChar"/>
          <w:rFonts w:ascii="Times New Roman" w:hAnsi="Times New Roman" w:cs="Times New Roman"/>
          <w:sz w:val="18"/>
          <w:szCs w:val="18"/>
        </w:rPr>
        <w:t>N/A</w:t>
      </w:r>
      <w:r>
        <w:rPr>
          <w:rFonts w:ascii="Times New Roman" w:hAnsi="Times New Roman" w:cs="Times New Roman"/>
          <w:sz w:val="18"/>
          <w:szCs w:val="18"/>
        </w:rPr>
        <w:t xml:space="preserve"> rather than a fabricated pair of numbers.</w:t>
      </w:r>
    </w:p>
    <w:p w14:paraId="26870806" w14:textId="0D730C33"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Invariance testing.</w:t>
      </w:r>
      <w:r>
        <w:rPr>
          <w:rFonts w:ascii="Times New Roman" w:hAnsi="Times New Roman" w:cs="Times New Roman"/>
          <w:sz w:val="18"/>
          <w:szCs w:val="18"/>
        </w:rPr>
        <w:t xml:space="preserve"> To characterise how stable the descriptor is under transformations a real camera might introduce, the module recomputes </w:t>
      </w:r>
      <m:oMath>
        <m:r>
          <m:rPr>
            <m:sty m:val="b"/>
          </m:rPr>
          <w:rPr>
            <w:rFonts w:ascii="Cambria Math" w:hAnsi="Cambria Math" w:cs="Times New Roman"/>
            <w:sz w:val="18"/>
            <w:szCs w:val="18"/>
          </w:rPr>
          <m:t>d</m:t>
        </m:r>
      </m:oMath>
      <w:r>
        <w:rPr>
          <w:rFonts w:ascii="Times New Roman" w:hAnsi="Times New Roman" w:cs="Times New Roman"/>
          <w:sz w:val="18"/>
          <w:szCs w:val="18"/>
        </w:rPr>
        <w:t xml:space="preserve"> after applying six real geometric transforms  90° rotation, 180° rotation, horizontal flip, vertical flip, a centre crop standing in for a scale/viewpoint change, and a pixel roll standing </w:t>
      </w:r>
      <w:r>
        <w:rPr>
          <w:rFonts w:ascii="Times New Roman" w:hAnsi="Times New Roman" w:cs="Times New Roman"/>
          <w:sz w:val="18"/>
          <w:szCs w:val="18"/>
        </w:rPr>
        <w:lastRenderedPageBreak/>
        <w:t>in for translation  and reports the cosine similarity of each transformed descriptor to the original:</w:t>
      </w:r>
    </w:p>
    <w:p w14:paraId="254BA579" w14:textId="4DC92271" w:rsidR="00DA00EE" w:rsidRPr="00E32832" w:rsidRDefault="00000000" w:rsidP="00BA5D5D">
      <w:pPr>
        <w:pStyle w:val="BodyText"/>
        <w:jc w:val="both"/>
        <w:rPr>
          <w:rFonts w:ascii="Times New Roman" w:hAnsi="Times New Roman" w:cs="Times New Roman"/>
          <w:sz w:val="18"/>
          <w:szCs w:val="18"/>
        </w:rPr>
      </w:pPr>
      <m:oMath>
        <m:sSub>
          <m:sSubPr>
            <m:ctrlPr>
              <w:rPr>
                <w:rFonts w:ascii="Cambria Math" w:hAnsi="Cambria Math" w:cs="Times New Roman"/>
                <w:sz w:val="18"/>
                <w:szCs w:val="18"/>
              </w:rPr>
            </m:ctrlPr>
          </m:sSubPr>
          <m:e>
            <m:r>
              <m:rPr>
                <m:nor/>
              </m:rPr>
              <w:rPr>
                <w:rFonts w:ascii="Times New Roman" w:hAnsi="Times New Roman" w:cs="Times New Roman"/>
                <w:sz w:val="18"/>
                <w:szCs w:val="18"/>
              </w:rPr>
              <m:t>Invariance</m:t>
            </m:r>
          </m:e>
          <m:sub>
            <m:r>
              <m:rPr>
                <m:sty m:val="p"/>
              </m:rPr>
              <w:rPr>
                <w:rFonts w:ascii="Cambria Math" w:hAnsi="Cambria Math" w:cs="Times New Roman"/>
                <w:sz w:val="18"/>
                <w:szCs w:val="18"/>
              </w:rPr>
              <m:t>t</m:t>
            </m:r>
          </m:sub>
        </m:sSub>
        <m:r>
          <m:rPr>
            <m:sty m:val="p"/>
          </m:rPr>
          <w:rPr>
            <w:rFonts w:ascii="Cambria Math" w:hAnsi="Cambria Math" w:cs="Times New Roman"/>
            <w:sz w:val="18"/>
            <w:szCs w:val="18"/>
          </w:rPr>
          <m:t>=cos​</m:t>
        </m:r>
        <m:d>
          <m:dPr>
            <m:ctrlPr>
              <w:rPr>
                <w:rFonts w:ascii="Cambria Math" w:hAnsi="Cambria Math" w:cs="Times New Roman"/>
                <w:sz w:val="18"/>
                <w:szCs w:val="18"/>
              </w:rPr>
            </m:ctrlPr>
          </m:dPr>
          <m:e>
            <m:r>
              <m:rPr>
                <m:sty m:val="b"/>
              </m:rPr>
              <w:rPr>
                <w:rFonts w:ascii="Cambria Math" w:hAnsi="Cambria Math" w:cs="Times New Roman"/>
                <w:sz w:val="18"/>
                <w:szCs w:val="18"/>
              </w:rPr>
              <m:t>d</m:t>
            </m:r>
            <m:d>
              <m:dPr>
                <m:ctrlPr>
                  <w:rPr>
                    <w:rFonts w:ascii="Cambria Math" w:hAnsi="Cambria Math" w:cs="Times New Roman"/>
                    <w:sz w:val="18"/>
                    <w:szCs w:val="18"/>
                  </w:rPr>
                </m:ctrlPr>
              </m:dPr>
              <m:e>
                <m:r>
                  <m:rPr>
                    <m:sty m:val="p"/>
                  </m:rPr>
                  <w:rPr>
                    <w:rFonts w:ascii="Cambria Math" w:hAnsi="Cambria Math" w:cs="Times New Roman"/>
                    <w:sz w:val="18"/>
                    <w:szCs w:val="18"/>
                  </w:rPr>
                  <m:t>I</m:t>
                </m:r>
              </m:e>
            </m:d>
            <m:r>
              <m:rPr>
                <m:sty m:val="p"/>
              </m:rPr>
              <w:rPr>
                <w:rFonts w:ascii="Cambria Math" w:hAnsi="Cambria Math" w:cs="Times New Roman"/>
                <w:sz w:val="18"/>
                <w:szCs w:val="18"/>
              </w:rPr>
              <m:t>, </m:t>
            </m:r>
            <m:r>
              <m:rPr>
                <m:sty m:val="b"/>
              </m:rPr>
              <w:rPr>
                <w:rFonts w:ascii="Cambria Math" w:hAnsi="Cambria Math" w:cs="Times New Roman"/>
                <w:sz w:val="18"/>
                <w:szCs w:val="18"/>
              </w:rPr>
              <m:t>d</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T</m:t>
                    </m:r>
                  </m:e>
                  <m:sub>
                    <m:r>
                      <m:rPr>
                        <m:sty m:val="p"/>
                      </m:rPr>
                      <w:rPr>
                        <w:rFonts w:ascii="Cambria Math" w:hAnsi="Cambria Math" w:cs="Times New Roman"/>
                        <w:sz w:val="18"/>
                        <w:szCs w:val="18"/>
                      </w:rPr>
                      <m:t>t</m:t>
                    </m:r>
                  </m:sub>
                </m:sSub>
                <m:d>
                  <m:dPr>
                    <m:ctrlPr>
                      <w:rPr>
                        <w:rFonts w:ascii="Cambria Math" w:hAnsi="Cambria Math" w:cs="Times New Roman"/>
                        <w:sz w:val="18"/>
                        <w:szCs w:val="18"/>
                      </w:rPr>
                    </m:ctrlPr>
                  </m:dPr>
                  <m:e>
                    <m:r>
                      <m:rPr>
                        <m:sty m:val="p"/>
                      </m:rPr>
                      <w:rPr>
                        <w:rFonts w:ascii="Cambria Math" w:hAnsi="Cambria Math" w:cs="Times New Roman"/>
                        <w:sz w:val="18"/>
                        <w:szCs w:val="18"/>
                      </w:rPr>
                      <m:t>I</m:t>
                    </m:r>
                  </m:e>
                </m:d>
              </m:e>
            </m:d>
          </m:e>
        </m:d>
        <m:r>
          <m:rPr>
            <m:sty m:val="p"/>
          </m:rPr>
          <w:rPr>
            <w:rFonts w:ascii="Cambria Math" w:hAnsi="Cambria Math" w:cs="Times New Roman"/>
            <w:sz w:val="18"/>
            <w:szCs w:val="18"/>
          </w:rPr>
          <m:t>,  t∈{</m:t>
        </m:r>
        <m:r>
          <m:rPr>
            <m:nor/>
          </m:rPr>
          <w:rPr>
            <w:rFonts w:ascii="Times New Roman" w:hAnsi="Times New Roman" w:cs="Times New Roman"/>
            <w:sz w:val="18"/>
            <w:szCs w:val="18"/>
          </w:rPr>
          <m:t>rot90, rot180, flipH, flipV, crop, shift</m:t>
        </m:r>
        <m:r>
          <m:rPr>
            <m:sty m:val="p"/>
          </m:rPr>
          <w:rPr>
            <w:rFonts w:ascii="Cambria Math" w:hAnsi="Cambria Math" w:cs="Times New Roman"/>
            <w:sz w:val="18"/>
            <w:szCs w:val="18"/>
          </w:rPr>
          <m:t>}</m:t>
        </m:r>
      </m:oMath>
      <w:r>
        <w:rPr>
          <w:rFonts w:ascii="Times New Roman" w:hAnsi="Times New Roman" w:cs="Times New Roman"/>
          <w:b/>
          <w:sz w:val="18"/>
          <w:szCs w:val="18"/>
        </w:rPr>
        <w:t xml:space="preserve">  (10)</w:t>
      </w:r>
    </w:p>
    <w:p w14:paraId="6217DDE2" w14:textId="77777777"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Values near 1.0 indicate that the descriptor is largely unaffected by that transform; values further from 1.0 indicate sensitivity. Figure 3C reports these six values for one demonstration image; as expected for a colour/texture/vegetation index descriptor without any learned rotational invariance mechanism, sensitivity is visibly higher for the crop/shift transforms (which alter the spatial statistics the descriptor summarises) than for pure flips (which largely preserve global colour and texture statistics).</w:t>
      </w:r>
    </w:p>
    <w:p w14:paraId="48A81984" w14:textId="2B4E10B4"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 xml:space="preserve">Contrastive loss mechanics (InfoNCE style; </w:t>
      </w:r>
      <w:hyperlink w:anchor="ref-vandenoord2018">
        <w:r>
          <w:rPr>
            <w:rStyle w:val="Hyperlink"/>
            <w:rFonts w:ascii="Times New Roman" w:hAnsi="Times New Roman" w:cs="Times New Roman"/>
            <w:sz w:val="18"/>
            <w:szCs w:val="18"/>
          </w:rPr>
          <w:t>van den Oord, Li, and Vinyals 2018</w:t>
        </w:r>
      </w:hyperlink>
      <w:r>
        <w:rPr>
          <w:rFonts w:ascii="Times New Roman" w:hAnsi="Times New Roman" w:cs="Times New Roman"/>
          <w:sz w:val="18"/>
          <w:szCs w:val="18"/>
        </w:rPr>
        <w:t xml:space="preserve">). To demonstrate  mechanically, not as a trained model claim  how a contrastive loss of the kind used in self supervised representation learning behaves on this pipeline’s real descriptors, the module treats an image and its horizontal flip as a genuine positive pair, and a small  set of Gaussian jittered copies of the anchor descriptor as stand in negatives (since no true batch of distinct instances/augmentations is otherwise available inside a single image, single session tool). With temperature </w:t>
      </w:r>
      <m:oMath>
        <m:r>
          <m:rPr>
            <m:sty m:val="p"/>
          </m:rPr>
          <w:rPr>
            <w:rFonts w:ascii="Cambria Math" w:hAnsi="Cambria Math" w:cs="Times New Roman"/>
            <w:sz w:val="18"/>
            <w:szCs w:val="18"/>
          </w:rPr>
          <m:t>τ</m:t>
        </m:r>
      </m:oMath>
      <w:r>
        <w:rPr>
          <w:rFonts w:ascii="Times New Roman" w:hAnsi="Times New Roman" w:cs="Times New Roman"/>
          <w:sz w:val="18"/>
          <w:szCs w:val="18"/>
        </w:rPr>
        <w:t xml:space="preserve">, anchor </w:t>
      </w:r>
      <m:oMath>
        <m:r>
          <m:rPr>
            <m:sty m:val="b"/>
          </m:rPr>
          <w:rPr>
            <w:rFonts w:ascii="Cambria Math" w:hAnsi="Cambria Math" w:cs="Times New Roman"/>
            <w:sz w:val="18"/>
            <w:szCs w:val="18"/>
          </w:rPr>
          <m:t>a</m:t>
        </m:r>
      </m:oMath>
      <w:r>
        <w:rPr>
          <w:rFonts w:ascii="Times New Roman" w:hAnsi="Times New Roman" w:cs="Times New Roman"/>
          <w:sz w:val="18"/>
          <w:szCs w:val="18"/>
        </w:rPr>
        <w:t xml:space="preserve">, positive </w:t>
      </w:r>
      <m:oMath>
        <m:r>
          <m:rPr>
            <m:sty m:val="b"/>
          </m:rPr>
          <w:rPr>
            <w:rFonts w:ascii="Cambria Math" w:hAnsi="Cambria Math" w:cs="Times New Roman"/>
            <w:sz w:val="18"/>
            <w:szCs w:val="18"/>
          </w:rPr>
          <m:t>p</m:t>
        </m:r>
      </m:oMath>
      <w:r>
        <w:rPr>
          <w:rFonts w:ascii="Times New Roman" w:hAnsi="Times New Roman" w:cs="Times New Roman"/>
          <w:sz w:val="18"/>
          <w:szCs w:val="18"/>
        </w:rPr>
        <w:t xml:space="preserve">, and negatives </w:t>
      </w:r>
      <m:oMath>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b"/>
              </m:rPr>
              <w:rPr>
                <w:rFonts w:ascii="Cambria Math" w:hAnsi="Cambria Math" w:cs="Times New Roman"/>
                <w:sz w:val="18"/>
                <w:szCs w:val="18"/>
              </w:rPr>
              <m:t>n</m:t>
            </m:r>
          </m:e>
          <m:sub>
            <m:r>
              <m:rPr>
                <m:sty m:val="p"/>
              </m:rPr>
              <w:rPr>
                <w:rFonts w:ascii="Cambria Math" w:hAnsi="Cambria Math" w:cs="Times New Roman"/>
                <w:sz w:val="18"/>
                <w:szCs w:val="18"/>
              </w:rPr>
              <m:t>m</m:t>
            </m:r>
          </m:sub>
        </m:sSub>
        <m:sSubSup>
          <m:sSubSupPr>
            <m:ctrlPr>
              <w:rPr>
                <w:rFonts w:ascii="Cambria Math" w:hAnsi="Cambria Math" w:cs="Times New Roman"/>
                <w:sz w:val="18"/>
                <w:szCs w:val="18"/>
              </w:rPr>
            </m:ctrlPr>
          </m:sSubSupPr>
          <m:e>
            <m:r>
              <m:rPr>
                <m:sty m:val="p"/>
              </m:rPr>
              <w:rPr>
                <w:rFonts w:ascii="Cambria Math" w:hAnsi="Cambria Math" w:cs="Times New Roman"/>
                <w:sz w:val="18"/>
                <w:szCs w:val="18"/>
              </w:rPr>
              <m:t>}</m:t>
            </m:r>
          </m:e>
          <m:sub>
            <m:r>
              <m:rPr>
                <m:sty m:val="p"/>
              </m:rPr>
              <w:rPr>
                <w:rFonts w:ascii="Cambria Math" w:hAnsi="Cambria Math" w:cs="Times New Roman"/>
                <w:sz w:val="18"/>
                <w:szCs w:val="18"/>
              </w:rPr>
              <m:t>m=1</m:t>
            </m:r>
          </m:sub>
          <m:sup>
            <m:r>
              <m:rPr>
                <m:sty m:val="p"/>
              </m:rPr>
              <w:rPr>
                <w:rFonts w:ascii="Cambria Math" w:hAnsi="Cambria Math" w:cs="Times New Roman"/>
                <w:sz w:val="18"/>
                <w:szCs w:val="18"/>
              </w:rPr>
              <m:t>M</m:t>
            </m:r>
          </m:sup>
        </m:sSubSup>
      </m:oMath>
      <w:r>
        <w:rPr>
          <w:rFonts w:ascii="Times New Roman" w:hAnsi="Times New Roman" w:cs="Times New Roman"/>
          <w:sz w:val="18"/>
          <w:szCs w:val="18"/>
        </w:rPr>
        <w:t>:</w:t>
      </w:r>
    </w:p>
    <w:p w14:paraId="73E7C4CD" w14:textId="6BE3F9DC" w:rsidR="00DA00EE" w:rsidRPr="00E32832" w:rsidRDefault="00000000" w:rsidP="00BA5D5D">
      <w:pPr>
        <w:pStyle w:val="BodyText"/>
        <w:jc w:val="both"/>
        <w:rPr>
          <w:rFonts w:ascii="Times New Roman" w:hAnsi="Times New Roman" w:cs="Times New Roman"/>
          <w:sz w:val="18"/>
          <w:szCs w:val="18"/>
          <w:lang w:val="pt-BR"/>
        </w:rPr>
      </w:pPr>
      <m:oMath>
        <m:sSub>
          <m:sSubPr>
            <m:ctrlPr>
              <w:rPr>
                <w:rFonts w:ascii="Cambria Math" w:hAnsi="Cambria Math" w:cs="Times New Roman"/>
                <w:sz w:val="18"/>
                <w:szCs w:val="18"/>
              </w:rPr>
            </m:ctrlPr>
          </m:sSubPr>
          <m:e>
            <m:r>
              <m:rPr>
                <m:scr m:val="script"/>
                <m:sty m:val="p"/>
              </m:rPr>
              <w:rPr>
                <w:rFonts w:ascii="Cambria Math" w:hAnsi="Cambria Math" w:cs="Times New Roman"/>
                <w:sz w:val="18"/>
                <w:szCs w:val="18"/>
                <w:lang w:val="pt-BR"/>
              </w:rPr>
              <m:t>L</m:t>
            </m:r>
          </m:e>
          <m:sub>
            <m:r>
              <m:rPr>
                <m:nor/>
              </m:rPr>
              <w:rPr>
                <w:rFonts w:ascii="Times New Roman" w:hAnsi="Times New Roman" w:cs="Times New Roman"/>
                <w:sz w:val="18"/>
                <w:szCs w:val="18"/>
                <w:lang w:val="pt-BR"/>
              </w:rPr>
              <m:t>InfoNCE</m:t>
            </m:r>
          </m:sub>
        </m:sSub>
        <m:r>
          <m:rPr>
            <m:sty m:val="p"/>
          </m:rPr>
          <w:rPr>
            <w:rFonts w:ascii="Cambria Math" w:hAnsi="Cambria Math" w:cs="Times New Roman"/>
            <w:sz w:val="18"/>
            <w:szCs w:val="18"/>
            <w:lang w:val="pt-BR"/>
          </w:rPr>
          <m:t>=-log</m:t>
        </m:r>
        <m:f>
          <m:fPr>
            <m:ctrlPr>
              <w:rPr>
                <w:rFonts w:ascii="Cambria Math" w:hAnsi="Cambria Math" w:cs="Times New Roman"/>
                <w:sz w:val="18"/>
                <w:szCs w:val="18"/>
              </w:rPr>
            </m:ctrlPr>
          </m:fPr>
          <m:num>
            <m:r>
              <m:rPr>
                <m:sty m:val="p"/>
              </m:rPr>
              <w:rPr>
                <w:rFonts w:ascii="Cambria Math" w:hAnsi="Cambria Math" w:cs="Times New Roman"/>
                <w:sz w:val="18"/>
                <w:szCs w:val="18"/>
                <w:lang w:val="pt-BR"/>
              </w:rPr>
              <m:t>exp</m:t>
            </m:r>
            <m:d>
              <m:dPr>
                <m:ctrlPr>
                  <w:rPr>
                    <w:rFonts w:ascii="Cambria Math" w:hAnsi="Cambria Math" w:cs="Times New Roman"/>
                    <w:sz w:val="18"/>
                    <w:szCs w:val="18"/>
                  </w:rPr>
                </m:ctrlPr>
              </m:dPr>
              <m:e>
                <m:r>
                  <m:rPr>
                    <m:sty m:val="p"/>
                  </m:rPr>
                  <w:rPr>
                    <w:rFonts w:ascii="Cambria Math" w:hAnsi="Cambria Math" w:cs="Times New Roman"/>
                    <w:sz w:val="18"/>
                    <w:szCs w:val="18"/>
                    <w:lang w:val="pt-BR"/>
                  </w:rPr>
                  <m:t>cos</m:t>
                </m:r>
                <m:d>
                  <m:dPr>
                    <m:ctrlPr>
                      <w:rPr>
                        <w:rFonts w:ascii="Cambria Math" w:hAnsi="Cambria Math" w:cs="Times New Roman"/>
                        <w:sz w:val="18"/>
                        <w:szCs w:val="18"/>
                      </w:rPr>
                    </m:ctrlPr>
                  </m:dPr>
                  <m:e>
                    <m:r>
                      <m:rPr>
                        <m:sty m:val="b"/>
                      </m:rPr>
                      <w:rPr>
                        <w:rFonts w:ascii="Cambria Math" w:hAnsi="Cambria Math" w:cs="Times New Roman"/>
                        <w:sz w:val="18"/>
                        <w:szCs w:val="18"/>
                      </w:rPr>
                      <m:t>a</m:t>
                    </m:r>
                    <m:r>
                      <m:rPr>
                        <m:sty m:val="p"/>
                      </m:rPr>
                      <w:rPr>
                        <w:rFonts w:ascii="Cambria Math" w:hAnsi="Cambria Math" w:cs="Times New Roman"/>
                        <w:sz w:val="18"/>
                        <w:szCs w:val="18"/>
                        <w:lang w:val="pt-BR"/>
                      </w:rPr>
                      <m:t>,</m:t>
                    </m:r>
                    <m:r>
                      <m:rPr>
                        <m:sty m:val="b"/>
                      </m:rPr>
                      <w:rPr>
                        <w:rFonts w:ascii="Cambria Math" w:hAnsi="Cambria Math" w:cs="Times New Roman"/>
                        <w:sz w:val="18"/>
                        <w:szCs w:val="18"/>
                      </w:rPr>
                      <m:t>p</m:t>
                    </m:r>
                  </m:e>
                </m:d>
                <m:r>
                  <m:rPr>
                    <m:sty m:val="p"/>
                  </m:rPr>
                  <w:rPr>
                    <w:rFonts w:ascii="Cambria Math" w:hAnsi="Cambria Math" w:cs="Times New Roman"/>
                    <w:sz w:val="18"/>
                    <w:szCs w:val="18"/>
                    <w:lang w:val="pt-BR"/>
                  </w:rPr>
                  <m:t>/</m:t>
                </m:r>
                <m:r>
                  <m:rPr>
                    <m:sty m:val="p"/>
                  </m:rPr>
                  <w:rPr>
                    <w:rFonts w:ascii="Cambria Math" w:hAnsi="Cambria Math" w:cs="Times New Roman"/>
                    <w:sz w:val="18"/>
                    <w:szCs w:val="18"/>
                  </w:rPr>
                  <m:t>τ</m:t>
                </m:r>
              </m:e>
            </m:d>
          </m:num>
          <m:den>
            <m:r>
              <m:rPr>
                <m:sty m:val="p"/>
              </m:rPr>
              <w:rPr>
                <w:rFonts w:ascii="Cambria Math" w:hAnsi="Cambria Math" w:cs="Times New Roman"/>
                <w:sz w:val="18"/>
                <w:szCs w:val="18"/>
                <w:lang w:val="pt-BR"/>
              </w:rPr>
              <m:t>exp</m:t>
            </m:r>
            <m:d>
              <m:dPr>
                <m:ctrlPr>
                  <w:rPr>
                    <w:rFonts w:ascii="Cambria Math" w:hAnsi="Cambria Math" w:cs="Times New Roman"/>
                    <w:sz w:val="18"/>
                    <w:szCs w:val="18"/>
                  </w:rPr>
                </m:ctrlPr>
              </m:dPr>
              <m:e>
                <m:r>
                  <m:rPr>
                    <m:sty m:val="p"/>
                  </m:rPr>
                  <w:rPr>
                    <w:rFonts w:ascii="Cambria Math" w:hAnsi="Cambria Math" w:cs="Times New Roman"/>
                    <w:sz w:val="18"/>
                    <w:szCs w:val="18"/>
                    <w:lang w:val="pt-BR"/>
                  </w:rPr>
                  <m:t>cos</m:t>
                </m:r>
                <m:d>
                  <m:dPr>
                    <m:ctrlPr>
                      <w:rPr>
                        <w:rFonts w:ascii="Cambria Math" w:hAnsi="Cambria Math" w:cs="Times New Roman"/>
                        <w:sz w:val="18"/>
                        <w:szCs w:val="18"/>
                      </w:rPr>
                    </m:ctrlPr>
                  </m:dPr>
                  <m:e>
                    <m:r>
                      <m:rPr>
                        <m:sty m:val="b"/>
                      </m:rPr>
                      <w:rPr>
                        <w:rFonts w:ascii="Cambria Math" w:hAnsi="Cambria Math" w:cs="Times New Roman"/>
                        <w:sz w:val="18"/>
                        <w:szCs w:val="18"/>
                      </w:rPr>
                      <m:t>a</m:t>
                    </m:r>
                    <m:r>
                      <m:rPr>
                        <m:sty m:val="p"/>
                      </m:rPr>
                      <w:rPr>
                        <w:rFonts w:ascii="Cambria Math" w:hAnsi="Cambria Math" w:cs="Times New Roman"/>
                        <w:sz w:val="18"/>
                        <w:szCs w:val="18"/>
                        <w:lang w:val="pt-BR"/>
                      </w:rPr>
                      <m:t>,</m:t>
                    </m:r>
                    <m:r>
                      <m:rPr>
                        <m:sty m:val="b"/>
                      </m:rPr>
                      <w:rPr>
                        <w:rFonts w:ascii="Cambria Math" w:hAnsi="Cambria Math" w:cs="Times New Roman"/>
                        <w:sz w:val="18"/>
                        <w:szCs w:val="18"/>
                      </w:rPr>
                      <m:t>p</m:t>
                    </m:r>
                  </m:e>
                </m:d>
                <m:r>
                  <m:rPr>
                    <m:sty m:val="p"/>
                  </m:rPr>
                  <w:rPr>
                    <w:rFonts w:ascii="Cambria Math" w:hAnsi="Cambria Math" w:cs="Times New Roman"/>
                    <w:sz w:val="18"/>
                    <w:szCs w:val="18"/>
                    <w:lang w:val="pt-BR"/>
                  </w:rPr>
                  <m:t>/</m:t>
                </m:r>
                <m:r>
                  <m:rPr>
                    <m:sty m:val="p"/>
                  </m:rPr>
                  <w:rPr>
                    <w:rFonts w:ascii="Cambria Math" w:hAnsi="Cambria Math" w:cs="Times New Roman"/>
                    <w:sz w:val="18"/>
                    <w:szCs w:val="18"/>
                  </w:rPr>
                  <m:t>τ</m:t>
                </m:r>
              </m:e>
            </m:d>
            <m:r>
              <m:rPr>
                <m:sty m:val="p"/>
              </m:rPr>
              <w:rPr>
                <w:rFonts w:ascii="Cambria Math" w:hAnsi="Cambria Math" w:cs="Times New Roman"/>
                <w:sz w:val="18"/>
                <w:szCs w:val="18"/>
                <w:lang w:val="pt-BR"/>
              </w:rPr>
              <m:t>+</m:t>
            </m:r>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lang w:val="pt-BR"/>
                  </w:rPr>
                  <m:t>m=1</m:t>
                </m:r>
              </m:sub>
              <m:sup>
                <m:r>
                  <m:rPr>
                    <m:sty m:val="p"/>
                  </m:rPr>
                  <w:rPr>
                    <w:rFonts w:ascii="Cambria Math" w:hAnsi="Cambria Math" w:cs="Times New Roman"/>
                    <w:sz w:val="18"/>
                    <w:szCs w:val="18"/>
                    <w:lang w:val="pt-BR"/>
                  </w:rPr>
                  <m:t>M</m:t>
                </m:r>
              </m:sup>
              <m:e>
                <m:r>
                  <m:rPr>
                    <m:sty m:val="p"/>
                  </m:rPr>
                  <w:rPr>
                    <w:rFonts w:ascii="Cambria Math" w:hAnsi="Cambria Math" w:cs="Times New Roman"/>
                    <w:sz w:val="18"/>
                    <w:szCs w:val="18"/>
                    <w:lang w:val="pt-BR"/>
                  </w:rPr>
                  <m:t>exp</m:t>
                </m:r>
              </m:e>
            </m:nary>
            <m:d>
              <m:dPr>
                <m:ctrlPr>
                  <w:rPr>
                    <w:rFonts w:ascii="Cambria Math" w:hAnsi="Cambria Math" w:cs="Times New Roman"/>
                    <w:sz w:val="18"/>
                    <w:szCs w:val="18"/>
                  </w:rPr>
                </m:ctrlPr>
              </m:dPr>
              <m:e>
                <m:r>
                  <m:rPr>
                    <m:sty m:val="p"/>
                  </m:rPr>
                  <w:rPr>
                    <w:rFonts w:ascii="Cambria Math" w:hAnsi="Cambria Math" w:cs="Times New Roman"/>
                    <w:sz w:val="18"/>
                    <w:szCs w:val="18"/>
                    <w:lang w:val="pt-BR"/>
                  </w:rPr>
                  <m:t>cos</m:t>
                </m:r>
                <m:d>
                  <m:dPr>
                    <m:ctrlPr>
                      <w:rPr>
                        <w:rFonts w:ascii="Cambria Math" w:hAnsi="Cambria Math" w:cs="Times New Roman"/>
                        <w:sz w:val="18"/>
                        <w:szCs w:val="18"/>
                      </w:rPr>
                    </m:ctrlPr>
                  </m:dPr>
                  <m:e>
                    <m:r>
                      <m:rPr>
                        <m:sty m:val="b"/>
                      </m:rPr>
                      <w:rPr>
                        <w:rFonts w:ascii="Cambria Math" w:hAnsi="Cambria Math" w:cs="Times New Roman"/>
                        <w:sz w:val="18"/>
                        <w:szCs w:val="18"/>
                      </w:rPr>
                      <m:t>a</m:t>
                    </m:r>
                    <m:r>
                      <m:rPr>
                        <m:sty m:val="p"/>
                      </m:rPr>
                      <w:rPr>
                        <w:rFonts w:ascii="Cambria Math" w:hAnsi="Cambria Math" w:cs="Times New Roman"/>
                        <w:sz w:val="18"/>
                        <w:szCs w:val="18"/>
                        <w:lang w:val="pt-BR"/>
                      </w:rPr>
                      <m:t>,</m:t>
                    </m:r>
                    <m:sSub>
                      <m:sSubPr>
                        <m:ctrlPr>
                          <w:rPr>
                            <w:rFonts w:ascii="Cambria Math" w:hAnsi="Cambria Math" w:cs="Times New Roman"/>
                            <w:sz w:val="18"/>
                            <w:szCs w:val="18"/>
                          </w:rPr>
                        </m:ctrlPr>
                      </m:sSubPr>
                      <m:e>
                        <m:r>
                          <m:rPr>
                            <m:sty m:val="b"/>
                          </m:rPr>
                          <w:rPr>
                            <w:rFonts w:ascii="Cambria Math" w:hAnsi="Cambria Math" w:cs="Times New Roman"/>
                            <w:sz w:val="18"/>
                            <w:szCs w:val="18"/>
                          </w:rPr>
                          <m:t>n</m:t>
                        </m:r>
                      </m:e>
                      <m:sub>
                        <m:r>
                          <m:rPr>
                            <m:sty m:val="p"/>
                          </m:rPr>
                          <w:rPr>
                            <w:rFonts w:ascii="Cambria Math" w:hAnsi="Cambria Math" w:cs="Times New Roman"/>
                            <w:sz w:val="18"/>
                            <w:szCs w:val="18"/>
                            <w:lang w:val="pt-BR"/>
                          </w:rPr>
                          <m:t>m</m:t>
                        </m:r>
                      </m:sub>
                    </m:sSub>
                  </m:e>
                </m:d>
                <m:r>
                  <m:rPr>
                    <m:sty m:val="p"/>
                  </m:rPr>
                  <w:rPr>
                    <w:rFonts w:ascii="Cambria Math" w:hAnsi="Cambria Math" w:cs="Times New Roman"/>
                    <w:sz w:val="18"/>
                    <w:szCs w:val="18"/>
                    <w:lang w:val="pt-BR"/>
                  </w:rPr>
                  <m:t>/</m:t>
                </m:r>
                <m:r>
                  <m:rPr>
                    <m:sty m:val="p"/>
                  </m:rPr>
                  <w:rPr>
                    <w:rFonts w:ascii="Cambria Math" w:hAnsi="Cambria Math" w:cs="Times New Roman"/>
                    <w:sz w:val="18"/>
                    <w:szCs w:val="18"/>
                  </w:rPr>
                  <m:t>τ</m:t>
                </m:r>
              </m:e>
            </m:d>
          </m:den>
        </m:f>
      </m:oMath>
      <w:r>
        <w:rPr>
          <w:rFonts w:ascii="Times New Roman" w:hAnsi="Times New Roman" w:cs="Times New Roman"/>
          <w:b/>
          <w:sz w:val="18"/>
          <w:szCs w:val="18"/>
          <w:lang w:val="pt-BR"/>
        </w:rPr>
        <w:t xml:space="preserve">  (11)</w:t>
      </w:r>
    </w:p>
    <w:p w14:paraId="1D75E33D" w14:textId="5595737E"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which the implementation evaluates in the numerically stable log sum exp form. This is presented strictly as a demonstration of the loss’s mechanics on real image derived descriptors  the module’s own docstring states plainly that this “is NOT the loss of a trained SSL model,” since no encoder is ever trained anywhere in this pipeline. Figure 3D plots the resulting loss value for each of the eight demonstration images.</w:t>
      </w:r>
    </w:p>
    <w:p w14:paraId="4E9B4AE4" w14:textId="77777777" w:rsidR="00DA00EE" w:rsidRPr="00E32832" w:rsidRDefault="00F84C4B" w:rsidP="00BA5D5D">
      <w:pPr>
        <w:pStyle w:val="Heading3"/>
        <w:jc w:val="both"/>
        <w:rPr>
          <w:rFonts w:ascii="Times New Roman" w:hAnsi="Times New Roman" w:cs="Times New Roman"/>
          <w:color w:val="auto"/>
          <w:sz w:val="18"/>
          <w:szCs w:val="18"/>
        </w:rPr>
      </w:pPr>
      <w:bookmarkStart w:id="43" w:name="_Toc234738410"/>
      <w:bookmarkStart w:id="44" w:name="Xc18e9aae19dffd98d93b12ee4ca8c1354dd931c"/>
      <w:bookmarkEnd w:id="42"/>
      <w:r>
        <w:rPr>
          <w:rFonts w:ascii="Times New Roman" w:hAnsi="Times New Roman" w:cs="Times New Roman"/>
          <w:color w:val="auto"/>
          <w:sz w:val="18"/>
          <w:szCs w:val="18"/>
        </w:rPr>
        <w:t>4.5 Dimensionality reduction and descriptive batch analytics</w:t>
      </w:r>
      <w:bookmarkEnd w:id="43"/>
    </w:p>
    <w:p w14:paraId="3694DB5B" w14:textId="3D621432"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b/>
          <w:bCs/>
          <w:sz w:val="18"/>
          <w:szCs w:val="18"/>
        </w:rPr>
        <w:t>PCA feature space projection.</w:t>
      </w:r>
      <w:r>
        <w:rPr>
          <w:rFonts w:ascii="Times New Roman" w:hAnsi="Times New Roman" w:cs="Times New Roman"/>
          <w:sz w:val="18"/>
          <w:szCs w:val="18"/>
        </w:rPr>
        <w:t xml:space="preserve"> Given the </w:t>
      </w:r>
      <m:oMath>
        <m:r>
          <m:rPr>
            <m:sty m:val="p"/>
          </m:rPr>
          <w:rPr>
            <w:rFonts w:ascii="Cambria Math" w:hAnsi="Cambria Math" w:cs="Times New Roman"/>
            <w:sz w:val="18"/>
            <w:szCs w:val="18"/>
          </w:rPr>
          <m:t>N×8</m:t>
        </m:r>
      </m:oMath>
      <w:r>
        <w:rPr>
          <w:rFonts w:ascii="Times New Roman" w:hAnsi="Times New Roman" w:cs="Times New Roman"/>
          <w:sz w:val="18"/>
          <w:szCs w:val="18"/>
        </w:rPr>
        <w:t xml:space="preserve"> matrix </w:t>
      </w:r>
      <m:oMath>
        <m:r>
          <m:rPr>
            <m:sty m:val="p"/>
          </m:rPr>
          <w:rPr>
            <w:rFonts w:ascii="Cambria Math" w:hAnsi="Cambria Math" w:cs="Times New Roman"/>
            <w:sz w:val="18"/>
            <w:szCs w:val="18"/>
          </w:rPr>
          <m:t>D</m:t>
        </m:r>
      </m:oMath>
      <w:r>
        <w:rPr>
          <w:rFonts w:ascii="Times New Roman" w:hAnsi="Times New Roman" w:cs="Times New Roman"/>
          <w:sz w:val="18"/>
          <w:szCs w:val="18"/>
        </w:rPr>
        <w:t xml:space="preserve"> of mean centred descriptors (</w:t>
      </w:r>
      <m:oMath>
        <m:r>
          <m:rPr>
            <m:sty m:val="p"/>
          </m:rPr>
          <w:rPr>
            <w:rFonts w:ascii="Cambria Math" w:hAnsi="Cambria Math" w:cs="Times New Roman"/>
            <w:sz w:val="18"/>
            <w:szCs w:val="18"/>
          </w:rPr>
          <m:t>D←D-</m:t>
        </m:r>
        <m:acc>
          <m:accPr>
            <m:chr m:val="‾"/>
            <m:ctrlPr>
              <w:rPr>
                <w:rFonts w:ascii="Cambria Math" w:hAnsi="Cambria Math" w:cs="Times New Roman"/>
                <w:sz w:val="18"/>
                <w:szCs w:val="18"/>
              </w:rPr>
            </m:ctrlPr>
          </m:accPr>
          <m:e>
            <m:r>
              <m:rPr>
                <m:sty m:val="p"/>
              </m:rPr>
              <w:rPr>
                <w:rFonts w:ascii="Cambria Math" w:hAnsi="Cambria Math" w:cs="Times New Roman"/>
                <w:sz w:val="18"/>
                <w:szCs w:val="18"/>
              </w:rPr>
              <m:t>D</m:t>
            </m:r>
          </m:e>
        </m:acc>
      </m:oMath>
      <w:r>
        <w:rPr>
          <w:rFonts w:ascii="Times New Roman" w:hAnsi="Times New Roman" w:cs="Times New Roman"/>
          <w:sz w:val="18"/>
          <w:szCs w:val="18"/>
        </w:rPr>
        <w:t xml:space="preserve">), Principal Component Analysis finds the orthogonal projection directions of maximal variance via the eigendecomposition of the covariance matrix </w:t>
      </w:r>
      <m:oMath>
        <m:r>
          <m:rPr>
            <m:sty m:val="p"/>
          </m:rPr>
          <w:rPr>
            <w:rFonts w:ascii="Cambria Math" w:hAnsi="Cambria Math" w:cs="Times New Roman"/>
            <w:sz w:val="18"/>
            <w:szCs w:val="18"/>
          </w:rPr>
          <m:t>Σ=</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r>
              <m:rPr>
                <m:sty m:val="p"/>
              </m:rPr>
              <w:rPr>
                <w:rFonts w:ascii="Cambria Math" w:hAnsi="Cambria Math" w:cs="Times New Roman"/>
                <w:sz w:val="18"/>
                <w:szCs w:val="18"/>
              </w:rPr>
              <m:t>N</m:t>
            </m:r>
          </m:den>
        </m:f>
        <m:sSup>
          <m:sSupPr>
            <m:ctrlPr>
              <w:rPr>
                <w:rFonts w:ascii="Cambria Math" w:hAnsi="Cambria Math" w:cs="Times New Roman"/>
                <w:sz w:val="18"/>
                <w:szCs w:val="18"/>
              </w:rPr>
            </m:ctrlPr>
          </m:sSupPr>
          <m:e>
            <m:r>
              <m:rPr>
                <m:sty m:val="p"/>
              </m:rPr>
              <w:rPr>
                <w:rFonts w:ascii="Cambria Math" w:hAnsi="Cambria Math" w:cs="Times New Roman"/>
                <w:sz w:val="18"/>
                <w:szCs w:val="18"/>
              </w:rPr>
              <m:t>D</m:t>
            </m:r>
          </m:e>
          <m:sup>
            <m:r>
              <m:rPr>
                <m:sty m:val="p"/>
              </m:rPr>
              <w:rPr>
                <w:rFonts w:ascii="Cambria Math" w:hAnsi="Cambria Math" w:cs="Times New Roman"/>
                <w:sz w:val="18"/>
                <w:szCs w:val="18"/>
              </w:rPr>
              <m:t>⊤</m:t>
            </m:r>
          </m:sup>
        </m:sSup>
        <m:r>
          <m:rPr>
            <m:sty m:val="p"/>
          </m:rPr>
          <w:rPr>
            <w:rFonts w:ascii="Cambria Math" w:hAnsi="Cambria Math" w:cs="Times New Roman"/>
            <w:sz w:val="18"/>
            <w:szCs w:val="18"/>
          </w:rPr>
          <m:t>D</m:t>
        </m:r>
      </m:oMath>
      <w:r>
        <w:rPr>
          <w:rFonts w:ascii="Times New Roman" w:hAnsi="Times New Roman" w:cs="Times New Roman"/>
          <w:sz w:val="18"/>
          <w:szCs w:val="18"/>
        </w:rPr>
        <w:t xml:space="preserve">: writing </w:t>
      </w:r>
      <m:oMath>
        <m:r>
          <m:rPr>
            <m:sty m:val="p"/>
          </m:rPr>
          <w:rPr>
            <w:rFonts w:ascii="Cambria Math" w:hAnsi="Cambria Math" w:cs="Times New Roman"/>
            <w:sz w:val="18"/>
            <w:szCs w:val="18"/>
          </w:rPr>
          <m:t>Σ=VΛ</m:t>
        </m:r>
        <m:sSup>
          <m:sSupPr>
            <m:ctrlPr>
              <w:rPr>
                <w:rFonts w:ascii="Cambria Math" w:hAnsi="Cambria Math" w:cs="Times New Roman"/>
                <w:sz w:val="18"/>
                <w:szCs w:val="18"/>
              </w:rPr>
            </m:ctrlPr>
          </m:sSupPr>
          <m:e>
            <m:r>
              <m:rPr>
                <m:sty m:val="p"/>
              </m:rPr>
              <w:rPr>
                <w:rFonts w:ascii="Cambria Math" w:hAnsi="Cambria Math" w:cs="Times New Roman"/>
                <w:sz w:val="18"/>
                <w:szCs w:val="18"/>
              </w:rPr>
              <m:t>V</m:t>
            </m:r>
          </m:e>
          <m:sup>
            <m:r>
              <m:rPr>
                <m:sty m:val="p"/>
              </m:rPr>
              <w:rPr>
                <w:rFonts w:ascii="Cambria Math" w:hAnsi="Cambria Math" w:cs="Times New Roman"/>
                <w:sz w:val="18"/>
                <w:szCs w:val="18"/>
              </w:rPr>
              <m:t>⊤</m:t>
            </m:r>
          </m:sup>
        </m:sSup>
      </m:oMath>
      <w:r>
        <w:rPr>
          <w:rFonts w:ascii="Times New Roman" w:hAnsi="Times New Roman" w:cs="Times New Roman"/>
          <w:sz w:val="18"/>
          <w:szCs w:val="18"/>
        </w:rPr>
        <w:t xml:space="preserve"> with eigenvalues sorted in decreasing order, the first two principal components are </w:t>
      </w:r>
      <m:oMath>
        <m:r>
          <m:rPr>
            <m:sty m:val="p"/>
          </m:rPr>
          <w:rPr>
            <w:rFonts w:ascii="Cambria Math" w:hAnsi="Cambria Math" w:cs="Times New Roman"/>
            <w:sz w:val="18"/>
            <w:szCs w:val="18"/>
          </w:rPr>
          <m:t>P</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=D</m:t>
        </m:r>
        <m:sSub>
          <m:sSubPr>
            <m:ctrlPr>
              <w:rPr>
                <w:rFonts w:ascii="Cambria Math" w:hAnsi="Cambria Math" w:cs="Times New Roman"/>
                <w:sz w:val="18"/>
                <w:szCs w:val="18"/>
              </w:rPr>
            </m:ctrlPr>
          </m:sSubPr>
          <m:e>
            <m:r>
              <m:rPr>
                <m:sty m:val="p"/>
              </m:rPr>
              <w:rPr>
                <w:rFonts w:ascii="Cambria Math" w:hAnsi="Cambria Math" w:cs="Times New Roman"/>
                <w:sz w:val="18"/>
                <w:szCs w:val="18"/>
              </w:rPr>
              <m:t>v</m:t>
            </m:r>
          </m:e>
          <m:sub>
            <m:r>
              <m:rPr>
                <m:sty m:val="p"/>
              </m:rPr>
              <w:rPr>
                <w:rFonts w:ascii="Cambria Math" w:hAnsi="Cambria Math" w:cs="Times New Roman"/>
                <w:sz w:val="18"/>
                <w:szCs w:val="18"/>
              </w:rPr>
              <m:t>1</m:t>
            </m:r>
          </m:sub>
        </m:sSub>
      </m:oMath>
      <w:r>
        <w:rPr>
          <w:rFonts w:ascii="Times New Roman" w:hAnsi="Times New Roman" w:cs="Times New Roman"/>
          <w:sz w:val="18"/>
          <w:szCs w:val="18"/>
        </w:rPr>
        <w:t xml:space="preserve">, </w:t>
      </w:r>
      <m:oMath>
        <m:r>
          <m:rPr>
            <m:sty m:val="p"/>
          </m:rPr>
          <w:rPr>
            <w:rFonts w:ascii="Cambria Math" w:hAnsi="Cambria Math" w:cs="Times New Roman"/>
            <w:sz w:val="18"/>
            <w:szCs w:val="18"/>
          </w:rPr>
          <m:t>P</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2</m:t>
            </m:r>
          </m:sub>
        </m:sSub>
        <m:r>
          <m:rPr>
            <m:sty m:val="p"/>
          </m:rPr>
          <w:rPr>
            <w:rFonts w:ascii="Cambria Math" w:hAnsi="Cambria Math" w:cs="Times New Roman"/>
            <w:sz w:val="18"/>
            <w:szCs w:val="18"/>
          </w:rPr>
          <m:t>=</m:t>
        </m:r>
        <m:r>
          <m:rPr>
            <m:sty m:val="p"/>
          </m:rPr>
          <w:rPr>
            <w:rFonts w:ascii="Cambria Math" w:hAnsi="Cambria Math" w:cs="Times New Roman"/>
            <w:sz w:val="18"/>
            <w:szCs w:val="18"/>
          </w:rPr>
          <m:t>D</m:t>
        </m:r>
        <m:sSub>
          <m:sSubPr>
            <m:ctrlPr>
              <w:rPr>
                <w:rFonts w:ascii="Cambria Math" w:hAnsi="Cambria Math" w:cs="Times New Roman"/>
                <w:sz w:val="18"/>
                <w:szCs w:val="18"/>
              </w:rPr>
            </m:ctrlPr>
          </m:sSubPr>
          <m:e>
            <m:r>
              <m:rPr>
                <m:sty m:val="p"/>
              </m:rPr>
              <w:rPr>
                <w:rFonts w:ascii="Cambria Math" w:hAnsi="Cambria Math" w:cs="Times New Roman"/>
                <w:sz w:val="18"/>
                <w:szCs w:val="18"/>
              </w:rPr>
              <m:t>v</m:t>
            </m:r>
          </m:e>
          <m:sub>
            <m:r>
              <m:rPr>
                <m:sty m:val="p"/>
              </m:rPr>
              <w:rPr>
                <w:rFonts w:ascii="Cambria Math" w:hAnsi="Cambria Math" w:cs="Times New Roman"/>
                <w:sz w:val="18"/>
                <w:szCs w:val="18"/>
              </w:rPr>
              <m:t>2</m:t>
            </m:r>
          </m:sub>
        </m:sSub>
      </m:oMath>
      <w:r>
        <w:rPr>
          <w:rFonts w:ascii="Times New Roman" w:hAnsi="Times New Roman" w:cs="Times New Roman"/>
          <w:sz w:val="18"/>
          <w:szCs w:val="18"/>
        </w:rPr>
        <w:t xml:space="preserve">, and each axis is labelled with its explained variance ratio </w:t>
      </w:r>
      <m:oMath>
        <m:sSub>
          <m:sSubPr>
            <m:ctrlPr>
              <w:rPr>
                <w:rFonts w:ascii="Cambria Math" w:hAnsi="Cambria Math" w:cs="Times New Roman"/>
                <w:sz w:val="18"/>
                <w:szCs w:val="18"/>
              </w:rPr>
            </m:ctrlPr>
          </m:sSubPr>
          <m:e>
            <m:r>
              <m:rPr>
                <m:sty m:val="p"/>
              </m:rPr>
              <w:rPr>
                <w:rFonts w:ascii="Cambria Math" w:hAnsi="Cambria Math" w:cs="Times New Roman"/>
                <w:sz w:val="18"/>
                <w:szCs w:val="18"/>
              </w:rPr>
              <m:t>λ</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j</m:t>
            </m:r>
          </m:sub>
          <m:sup>
            <m:r>
              <m:rPr>
                <m:sty m:val="p"/>
              </m:rPr>
              <w:rPr>
                <w:rFonts w:ascii="Cambria Math" w:hAnsi="Cambria Math" w:cs="Times New Roman"/>
                <w:sz w:val="18"/>
                <w:szCs w:val="18"/>
              </w:rPr>
              <m:t>​</m:t>
            </m:r>
          </m:sup>
          <m:e>
            <m:sSub>
              <m:sSubPr>
                <m:ctrlPr>
                  <w:rPr>
                    <w:rFonts w:ascii="Cambria Math" w:hAnsi="Cambria Math" w:cs="Times New Roman"/>
                    <w:sz w:val="18"/>
                    <w:szCs w:val="18"/>
                  </w:rPr>
                </m:ctrlPr>
              </m:sSubPr>
              <m:e>
                <m:r>
                  <m:rPr>
                    <m:sty m:val="p"/>
                  </m:rPr>
                  <w:rPr>
                    <w:rFonts w:ascii="Cambria Math" w:hAnsi="Cambria Math" w:cs="Times New Roman"/>
                    <w:sz w:val="18"/>
                    <w:szCs w:val="18"/>
                  </w:rPr>
                  <m:t>λ</m:t>
                </m:r>
              </m:e>
              <m:sub>
                <m:r>
                  <m:rPr>
                    <m:sty m:val="p"/>
                  </m:rPr>
                  <w:rPr>
                    <w:rFonts w:ascii="Cambria Math" w:hAnsi="Cambria Math" w:cs="Times New Roman"/>
                    <w:sz w:val="18"/>
                    <w:szCs w:val="18"/>
                  </w:rPr>
                  <m:t>j</m:t>
                </m:r>
              </m:sub>
            </m:sSub>
          </m:e>
        </m:nary>
      </m:oMath>
      <w:r>
        <w:rPr>
          <w:rFonts w:ascii="Times New Roman" w:hAnsi="Times New Roman" w:cs="Times New Roman"/>
          <w:sz w:val="18"/>
          <w:szCs w:val="18"/>
        </w:rPr>
        <w:t>. Figure 8 shows the resulting two dimensional projection for the eight image demonstration batch, with each point coloured by load order; images sharing similar vigor and stress patch configuration cluster together in this space, which is a genuine emergent property of the descriptor rather than an imposed grouping.</w:t>
      </w:r>
    </w:p>
    <w:p w14:paraId="07AFF353" w14:textId="64ACA869"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Descriptive batch summary and linear trend.</w:t>
      </w:r>
      <w:r>
        <w:rPr>
          <w:rFonts w:ascii="Times New Roman" w:hAnsi="Times New Roman" w:cs="Times New Roman"/>
          <w:sz w:val="18"/>
          <w:szCs w:val="18"/>
        </w:rPr>
        <w:t xml:space="preserve"> The batch summary panel reports, without any model fitting, the mean and range of NDVI proxy and canopy cover across the loaded batch (Figure 9), and flags the single lowest and highest vigor images in the set as a plain language, rule based conclusion. The time series trend panel fits an ordinary least squares line to the sequence of per image mean NDVI values against load order </w:t>
      </w:r>
      <m:oMath>
        <m:r>
          <m:rPr>
            <m:sty m:val="p"/>
          </m:rPr>
          <w:rPr>
            <w:rFonts w:ascii="Cambria Math" w:hAnsi="Cambria Math" w:cs="Times New Roman"/>
            <w:sz w:val="18"/>
            <w:szCs w:val="18"/>
          </w:rPr>
          <m:t>x=1,…,N</m:t>
        </m:r>
      </m:oMath>
      <w:r>
        <w:rPr>
          <w:rFonts w:ascii="Times New Roman" w:hAnsi="Times New Roman" w:cs="Times New Roman"/>
          <w:sz w:val="18"/>
          <w:szCs w:val="18"/>
        </w:rPr>
        <w:t>,</w:t>
      </w:r>
    </w:p>
    <w:p w14:paraId="041672A6" w14:textId="0C309E65" w:rsidR="00DA00EE" w:rsidRPr="00E32832" w:rsidRDefault="00000000" w:rsidP="00BA5D5D">
      <w:pPr>
        <w:pStyle w:val="BodyText"/>
        <w:jc w:val="both"/>
        <w:rPr>
          <w:rFonts w:ascii="Times New Roman" w:hAnsi="Times New Roman" w:cs="Times New Roman"/>
          <w:sz w:val="18"/>
          <w:szCs w:val="18"/>
        </w:rPr>
      </w:pPr>
      <m:oMath>
        <m:acc>
          <m:accPr>
            <m:ctrlPr>
              <w:rPr>
                <w:rFonts w:ascii="Cambria Math" w:hAnsi="Cambria Math" w:cs="Times New Roman"/>
                <w:sz w:val="18"/>
                <w:szCs w:val="18"/>
              </w:rPr>
            </m:ctrlPr>
          </m:accPr>
          <m:e>
            <m:r>
              <m:rPr>
                <m:sty m:val="p"/>
              </m:rPr>
              <w:rPr>
                <w:rFonts w:ascii="Cambria Math" w:hAnsi="Cambria Math" w:cs="Times New Roman"/>
                <w:sz w:val="18"/>
                <w:szCs w:val="18"/>
              </w:rPr>
              <m:t>y</m:t>
            </m:r>
          </m:e>
        </m:acc>
        <m:d>
          <m:dPr>
            <m:ctrlPr>
              <w:rPr>
                <w:rFonts w:ascii="Cambria Math" w:hAnsi="Cambria Math" w:cs="Times New Roman"/>
                <w:sz w:val="18"/>
                <w:szCs w:val="18"/>
              </w:rPr>
            </m:ctrlPr>
          </m:dPr>
          <m:e>
            <m:r>
              <m:rPr>
                <m:sty m:val="p"/>
              </m:rPr>
              <w:rPr>
                <w:rFonts w:ascii="Cambria Math" w:hAnsi="Cambria Math" w:cs="Times New Roman"/>
                <w:sz w:val="18"/>
                <w:szCs w:val="18"/>
              </w:rPr>
              <m:t>x</m:t>
            </m:r>
          </m:e>
        </m:d>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x+</m:t>
        </m:r>
        <m:sSub>
          <m:sSubPr>
            <m:ctrlPr>
              <w:rPr>
                <w:rFonts w:ascii="Cambria Math" w:hAnsi="Cambria Math" w:cs="Times New Roman"/>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0</m:t>
            </m:r>
          </m:sub>
        </m:sSub>
        <m:r>
          <m:rPr>
            <m:sty m:val="p"/>
          </m:rPr>
          <w:rPr>
            <w:rFonts w:ascii="Cambria Math" w:hAnsi="Cambria Math" w:cs="Times New Roman"/>
            <w:sz w:val="18"/>
            <w:szCs w:val="18"/>
          </w:rPr>
          <m:t>,  </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0</m:t>
                </m:r>
              </m:sub>
            </m:sSub>
          </m:e>
        </m:d>
        <m:r>
          <m:rPr>
            <m:sty m:val="p"/>
          </m:rPr>
          <w:rPr>
            <w:rFonts w:ascii="Cambria Math" w:hAnsi="Cambria Math" w:cs="Times New Roman"/>
            <w:sz w:val="18"/>
            <w:szCs w:val="18"/>
          </w:rPr>
          <m:t>=arg</m:t>
        </m:r>
        <m:limLow>
          <m:limLowPr>
            <m:ctrlPr>
              <w:rPr>
                <w:rFonts w:ascii="Cambria Math" w:hAnsi="Cambria Math" w:cs="Times New Roman"/>
                <w:sz w:val="18"/>
                <w:szCs w:val="18"/>
              </w:rPr>
            </m:ctrlPr>
          </m:limLowPr>
          <m:e>
            <m:r>
              <m:rPr>
                <m:sty m:val="p"/>
              </m:rPr>
              <w:rPr>
                <w:rFonts w:ascii="Cambria Math" w:hAnsi="Cambria Math" w:cs="Times New Roman"/>
                <w:sz w:val="18"/>
                <w:szCs w:val="18"/>
              </w:rPr>
              <m:t>min</m:t>
            </m:r>
          </m:e>
          <m:lim>
            <m:sSub>
              <m:sSubPr>
                <m:ctrlPr>
                  <w:rPr>
                    <w:rFonts w:ascii="Cambria Math" w:hAnsi="Cambria Math" w:cs="Times New Roman"/>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0</m:t>
                </m:r>
              </m:sub>
            </m:sSub>
          </m:lim>
        </m:limLow>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k=1</m:t>
            </m:r>
          </m:sub>
          <m:sup>
            <m:r>
              <m:rPr>
                <m:sty m:val="p"/>
              </m:rPr>
              <w:rPr>
                <w:rFonts w:ascii="Cambria Math" w:hAnsi="Cambria Math" w:cs="Times New Roman"/>
                <w:sz w:val="18"/>
                <w:szCs w:val="18"/>
              </w:rPr>
              <m:t>N</m:t>
            </m:r>
          </m:sup>
          <m:e>
            <m:r>
              <m:rPr>
                <m:sty m:val="p"/>
              </m:rPr>
              <w:rPr>
                <w:rFonts w:ascii="Cambria Math" w:hAnsi="Cambria Math" w:cs="Times New Roman"/>
                <w:sz w:val="18"/>
                <w:szCs w:val="18"/>
              </w:rPr>
              <m:t>(</m:t>
            </m:r>
          </m:e>
        </m:nary>
        <m:sSub>
          <m:sSubPr>
            <m:ctrlPr>
              <w:rPr>
                <w:rFonts w:ascii="Cambria Math" w:hAnsi="Cambria Math" w:cs="Times New Roman"/>
                <w:sz w:val="18"/>
                <w:szCs w:val="18"/>
              </w:rPr>
            </m:ctrlPr>
          </m:sSubPr>
          <m:e>
            <m:r>
              <m:rPr>
                <m:sty m:val="p"/>
              </m:rPr>
              <w:rPr>
                <w:rFonts w:ascii="Cambria Math" w:hAnsi="Cambria Math" w:cs="Times New Roman"/>
                <w:sz w:val="18"/>
                <w:szCs w:val="18"/>
              </w:rPr>
              <m:t>y</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1</m:t>
            </m:r>
          </m:sub>
        </m:sSub>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β</m:t>
            </m:r>
          </m:e>
          <m:sub>
            <m:r>
              <m:rPr>
                <m:sty m:val="p"/>
              </m:rPr>
              <w:rPr>
                <w:rFonts w:ascii="Cambria Math" w:hAnsi="Cambria Math" w:cs="Times New Roman"/>
                <w:sz w:val="18"/>
                <w:szCs w:val="18"/>
              </w:rPr>
              <m:t>0</m:t>
            </m:r>
          </m:sub>
        </m:sSub>
        <m:sSup>
          <m:sSupPr>
            <m:ctrlPr>
              <w:rPr>
                <w:rFonts w:ascii="Cambria Math" w:hAnsi="Cambria Math" w:cs="Times New Roman"/>
                <w:sz w:val="18"/>
                <w:szCs w:val="18"/>
              </w:rPr>
            </m:ctrlPr>
          </m:sSupPr>
          <m:e>
            <m:r>
              <m:rPr>
                <m:sty m:val="p"/>
              </m:rPr>
              <w:rPr>
                <w:rFonts w:ascii="Cambria Math" w:hAnsi="Cambria Math" w:cs="Times New Roman"/>
                <w:sz w:val="18"/>
                <w:szCs w:val="18"/>
              </w:rPr>
              <m:t>)</m:t>
            </m:r>
          </m:e>
          <m:sup>
            <m:r>
              <m:rPr>
                <m:sty m:val="p"/>
              </m:rPr>
              <w:rPr>
                <w:rFonts w:ascii="Cambria Math" w:hAnsi="Cambria Math" w:cs="Times New Roman"/>
                <w:sz w:val="18"/>
                <w:szCs w:val="18"/>
              </w:rPr>
              <m:t>2</m:t>
            </m:r>
          </m:sup>
        </m:sSup>
      </m:oMath>
      <w:r>
        <w:rPr>
          <w:rFonts w:ascii="Times New Roman" w:hAnsi="Times New Roman" w:cs="Times New Roman"/>
          <w:b/>
          <w:sz w:val="18"/>
          <w:szCs w:val="18"/>
        </w:rPr>
        <w:t xml:space="preserve">  (12)</w:t>
      </w:r>
    </w:p>
    <w:p w14:paraId="6C390652" w14:textId="275C2296" w:rsidR="00DA00EE" w:rsidRPr="00E32832" w:rsidRDefault="00F84C4B" w:rsidP="00BA5D5D">
      <w:pPr>
        <w:pStyle w:val="BodyText"/>
        <w:keepN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and extrapolates the fitted line two steps beyond the observed sequence, shaded to visually distinguish extrapolation from observation (Figure 10). The module’s own documentation is explicit that this is an “honest statistical trend,” not a trained deep learning forecaster, since no historical multi session dataset or trained network is available inside a single desktop session.</w:t>
      </w:r>
    </w:p>
    <w:p w14:paraId="62B46495"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lastRenderedPageBreak/>
        <w:drawing>
          <wp:inline distT="0" distB="0" distL="0" distR="0" wp14:anchorId="21DD1BB3" wp14:editId="389360D5">
            <wp:extent cx="5303520" cy="3542351"/>
            <wp:effectExtent l="0" t="0" r="0" b="1270"/>
            <wp:docPr id="604" name="Pictur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 name="Picture 604"/>
                    <pic:cNvPicPr/>
                  </pic:nvPicPr>
                  <pic:blipFill>
                    <a:blip r:embed="rId15">
                      <a:extLst>
                        <a:ext uri="{28A0092B-C50C-407E-A947-70E740481C1C}">
                          <a14:useLocalDpi xmlns:a14="http://schemas.microsoft.com/office/drawing/2010/main" val="0"/>
                        </a:ext>
                      </a:extLst>
                    </a:blip>
                    <a:stretch>
                      <a:fillRect/>
                    </a:stretch>
                  </pic:blipFill>
                  <pic:spPr>
                    <a:xfrm>
                      <a:off x="0" y="0"/>
                      <a:ext cx="5303520" cy="3542351"/>
                    </a:xfrm>
                    <a:prstGeom prst="rect">
                      <a:avLst/>
                    </a:prstGeom>
                  </pic:spPr>
                </pic:pic>
              </a:graphicData>
            </a:graphic>
          </wp:inline>
        </w:drawing>
      </w:r>
    </w:p>
    <w:p w14:paraId="3D839E71" w14:textId="4A969869" w:rsidR="00283C42" w:rsidRPr="00E32832" w:rsidRDefault="0058322D">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5. Batch summary, trend and classification diagnostics. (A) Per-batch summary panel; (B) OLS NDVI trend line; (C) LOOCV k-NN classifier accuracy; (D) K-means clustering validity indices (left) and PCA projection (right); (E) pretrained deep-model unavailable notice.</w:t>
      </w:r>
    </w:p>
    <w:p w14:paraId="2D47232C" w14:textId="77777777" w:rsidR="00877156" w:rsidRPr="00E32832" w:rsidRDefault="00877156" w:rsidP="00BA5D5D">
      <w:pPr>
        <w:pStyle w:val="Heading3"/>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bookmarkStart w:id="45" w:name="_Toc234738411"/>
      <w:bookmarkStart w:id="46" w:name="X035000694ececd26e458dfa605b71abc144d561"/>
      <w:bookmarkEnd w:id="44"/>
    </w:p>
    <w:p w14:paraId="7D62279E" w14:textId="77777777" w:rsidR="00DA00EE" w:rsidRPr="00E32832" w:rsidRDefault="00F84C4B" w:rsidP="00BA5D5D">
      <w:pPr>
        <w:pStyle w:val="Heading3"/>
        <w:jc w:val="both"/>
        <w:rPr>
          <w:rFonts w:ascii="Times New Roman" w:hAnsi="Times New Roman" w:cs="Times New Roman"/>
          <w:color w:val="auto"/>
          <w:sz w:val="18"/>
          <w:szCs w:val="18"/>
        </w:rPr>
      </w:pPr>
      <w:r>
        <w:rPr>
          <w:rFonts w:ascii="Times New Roman" w:hAnsi="Times New Roman" w:cs="Times New Roman"/>
          <w:color w:val="auto"/>
          <w:sz w:val="18"/>
          <w:szCs w:val="18"/>
        </w:rPr>
        <w:t>4.6 Supervised and unsupervised learning on the descriptor space</w:t>
      </w:r>
      <w:bookmarkEnd w:id="45"/>
    </w:p>
    <w:p w14:paraId="3996DF0C" w14:textId="163A612E"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The pipeline routes to one of two learning modes depending on whether the user has entered two or more group labels for the current batch via the Field &amp; Sensor Data panel  a branch point that is itself disclosed to the user rather than silently defaulted.</w:t>
      </w:r>
    </w:p>
    <w:p w14:paraId="6BF79291" w14:textId="33025BBC"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b/>
          <w:bCs/>
          <w:sz w:val="18"/>
          <w:szCs w:val="18"/>
        </w:rPr>
        <w:t>Supervised branch (labels present).</w:t>
      </w:r>
      <w:r>
        <w:rPr>
          <w:rFonts w:ascii="Times New Roman" w:hAnsi="Times New Roman" w:cs="Times New Roman"/>
          <w:sz w:val="18"/>
          <w:szCs w:val="18"/>
        </w:rPr>
        <w:t xml:space="preserve"> A k Nearest Neighbour classifier is trained on the standardised descriptors (</w:t>
      </w:r>
      <m:oMath>
        <m:r>
          <m:rPr>
            <m:sty m:val="p"/>
          </m:rPr>
          <w:rPr>
            <w:rFonts w:ascii="Cambria Math" w:hAnsi="Cambria Math" w:cs="Times New Roman"/>
            <w:sz w:val="18"/>
            <w:szCs w:val="18"/>
          </w:rPr>
          <m:t>X←</m:t>
        </m:r>
        <m:d>
          <m:dPr>
            <m:ctrlPr>
              <w:rPr>
                <w:rFonts w:ascii="Cambria Math" w:hAnsi="Cambria Math" w:cs="Times New Roman"/>
                <w:sz w:val="18"/>
                <w:szCs w:val="18"/>
              </w:rPr>
            </m:ctrlPr>
          </m:dPr>
          <m:e>
            <m:r>
              <m:rPr>
                <m:sty m:val="p"/>
              </m:rPr>
              <w:rPr>
                <w:rFonts w:ascii="Cambria Math" w:hAnsi="Cambria Math" w:cs="Times New Roman"/>
                <w:sz w:val="18"/>
                <w:szCs w:val="18"/>
              </w:rPr>
              <m:t>D-</m:t>
            </m:r>
            <m:acc>
              <m:accPr>
                <m:chr m:val="‾"/>
                <m:ctrlPr>
                  <w:rPr>
                    <w:rFonts w:ascii="Cambria Math" w:hAnsi="Cambria Math" w:cs="Times New Roman"/>
                    <w:sz w:val="18"/>
                    <w:szCs w:val="18"/>
                  </w:rPr>
                </m:ctrlPr>
              </m:accPr>
              <m:e>
                <m:r>
                  <m:rPr>
                    <m:sty m:val="p"/>
                  </m:rPr>
                  <w:rPr>
                    <w:rFonts w:ascii="Cambria Math" w:hAnsi="Cambria Math" w:cs="Times New Roman"/>
                    <w:sz w:val="18"/>
                    <w:szCs w:val="18"/>
                  </w:rPr>
                  <m:t>D</m:t>
                </m:r>
              </m:e>
            </m:acc>
          </m:e>
        </m:d>
        <m:r>
          <m:rPr>
            <m:sty m:val="p"/>
          </m:rPr>
          <w:rPr>
            <w:rFonts w:ascii="Cambria Math" w:hAnsi="Cambria Math" w:cs="Times New Roman"/>
            <w:sz w:val="18"/>
            <w:szCs w:val="18"/>
          </w:rPr>
          <m:t>/</m:t>
        </m:r>
        <m:r>
          <m:rPr>
            <m:nor/>
          </m:rPr>
          <w:rPr>
            <w:rFonts w:ascii="Times New Roman" w:hAnsi="Times New Roman" w:cs="Times New Roman"/>
            <w:sz w:val="18"/>
            <w:szCs w:val="18"/>
          </w:rPr>
          <m:t>sd</m:t>
        </m:r>
        <m:d>
          <m:dPr>
            <m:ctrlPr>
              <w:rPr>
                <w:rFonts w:ascii="Cambria Math" w:hAnsi="Cambria Math" w:cs="Times New Roman"/>
                <w:sz w:val="18"/>
                <w:szCs w:val="18"/>
              </w:rPr>
            </m:ctrlPr>
          </m:dPr>
          <m:e>
            <m:r>
              <m:rPr>
                <m:sty m:val="p"/>
              </m:rPr>
              <w:rPr>
                <w:rFonts w:ascii="Cambria Math" w:hAnsi="Cambria Math" w:cs="Times New Roman"/>
                <w:sz w:val="18"/>
                <w:szCs w:val="18"/>
              </w:rPr>
              <m:t>D</m:t>
            </m:r>
          </m:e>
        </m:d>
      </m:oMath>
      <w:r>
        <w:rPr>
          <w:rFonts w:ascii="Times New Roman" w:hAnsi="Times New Roman" w:cs="Times New Roman"/>
          <w:sz w:val="18"/>
          <w:szCs w:val="18"/>
        </w:rPr>
        <w:t xml:space="preserve">, per feature) with </w:t>
      </w:r>
      <m:oMath>
        <m:r>
          <m:rPr>
            <m:sty m:val="p"/>
          </m:rPr>
          <w:rPr>
            <w:rFonts w:ascii="Cambria Math" w:hAnsi="Cambria Math" w:cs="Times New Roman"/>
            <w:sz w:val="18"/>
            <w:szCs w:val="18"/>
          </w:rPr>
          <m:t>k=min</m:t>
        </m:r>
        <m:d>
          <m:dPr>
            <m:ctrlPr>
              <w:rPr>
                <w:rFonts w:ascii="Cambria Math" w:hAnsi="Cambria Math" w:cs="Times New Roman"/>
                <w:sz w:val="18"/>
                <w:szCs w:val="18"/>
              </w:rPr>
            </m:ctrlPr>
          </m:dPr>
          <m:e>
            <m:r>
              <m:rPr>
                <m:sty m:val="p"/>
              </m:rPr>
              <w:rPr>
                <w:rFonts w:ascii="Cambria Math" w:hAnsi="Cambria Math" w:cs="Times New Roman"/>
                <w:sz w:val="18"/>
                <w:szCs w:val="18"/>
              </w:rPr>
              <m:t>3,N-1</m:t>
            </m:r>
          </m:e>
        </m:d>
      </m:oMath>
      <w:r>
        <w:rPr>
          <w:rFonts w:ascii="Times New Roman" w:hAnsi="Times New Roman" w:cs="Times New Roman"/>
          <w:sz w:val="18"/>
          <w:szCs w:val="18"/>
        </w:rPr>
        <w:t xml:space="preserve">, and evaluated by leave one out cross validation: for each image </w:t>
      </w:r>
      <m:oMath>
        <m:r>
          <m:rPr>
            <m:sty m:val="p"/>
          </m:rPr>
          <w:rPr>
            <w:rFonts w:ascii="Cambria Math" w:hAnsi="Cambria Math" w:cs="Times New Roman"/>
            <w:sz w:val="18"/>
            <w:szCs w:val="18"/>
          </w:rPr>
          <m:t>i</m:t>
        </m:r>
      </m:oMath>
      <w:r>
        <w:rPr>
          <w:rFonts w:ascii="Times New Roman" w:hAnsi="Times New Roman" w:cs="Times New Roman"/>
          <w:sz w:val="18"/>
          <w:szCs w:val="18"/>
        </w:rPr>
        <w:t xml:space="preserve">, a classifier trained on all other </w:t>
      </w:r>
      <m:oMath>
        <m:r>
          <m:rPr>
            <m:sty m:val="p"/>
          </m:rPr>
          <w:rPr>
            <w:rFonts w:ascii="Cambria Math" w:hAnsi="Cambria Math" w:cs="Times New Roman"/>
            <w:sz w:val="18"/>
            <w:szCs w:val="18"/>
          </w:rPr>
          <m:t>N-1</m:t>
        </m:r>
      </m:oMath>
      <w:r>
        <w:rPr>
          <w:rFonts w:ascii="Times New Roman" w:hAnsi="Times New Roman" w:cs="Times New Roman"/>
          <w:sz w:val="18"/>
          <w:szCs w:val="18"/>
        </w:rPr>
        <w:t xml:space="preserve"> images predicts image </w:t>
      </w:r>
      <m:oMath>
        <m:r>
          <m:rPr>
            <m:sty m:val="p"/>
          </m:rPr>
          <w:rPr>
            <w:rFonts w:ascii="Cambria Math" w:hAnsi="Cambria Math" w:cs="Times New Roman"/>
            <w:sz w:val="18"/>
            <w:szCs w:val="18"/>
          </w:rPr>
          <m:t>i</m:t>
        </m:r>
      </m:oMath>
      <w:r>
        <w:rPr>
          <w:rFonts w:ascii="Times New Roman" w:hAnsi="Times New Roman" w:cs="Times New Roman"/>
          <w:sz w:val="18"/>
          <w:szCs w:val="18"/>
        </w:rPr>
        <w:t xml:space="preserve">’s label, and the predictions are aggregated into standard classification metrics (accuracy, macro precision, macro recall, </w:t>
      </w:r>
      <w:r>
        <w:rPr>
          <w:rFonts w:ascii="Times New Roman" w:hAnsi="Times New Roman" w:cs="Times New Roman"/>
          <w:sz w:val="18"/>
          <w:szCs w:val="18"/>
        </w:rPr>
        <w:t xml:space="preserve">macro F1, Cohen’s </w:t>
      </w:r>
      <m:oMath>
        <m:r>
          <m:rPr>
            <m:sty m:val="p"/>
          </m:rPr>
          <w:rPr>
            <w:rFonts w:ascii="Cambria Math" w:hAnsi="Cambria Math" w:cs="Times New Roman"/>
            <w:sz w:val="18"/>
            <w:szCs w:val="18"/>
          </w:rPr>
          <m:t>κ</m:t>
        </m:r>
      </m:oMath>
      <w:r>
        <w:rPr>
          <w:rFonts w:ascii="Times New Roman" w:hAnsi="Times New Roman" w:cs="Times New Roman"/>
          <w:sz w:val="18"/>
          <w:szCs w:val="18"/>
        </w:rPr>
        <w:t xml:space="preserve"> (</w:t>
      </w:r>
      <w:hyperlink w:anchor="ref-cohen1960">
        <w:r>
          <w:rPr>
            <w:rStyle w:val="Hyperlink"/>
            <w:rFonts w:ascii="Times New Roman" w:hAnsi="Times New Roman" w:cs="Times New Roman"/>
            <w:sz w:val="18"/>
            <w:szCs w:val="18"/>
          </w:rPr>
          <w:t>Cohen 1960</w:t>
        </w:r>
      </w:hyperlink>
      <w:r>
        <w:rPr>
          <w:rFonts w:ascii="Times New Roman" w:hAnsi="Times New Roman" w:cs="Times New Roman"/>
          <w:sz w:val="18"/>
          <w:szCs w:val="18"/>
        </w:rPr>
        <w:t>), Matthews correlation coefficient (</w:t>
      </w:r>
      <w:hyperlink w:anchor="ref-matthews1975">
        <w:r>
          <w:rPr>
            <w:rStyle w:val="Hyperlink"/>
            <w:rFonts w:ascii="Times New Roman" w:hAnsi="Times New Roman" w:cs="Times New Roman"/>
            <w:sz w:val="18"/>
            <w:szCs w:val="18"/>
          </w:rPr>
          <w:t>Matthews 1975</w:t>
        </w:r>
      </w:hyperlink>
      <w:r>
        <w:rPr>
          <w:rFonts w:ascii="Times New Roman" w:hAnsi="Times New Roman" w:cs="Times New Roman"/>
          <w:sz w:val="18"/>
          <w:szCs w:val="18"/>
        </w:rPr>
        <w:t>)). This LOOCV protocol is the natural choice for the small, session scoped batches this module targets, consistent with prior work showing k NN’s practical strength as an interpretable, low overfitting baseline in small, label scarce agronomic settings and with theoretical results establishing LOOCV as an asymptotically near optimal bandwidth/neighbour count selector for k NN (</w:t>
      </w:r>
      <w:hyperlink w:anchor="ref-azadkia2019">
        <w:hyperlink w:anchor="ref-azadkia2019">
          <w:r>
            <w:rPr>
              <w:rStyle w:val="Hyperlink"/>
              <w:rFonts w:ascii="Times New Roman" w:hAnsi="Times New Roman" w:cs="Times New Roman"/>
              <w:sz w:val="18"/>
              <w:szCs w:val="18"/>
            </w:rPr>
            <w:t>Azadkia 2019</w:t>
          </w:r>
        </w:hyperlink>
      </w:hyperlink>
      <w:r>
        <w:rPr>
          <w:rFonts w:ascii="Times New Roman" w:hAnsi="Times New Roman" w:cs="Times New Roman"/>
          <w:sz w:val="18"/>
          <w:szCs w:val="18"/>
        </w:rPr>
        <w:t>). To demonstrate this mode concretely and honestly, we assigned genuine group labels to the eight demonstration images at synthesis time (</w:t>
      </w:r>
      <w:r>
        <w:rPr>
          <w:rStyle w:val="VerbatimChar"/>
          <w:rFonts w:ascii="Times New Roman" w:hAnsi="Times New Roman" w:cs="Times New Roman"/>
          <w:sz w:val="18"/>
          <w:szCs w:val="18"/>
        </w:rPr>
        <w:t>high_vigor</w:t>
      </w:r>
      <w:r>
        <w:rPr>
          <w:rFonts w:ascii="Times New Roman" w:hAnsi="Times New Roman" w:cs="Times New Roman"/>
          <w:sz w:val="18"/>
          <w:szCs w:val="18"/>
        </w:rPr>
        <w:t xml:space="preserve">, </w:t>
      </w:r>
      <w:r>
        <w:rPr>
          <w:rStyle w:val="VerbatimChar"/>
          <w:rFonts w:ascii="Times New Roman" w:hAnsi="Times New Roman" w:cs="Times New Roman"/>
          <w:sz w:val="18"/>
          <w:szCs w:val="18"/>
        </w:rPr>
        <w:t>mid_vigor</w:t>
      </w:r>
      <w:r>
        <w:rPr>
          <w:rFonts w:ascii="Times New Roman" w:hAnsi="Times New Roman" w:cs="Times New Roman"/>
          <w:sz w:val="18"/>
          <w:szCs w:val="18"/>
        </w:rPr>
        <w:t xml:space="preserve">, </w:t>
      </w:r>
      <w:r>
        <w:rPr>
          <w:rStyle w:val="VerbatimChar"/>
          <w:rFonts w:ascii="Times New Roman" w:hAnsi="Times New Roman" w:cs="Times New Roman"/>
          <w:sz w:val="18"/>
          <w:szCs w:val="18"/>
        </w:rPr>
        <w:t>low_vigor</w:t>
      </w:r>
      <w:r>
        <w:rPr>
          <w:rFonts w:ascii="Times New Roman" w:hAnsi="Times New Roman" w:cs="Times New Roman"/>
          <w:sz w:val="18"/>
          <w:szCs w:val="18"/>
        </w:rPr>
        <w:t>, based on the true procedural vigor parameter used to generate each image  not inferred from the descriptor) and ran the real LOOCV k NN pipeline on them; Figure 4C reports the resulting genuine metrics.</w:t>
      </w:r>
    </w:p>
    <w:p w14:paraId="13BEC242" w14:textId="7BCC585A"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Unsupervised branch (no labels).</w:t>
      </w:r>
      <w:r>
        <w:rPr>
          <w:rFonts w:ascii="Times New Roman" w:hAnsi="Times New Roman" w:cs="Times New Roman"/>
          <w:sz w:val="18"/>
          <w:szCs w:val="18"/>
        </w:rPr>
        <w:t xml:space="preserve"> When no usable labels exist  the default state for a freshly loaded batch  the pipeline runs K Means clustering (</w:t>
      </w:r>
      <w:hyperlink w:anchor="ref-macqueen1967">
        <w:r>
          <w:rPr>
            <w:rStyle w:val="Hyperlink"/>
            <w:rFonts w:ascii="Times New Roman" w:hAnsi="Times New Roman" w:cs="Times New Roman"/>
            <w:sz w:val="18"/>
            <w:szCs w:val="18"/>
          </w:rPr>
          <w:t>MacQueen 1967</w:t>
        </w:r>
      </w:hyperlink>
      <w:r>
        <w:rPr>
          <w:rFonts w:ascii="Times New Roman" w:hAnsi="Times New Roman" w:cs="Times New Roman"/>
          <w:sz w:val="18"/>
          <w:szCs w:val="18"/>
        </w:rPr>
        <w:t xml:space="preserve">) on the standardised descriptors for </w:t>
      </w:r>
      <m:oMath>
        <m:r>
          <m:rPr>
            <m:sty m:val="p"/>
          </m:rPr>
          <w:rPr>
            <w:rFonts w:ascii="Cambria Math" w:hAnsi="Cambria Math" w:cs="Times New Roman"/>
            <w:sz w:val="18"/>
            <w:szCs w:val="18"/>
          </w:rPr>
          <m:t>k=2,…,min</m:t>
        </m:r>
        <m:d>
          <m:dPr>
            <m:ctrlPr>
              <w:rPr>
                <w:rFonts w:ascii="Cambria Math" w:hAnsi="Cambria Math" w:cs="Times New Roman"/>
                <w:sz w:val="18"/>
                <w:szCs w:val="18"/>
              </w:rPr>
            </m:ctrlPr>
          </m:dPr>
          <m:e>
            <m:r>
              <m:rPr>
                <m:sty m:val="p"/>
              </m:rPr>
              <w:rPr>
                <w:rFonts w:ascii="Cambria Math" w:hAnsi="Cambria Math" w:cs="Times New Roman"/>
                <w:sz w:val="18"/>
                <w:szCs w:val="18"/>
              </w:rPr>
              <m:t>6,N-1</m:t>
            </m:r>
          </m:e>
        </m:d>
      </m:oMath>
      <w:r>
        <w:rPr>
          <w:rFonts w:ascii="Times New Roman" w:hAnsi="Times New Roman" w:cs="Times New Roman"/>
          <w:sz w:val="18"/>
          <w:szCs w:val="18"/>
        </w:rPr>
        <w:t xml:space="preserve">, selecting the </w:t>
      </w:r>
      <m:oMath>
        <m:r>
          <m:rPr>
            <m:sty m:val="p"/>
          </m:rPr>
          <w:rPr>
            <w:rFonts w:ascii="Cambria Math" w:hAnsi="Cambria Math" w:cs="Times New Roman"/>
            <w:sz w:val="18"/>
            <w:szCs w:val="18"/>
          </w:rPr>
          <m:t>k</m:t>
        </m:r>
      </m:oMath>
      <w:r>
        <w:rPr>
          <w:rFonts w:ascii="Times New Roman" w:hAnsi="Times New Roman" w:cs="Times New Roman"/>
          <w:sz w:val="18"/>
          <w:szCs w:val="18"/>
        </w:rPr>
        <w:t xml:space="preserve"> that maximises the silhouette score (</w:t>
      </w:r>
      <w:hyperlink w:anchor="ref-rousseeuw1987">
        <w:r>
          <w:rPr>
            <w:rStyle w:val="Hyperlink"/>
            <w:rFonts w:ascii="Times New Roman" w:hAnsi="Times New Roman" w:cs="Times New Roman"/>
            <w:sz w:val="18"/>
            <w:szCs w:val="18"/>
          </w:rPr>
          <w:t>Rousseeuw 1987</w:t>
        </w:r>
      </w:hyperlink>
      <w:r>
        <w:rPr>
          <w:rFonts w:ascii="Times New Roman" w:hAnsi="Times New Roman" w:cs="Times New Roman"/>
          <w:sz w:val="18"/>
          <w:szCs w:val="18"/>
        </w:rPr>
        <w:t>)</w:t>
      </w:r>
    </w:p>
    <w:p w14:paraId="182F21F0" w14:textId="0E689987" w:rsidR="00DA00EE" w:rsidRPr="00E32832" w:rsidRDefault="00E32832" w:rsidP="00BA5D5D">
      <w:pPr>
        <w:pStyle w:val="BodyText"/>
        <w:jc w:val="both"/>
        <w:rPr>
          <w:rFonts w:ascii="Times New Roman" w:hAnsi="Times New Roman" w:cs="Times New Roman"/>
          <w:sz w:val="18"/>
          <w:szCs w:val="18"/>
        </w:rPr>
      </w:pPr>
      <m:oMath>
        <m:r>
          <m:rPr>
            <m:sty m:val="p"/>
          </m:rPr>
          <w:rPr>
            <w:rFonts w:ascii="Cambria Math" w:hAnsi="Cambria Math" w:cs="Times New Roman"/>
            <w:sz w:val="18"/>
            <w:szCs w:val="18"/>
          </w:rPr>
          <m:t>s</m:t>
        </m:r>
        <m:d>
          <m:dPr>
            <m:ctrlPr>
              <w:rPr>
                <w:rFonts w:ascii="Cambria Math" w:hAnsi="Cambria Math" w:cs="Times New Roman"/>
                <w:sz w:val="18"/>
                <w:szCs w:val="18"/>
              </w:rPr>
            </m:ctrlPr>
          </m:dPr>
          <m:e>
            <m:r>
              <m:rPr>
                <m:sty m:val="p"/>
              </m:rPr>
              <w:rPr>
                <w:rFonts w:ascii="Cambria Math" w:hAnsi="Cambria Math" w:cs="Times New Roman"/>
                <w:sz w:val="18"/>
                <w:szCs w:val="18"/>
              </w:rPr>
              <m:t>i</m:t>
            </m:r>
          </m:e>
        </m:d>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b</m:t>
            </m:r>
            <m:d>
              <m:dPr>
                <m:ctrlPr>
                  <w:rPr>
                    <w:rFonts w:ascii="Cambria Math" w:hAnsi="Cambria Math" w:cs="Times New Roman"/>
                    <w:sz w:val="18"/>
                    <w:szCs w:val="18"/>
                  </w:rPr>
                </m:ctrlPr>
              </m:dPr>
              <m:e>
                <m:r>
                  <m:rPr>
                    <m:sty m:val="p"/>
                  </m:rPr>
                  <w:rPr>
                    <w:rFonts w:ascii="Cambria Math" w:hAnsi="Cambria Math" w:cs="Times New Roman"/>
                    <w:sz w:val="18"/>
                    <w:szCs w:val="18"/>
                  </w:rPr>
                  <m:t>i</m:t>
                </m:r>
              </m:e>
            </m:d>
            <m:r>
              <m:rPr>
                <m:sty m:val="p"/>
              </m:rPr>
              <w:rPr>
                <w:rFonts w:ascii="Cambria Math" w:hAnsi="Cambria Math" w:cs="Times New Roman"/>
                <w:sz w:val="18"/>
                <w:szCs w:val="18"/>
              </w:rPr>
              <m:t>-a</m:t>
            </m:r>
            <m:d>
              <m:dPr>
                <m:ctrlPr>
                  <w:rPr>
                    <w:rFonts w:ascii="Cambria Math" w:hAnsi="Cambria Math" w:cs="Times New Roman"/>
                    <w:sz w:val="18"/>
                    <w:szCs w:val="18"/>
                  </w:rPr>
                </m:ctrlPr>
              </m:dPr>
              <m:e>
                <m:r>
                  <m:rPr>
                    <m:sty m:val="p"/>
                  </m:rPr>
                  <w:rPr>
                    <w:rFonts w:ascii="Cambria Math" w:hAnsi="Cambria Math" w:cs="Times New Roman"/>
                    <w:sz w:val="18"/>
                    <w:szCs w:val="18"/>
                  </w:rPr>
                  <m:t>i</m:t>
                </m:r>
              </m:e>
            </m:d>
          </m:num>
          <m:den>
            <m:r>
              <m:rPr>
                <m:sty m:val="p"/>
              </m:rPr>
              <w:rPr>
                <w:rFonts w:ascii="Cambria Math" w:hAnsi="Cambria Math" w:cs="Times New Roman"/>
                <w:sz w:val="18"/>
                <w:szCs w:val="18"/>
              </w:rPr>
              <m:t>max</m:t>
            </m:r>
            <m:d>
              <m:dPr>
                <m:ctrlPr>
                  <w:rPr>
                    <w:rFonts w:ascii="Cambria Math" w:hAnsi="Cambria Math" w:cs="Times New Roman"/>
                    <w:sz w:val="18"/>
                    <w:szCs w:val="18"/>
                  </w:rPr>
                </m:ctrlPr>
              </m:dPr>
              <m:e>
                <m:r>
                  <m:rPr>
                    <m:sty m:val="p"/>
                  </m:rPr>
                  <w:rPr>
                    <w:rFonts w:ascii="Cambria Math" w:hAnsi="Cambria Math" w:cs="Times New Roman"/>
                    <w:sz w:val="18"/>
                    <w:szCs w:val="18"/>
                  </w:rPr>
                  <m:t>a</m:t>
                </m:r>
                <m:d>
                  <m:dPr>
                    <m:ctrlPr>
                      <w:rPr>
                        <w:rFonts w:ascii="Cambria Math" w:hAnsi="Cambria Math" w:cs="Times New Roman"/>
                        <w:sz w:val="18"/>
                        <w:szCs w:val="18"/>
                      </w:rPr>
                    </m:ctrlPr>
                  </m:dPr>
                  <m:e>
                    <m:r>
                      <m:rPr>
                        <m:sty m:val="p"/>
                      </m:rPr>
                      <w:rPr>
                        <w:rFonts w:ascii="Cambria Math" w:hAnsi="Cambria Math" w:cs="Times New Roman"/>
                        <w:sz w:val="18"/>
                        <w:szCs w:val="18"/>
                      </w:rPr>
                      <m:t>i</m:t>
                    </m:r>
                  </m:e>
                </m:d>
                <m:r>
                  <m:rPr>
                    <m:sty m:val="p"/>
                  </m:rPr>
                  <w:rPr>
                    <w:rFonts w:ascii="Cambria Math" w:hAnsi="Cambria Math" w:cs="Times New Roman"/>
                    <w:sz w:val="18"/>
                    <w:szCs w:val="18"/>
                  </w:rPr>
                  <m:t>,b</m:t>
                </m:r>
                <m:d>
                  <m:dPr>
                    <m:ctrlPr>
                      <w:rPr>
                        <w:rFonts w:ascii="Cambria Math" w:hAnsi="Cambria Math" w:cs="Times New Roman"/>
                        <w:sz w:val="18"/>
                        <w:szCs w:val="18"/>
                      </w:rPr>
                    </m:ctrlPr>
                  </m:dPr>
                  <m:e>
                    <m:r>
                      <m:rPr>
                        <m:sty m:val="p"/>
                      </m:rPr>
                      <w:rPr>
                        <w:rFonts w:ascii="Cambria Math" w:hAnsi="Cambria Math" w:cs="Times New Roman"/>
                        <w:sz w:val="18"/>
                        <w:szCs w:val="18"/>
                      </w:rPr>
                      <m:t>i</m:t>
                    </m:r>
                  </m:e>
                </m:d>
              </m:e>
            </m:d>
          </m:den>
        </m:f>
      </m:oMath>
      <w:r>
        <w:rPr>
          <w:rFonts w:ascii="Times New Roman" w:hAnsi="Times New Roman" w:cs="Times New Roman"/>
          <w:b/>
          <w:sz w:val="18"/>
          <w:szCs w:val="18"/>
        </w:rPr>
        <w:t xml:space="preserve">  (13)</w:t>
      </w:r>
    </w:p>
    <w:p w14:paraId="6335C45C" w14:textId="52256261"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where </w:t>
      </w:r>
      <m:oMath>
        <m:r>
          <m:rPr>
            <m:sty m:val="p"/>
          </m:rPr>
          <w:rPr>
            <w:rFonts w:ascii="Cambria Math" w:hAnsi="Cambria Math" w:cs="Times New Roman"/>
            <w:sz w:val="18"/>
            <w:szCs w:val="18"/>
          </w:rPr>
          <m:t>a</m:t>
        </m:r>
        <m:d>
          <m:dPr>
            <m:ctrlPr>
              <w:rPr>
                <w:rFonts w:ascii="Cambria Math" w:hAnsi="Cambria Math" w:cs="Times New Roman"/>
                <w:sz w:val="18"/>
                <w:szCs w:val="18"/>
              </w:rPr>
            </m:ctrlPr>
          </m:dPr>
          <m:e>
            <m:r>
              <m:rPr>
                <m:sty m:val="p"/>
              </m:rPr>
              <w:rPr>
                <w:rFonts w:ascii="Cambria Math" w:hAnsi="Cambria Math" w:cs="Times New Roman"/>
                <w:sz w:val="18"/>
                <w:szCs w:val="18"/>
              </w:rPr>
              <m:t>i</m:t>
            </m:r>
          </m:e>
        </m:d>
      </m:oMath>
      <w:r>
        <w:rPr>
          <w:rFonts w:ascii="Times New Roman" w:hAnsi="Times New Roman" w:cs="Times New Roman"/>
          <w:sz w:val="18"/>
          <w:szCs w:val="18"/>
        </w:rPr>
        <w:t xml:space="preserve"> is the mean intra cluster distance for point </w:t>
      </w:r>
      <m:oMath>
        <m:r>
          <m:rPr>
            <m:sty m:val="p"/>
          </m:rPr>
          <w:rPr>
            <w:rFonts w:ascii="Cambria Math" w:hAnsi="Cambria Math" w:cs="Times New Roman"/>
            <w:sz w:val="18"/>
            <w:szCs w:val="18"/>
          </w:rPr>
          <m:t>i</m:t>
        </m:r>
      </m:oMath>
      <w:r>
        <w:rPr>
          <w:rFonts w:ascii="Times New Roman" w:hAnsi="Times New Roman" w:cs="Times New Roman"/>
          <w:sz w:val="18"/>
          <w:szCs w:val="18"/>
        </w:rPr>
        <w:t xml:space="preserve"> and </w:t>
      </w:r>
      <m:oMath>
        <m:r>
          <m:rPr>
            <m:sty m:val="p"/>
          </m:rPr>
          <w:rPr>
            <w:rFonts w:ascii="Cambria Math" w:hAnsi="Cambria Math" w:cs="Times New Roman"/>
            <w:sz w:val="18"/>
            <w:szCs w:val="18"/>
          </w:rPr>
          <m:t>b</m:t>
        </m:r>
        <m:d>
          <m:dPr>
            <m:ctrlPr>
              <w:rPr>
                <w:rFonts w:ascii="Cambria Math" w:hAnsi="Cambria Math" w:cs="Times New Roman"/>
                <w:sz w:val="18"/>
                <w:szCs w:val="18"/>
              </w:rPr>
            </m:ctrlPr>
          </m:dPr>
          <m:e>
            <m:r>
              <m:rPr>
                <m:sty m:val="p"/>
              </m:rPr>
              <w:rPr>
                <w:rFonts w:ascii="Cambria Math" w:hAnsi="Cambria Math" w:cs="Times New Roman"/>
                <w:sz w:val="18"/>
                <w:szCs w:val="18"/>
              </w:rPr>
              <m:t>i</m:t>
            </m:r>
          </m:e>
        </m:d>
      </m:oMath>
      <w:r>
        <w:rPr>
          <w:rFonts w:ascii="Times New Roman" w:hAnsi="Times New Roman" w:cs="Times New Roman"/>
          <w:sz w:val="18"/>
          <w:szCs w:val="18"/>
        </w:rPr>
        <w:t xml:space="preserve"> is the mean distance to the nearest other cluster, averaged as </w:t>
      </w:r>
      <m:oMath>
        <m:acc>
          <m:accPr>
            <m:chr m:val="‾"/>
            <m:ctrlPr>
              <w:rPr>
                <w:rFonts w:ascii="Cambria Math" w:hAnsi="Cambria Math" w:cs="Times New Roman"/>
                <w:sz w:val="18"/>
                <w:szCs w:val="18"/>
              </w:rPr>
            </m:ctrlPr>
          </m:accPr>
          <m:e>
            <m:r>
              <m:rPr>
                <m:sty m:val="p"/>
              </m:rPr>
              <w:rPr>
                <w:rFonts w:ascii="Cambria Math" w:hAnsi="Cambria Math" w:cs="Times New Roman"/>
                <w:sz w:val="18"/>
                <w:szCs w:val="18"/>
              </w:rPr>
              <m:t>s</m:t>
            </m:r>
          </m:e>
        </m:acc>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r>
              <m:rPr>
                <m:sty m:val="p"/>
              </m:rPr>
              <w:rPr>
                <w:rFonts w:ascii="Cambria Math" w:hAnsi="Cambria Math" w:cs="Times New Roman"/>
                <w:sz w:val="18"/>
                <w:szCs w:val="18"/>
              </w:rPr>
              <m:t>N</m:t>
            </m:r>
          </m:den>
        </m:f>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i</m:t>
            </m:r>
          </m:sub>
          <m:sup>
            <m:r>
              <m:rPr>
                <m:sty m:val="p"/>
              </m:rPr>
              <w:rPr>
                <w:rFonts w:ascii="Cambria Math" w:hAnsi="Cambria Math" w:cs="Times New Roman"/>
                <w:sz w:val="18"/>
                <w:szCs w:val="18"/>
              </w:rPr>
              <m:t>​</m:t>
            </m:r>
          </m:sup>
          <m:e>
            <m:r>
              <m:rPr>
                <m:sty m:val="p"/>
              </m:rPr>
              <w:rPr>
                <w:rFonts w:ascii="Cambria Math" w:hAnsi="Cambria Math" w:cs="Times New Roman"/>
                <w:sz w:val="18"/>
                <w:szCs w:val="18"/>
              </w:rPr>
              <m:t>s</m:t>
            </m:r>
          </m:e>
        </m:nary>
        <m:d>
          <m:dPr>
            <m:ctrlPr>
              <w:rPr>
                <w:rFonts w:ascii="Cambria Math" w:hAnsi="Cambria Math" w:cs="Times New Roman"/>
                <w:sz w:val="18"/>
                <w:szCs w:val="18"/>
              </w:rPr>
            </m:ctrlPr>
          </m:dPr>
          <m:e>
            <m:r>
              <m:rPr>
                <m:sty m:val="p"/>
              </m:rPr>
              <w:rPr>
                <w:rFonts w:ascii="Cambria Math" w:hAnsi="Cambria Math" w:cs="Times New Roman"/>
                <w:sz w:val="18"/>
                <w:szCs w:val="18"/>
              </w:rPr>
              <m:t>i</m:t>
            </m:r>
          </m:e>
        </m:d>
        <m:r>
          <m:rPr>
            <m:sty m:val="p"/>
          </m:rPr>
          <w:rPr>
            <w:rFonts w:ascii="Cambria Math" w:hAnsi="Cambria Math" w:cs="Times New Roman"/>
            <w:sz w:val="18"/>
            <w:szCs w:val="18"/>
          </w:rPr>
          <m:t>∈</m:t>
        </m:r>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w:r>
        <w:rPr>
          <w:rFonts w:ascii="Times New Roman" w:hAnsi="Times New Roman" w:cs="Times New Roman"/>
          <w:sz w:val="18"/>
          <w:szCs w:val="18"/>
        </w:rPr>
        <w:t xml:space="preserve"> (higher is better separated). Alongside the </w:t>
      </w:r>
      <w:r>
        <w:rPr>
          <w:rFonts w:ascii="Times New Roman" w:hAnsi="Times New Roman" w:cs="Times New Roman"/>
          <w:sz w:val="18"/>
          <w:szCs w:val="18"/>
        </w:rPr>
        <w:t xml:space="preserve">selected </w:t>
      </w:r>
      <m:oMath>
        <m:r>
          <m:rPr>
            <m:sty m:val="p"/>
          </m:rPr>
          <w:rPr>
            <w:rFonts w:ascii="Cambria Math" w:hAnsi="Cambria Math" w:cs="Times New Roman"/>
            <w:sz w:val="18"/>
            <w:szCs w:val="18"/>
          </w:rPr>
          <m:t>k</m:t>
        </m:r>
      </m:oMath>
      <w:r>
        <w:rPr>
          <w:rFonts w:ascii="Times New Roman" w:hAnsi="Times New Roman" w:cs="Times New Roman"/>
          <w:sz w:val="18"/>
          <w:szCs w:val="18"/>
        </w:rPr>
        <w:t>, the pipeline reports the Davies–Bouldin index (lower is better; ratio of within cluster scatter to between cluster separation) and the Calinski–Harabasz index (higher is better; ratio of between cluster to within cluster dispersion, weighted by degrees of freedom)  a standard trio of label free internal validity measures (</w:t>
      </w:r>
      <w:hyperlink w:anchor="ref-cervantesbarragan2024">
        <w:r>
          <w:rPr>
            <w:rStyle w:val="Hyperlink"/>
            <w:rFonts w:ascii="Times New Roman" w:hAnsi="Times New Roman" w:cs="Times New Roman"/>
            <w:sz w:val="18"/>
            <w:szCs w:val="18"/>
          </w:rPr>
          <w:t>Cervantes Barragan 2024</w:t>
        </w:r>
      </w:hyperlink>
      <w:r>
        <w:rPr>
          <w:rFonts w:ascii="Times New Roman" w:hAnsi="Times New Roman" w:cs="Times New Roman"/>
          <w:sz w:val="18"/>
          <w:szCs w:val="18"/>
        </w:rPr>
        <w:t>). Crucially, the module never reports a fabricated accuracy or F1 score in this branch, since no ground truth exists to be correct against; it reports only what is honestly computable. Figure 11 shows this unsupervised branch’s output for the same eight image batch with labels withheld.</w:t>
      </w:r>
    </w:p>
    <w:p w14:paraId="20BAE4E6" w14:textId="77777777" w:rsidR="00DA00EE" w:rsidRPr="00E32832" w:rsidRDefault="00F84C4B" w:rsidP="00BA5D5D">
      <w:pPr>
        <w:pStyle w:val="Heading3"/>
        <w:jc w:val="both"/>
        <w:rPr>
          <w:rFonts w:ascii="Times New Roman" w:hAnsi="Times New Roman" w:cs="Times New Roman"/>
          <w:color w:val="auto"/>
          <w:sz w:val="18"/>
          <w:szCs w:val="18"/>
        </w:rPr>
      </w:pPr>
      <w:bookmarkStart w:id="47" w:name="_Toc234738412"/>
      <w:bookmarkEnd w:id="46"/>
      <w:r>
        <w:rPr>
          <w:rFonts w:ascii="Times New Roman" w:hAnsi="Times New Roman" w:cs="Times New Roman"/>
          <w:color w:val="auto"/>
          <w:sz w:val="18"/>
          <w:szCs w:val="18"/>
        </w:rPr>
        <w:t>4.7 Optional integration of generic pretrained deep vision models</w:t>
      </w:r>
      <w:bookmarkEnd w:id="47"/>
    </w:p>
    <w:p w14:paraId="3CEC1F7A" w14:textId="6C839C0B"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Two optional panels wrap standard torchvision pretrained models: ResNet101 [ImageNet 1k weights; He et al. (</w:t>
      </w:r>
      <w:hyperlink w:anchor="ref-he2016">
        <w:r>
          <w:rPr>
            <w:rStyle w:val="Hyperlink"/>
            <w:rFonts w:ascii="Times New Roman" w:hAnsi="Times New Roman" w:cs="Times New Roman"/>
            <w:sz w:val="18"/>
            <w:szCs w:val="18"/>
          </w:rPr>
          <w:t>2016</w:t>
        </w:r>
      </w:hyperlink>
      <w:r>
        <w:rPr>
          <w:rFonts w:ascii="Times New Roman" w:hAnsi="Times New Roman" w:cs="Times New Roman"/>
          <w:sz w:val="18"/>
          <w:szCs w:val="18"/>
        </w:rPr>
        <w:t>); Deng et al. (</w:t>
      </w:r>
      <w:hyperlink w:anchor="ref-deng2009">
        <w:r>
          <w:rPr>
            <w:rStyle w:val="Hyperlink"/>
            <w:rFonts w:ascii="Times New Roman" w:hAnsi="Times New Roman" w:cs="Times New Roman"/>
            <w:sz w:val="18"/>
            <w:szCs w:val="18"/>
          </w:rPr>
          <w:t>2009</w:t>
        </w:r>
      </w:hyperlink>
      <w:r>
        <w:rPr>
          <w:rFonts w:ascii="Times New Roman" w:hAnsi="Times New Roman" w:cs="Times New Roman"/>
          <w:sz w:val="18"/>
          <w:szCs w:val="18"/>
        </w:rPr>
        <w:t>)] for whole image classification, and Faster R CNN (</w:t>
      </w:r>
      <w:hyperlink w:anchor="ref-ren2015">
        <w:r>
          <w:rPr>
            <w:rStyle w:val="Hyperlink"/>
            <w:rFonts w:ascii="Times New Roman" w:hAnsi="Times New Roman" w:cs="Times New Roman"/>
            <w:sz w:val="18"/>
            <w:szCs w:val="18"/>
          </w:rPr>
          <w:t>Ren et al. 2015</w:t>
        </w:r>
      </w:hyperlink>
      <w:r>
        <w:rPr>
          <w:rFonts w:ascii="Times New Roman" w:hAnsi="Times New Roman" w:cs="Times New Roman"/>
          <w:sz w:val="18"/>
          <w:szCs w:val="18"/>
        </w:rPr>
        <w:t xml:space="preserve">) with a ResNet 50 FPN backbone [COCO </w:t>
      </w:r>
      <w:r>
        <w:rPr>
          <w:rFonts w:ascii="Times New Roman" w:hAnsi="Times New Roman" w:cs="Times New Roman"/>
          <w:sz w:val="18"/>
          <w:szCs w:val="18"/>
        </w:rPr>
        <w:t>weights; Lin et al. (</w:t>
      </w:r>
      <w:hyperlink w:anchor="ref-lin2014">
        <w:r>
          <w:rPr>
            <w:rStyle w:val="Hyperlink"/>
            <w:rFonts w:ascii="Times New Roman" w:hAnsi="Times New Roman" w:cs="Times New Roman"/>
            <w:sz w:val="18"/>
            <w:szCs w:val="18"/>
          </w:rPr>
          <w:t>2014</w:t>
        </w:r>
      </w:hyperlink>
      <w:r>
        <w:rPr>
          <w:rFonts w:ascii="Times New Roman" w:hAnsi="Times New Roman" w:cs="Times New Roman"/>
          <w:sz w:val="18"/>
          <w:szCs w:val="18"/>
        </w:rPr>
        <w:t xml:space="preserve">)] for object detection. Both run genuine forward pass inference when </w:t>
      </w:r>
      <w:r>
        <w:rPr>
          <w:rStyle w:val="VerbatimChar"/>
          <w:rFonts w:ascii="Times New Roman" w:hAnsi="Times New Roman" w:cs="Times New Roman"/>
          <w:sz w:val="18"/>
          <w:szCs w:val="18"/>
        </w:rPr>
        <w:t>torch</w:t>
      </w:r>
      <w:r>
        <w:rPr>
          <w:rFonts w:ascii="Times New Roman" w:hAnsi="Times New Roman" w:cs="Times New Roman"/>
          <w:sz w:val="18"/>
          <w:szCs w:val="18"/>
        </w:rPr>
        <w:t>/</w:t>
      </w:r>
      <w:r>
        <w:rPr>
          <w:rStyle w:val="VerbatimChar"/>
          <w:rFonts w:ascii="Times New Roman" w:hAnsi="Times New Roman" w:cs="Times New Roman"/>
          <w:sz w:val="18"/>
          <w:szCs w:val="18"/>
        </w:rPr>
        <w:t>torchvision</w:t>
      </w:r>
      <w:r>
        <w:rPr>
          <w:rFonts w:ascii="Times New Roman" w:hAnsi="Times New Roman" w:cs="Times New Roman"/>
          <w:sz w:val="18"/>
          <w:szCs w:val="18"/>
        </w:rPr>
        <w:t xml:space="preserve"> are installed and pretrained weights are reachable  softmax class probabilities </w:t>
      </w:r>
      <m:oMath>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c</m:t>
            </m:r>
          </m:sub>
        </m:sSub>
        <m:r>
          <m:rPr>
            <m:sty m:val="p"/>
          </m:rPr>
          <w:rPr>
            <w:rFonts w:ascii="Cambria Math" w:hAnsi="Cambria Math" w:cs="Times New Roman"/>
            <w:sz w:val="18"/>
            <w:szCs w:val="18"/>
          </w:rPr>
          <m:t>=exp</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z</m:t>
                </m:r>
              </m:e>
              <m:sub>
                <m:r>
                  <m:rPr>
                    <m:sty m:val="p"/>
                  </m:rPr>
                  <w:rPr>
                    <w:rFonts w:ascii="Cambria Math" w:hAnsi="Cambria Math" w:cs="Times New Roman"/>
                    <w:sz w:val="18"/>
                    <w:szCs w:val="18"/>
                  </w:rPr>
                  <m:t>c</m:t>
                </m:r>
              </m:sub>
            </m:sSub>
          </m:e>
        </m:d>
        <m:r>
          <m:rPr>
            <m:sty m:val="p"/>
          </m:rPr>
          <w:rPr>
            <w:rFonts w:ascii="Cambria Math" w:hAnsi="Cambria Math" w:cs="Times New Roman"/>
            <w:sz w:val="18"/>
            <w:szCs w:val="18"/>
          </w:rPr>
          <m:t>/</m:t>
        </m:r>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c'</m:t>
            </m:r>
          </m:sub>
          <m:sup>
            <m:r>
              <m:rPr>
                <m:sty m:val="p"/>
              </m:rPr>
              <w:rPr>
                <w:rFonts w:ascii="Cambria Math" w:hAnsi="Cambria Math" w:cs="Times New Roman"/>
                <w:sz w:val="18"/>
                <w:szCs w:val="18"/>
              </w:rPr>
              <m:t>​</m:t>
            </m:r>
          </m:sup>
          <m:e>
            <m:r>
              <m:rPr>
                <m:sty m:val="p"/>
              </m:rPr>
              <w:rPr>
                <w:rFonts w:ascii="Cambria Math" w:hAnsi="Cambria Math" w:cs="Times New Roman"/>
                <w:sz w:val="18"/>
                <w:szCs w:val="18"/>
              </w:rPr>
              <m:t>exp</m:t>
            </m:r>
          </m:e>
        </m:nary>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z</m:t>
                </m:r>
              </m:e>
              <m:sub>
                <m:r>
                  <m:rPr>
                    <m:sty m:val="p"/>
                  </m:rPr>
                  <w:rPr>
                    <w:rFonts w:ascii="Cambria Math" w:hAnsi="Cambria Math" w:cs="Times New Roman"/>
                    <w:sz w:val="18"/>
                    <w:szCs w:val="18"/>
                  </w:rPr>
                  <m:t>c'</m:t>
                </m:r>
              </m:sub>
            </m:sSub>
          </m:e>
        </m:d>
      </m:oMath>
      <w:r>
        <w:rPr>
          <w:rFonts w:ascii="Times New Roman" w:hAnsi="Times New Roman" w:cs="Times New Roman"/>
          <w:sz w:val="18"/>
          <w:szCs w:val="18"/>
        </w:rPr>
        <w:t xml:space="preserve"> for the top 5 ImageNet categories in the ResNet case, and confidence thresholded (</w:t>
      </w:r>
      <m:oMath>
        <m:r>
          <m:rPr>
            <m:nor/>
          </m:rPr>
          <w:rPr>
            <w:rFonts w:ascii="Times New Roman" w:hAnsi="Times New Roman" w:cs="Times New Roman"/>
            <w:sz w:val="18"/>
            <w:szCs w:val="18"/>
          </w:rPr>
          <m:t>score</m:t>
        </m:r>
        <m:r>
          <m:rPr>
            <m:sty m:val="p"/>
          </m:rPr>
          <w:rPr>
            <w:rFonts w:ascii="Cambria Math" w:hAnsi="Cambria Math" w:cs="Times New Roman"/>
            <w:sz w:val="18"/>
            <w:szCs w:val="18"/>
          </w:rPr>
          <m:t>&gt;0.5</m:t>
        </m:r>
      </m:oMath>
      <w:r>
        <w:rPr>
          <w:rFonts w:ascii="Times New Roman" w:hAnsi="Times New Roman" w:cs="Times New Roman"/>
          <w:sz w:val="18"/>
          <w:szCs w:val="18"/>
        </w:rPr>
        <w:t xml:space="preserve">) bounding boxes for the Faster R CNN case  but the categories involved (ImageNet object classes, COCO object classes) are generic and </w:t>
      </w:r>
      <w:r>
        <w:rPr>
          <w:rFonts w:ascii="Times New Roman" w:hAnsi="Times New Roman" w:cs="Times New Roman"/>
          <w:sz w:val="18"/>
          <w:szCs w:val="18"/>
        </w:rPr>
        <w:lastRenderedPageBreak/>
        <w:t xml:space="preserve">not agronomic pathology labels; the module’s own documentation states these are “genuine, per image plausibility/feature checks, not validated agronomic pathology classifiers.” When torch/torchvision are absent, or pretrained weights cannot be fetched (most commonly because the runtime has no internet access), the panel displays an explicit “unavailable in this environment” message with the exact remediation step, </w:t>
      </w:r>
      <w:r>
        <w:rPr>
          <w:rFonts w:ascii="Times New Roman" w:hAnsi="Times New Roman" w:cs="Times New Roman"/>
          <w:sz w:val="18"/>
          <w:szCs w:val="18"/>
        </w:rPr>
        <w:t>rather than silently omitting the panel or substituting a plausible looking placeholder result. Figure 4E shows this honest fallback path exactly as it renders in the authoring environment used for this paper, which itself has no internet access to fetch the required pretrained weights  a genuine, unforced demonstration of the unavailable rather than fabricated design rule discussed in Section 8.</w:t>
      </w:r>
    </w:p>
    <w:p w14:paraId="49804F94" w14:textId="77777777" w:rsidR="00DA00EE" w:rsidRPr="00E32832" w:rsidRDefault="00F84C4B" w:rsidP="00BA5D5D">
      <w:pPr>
        <w:pStyle w:val="Heading3"/>
        <w:jc w:val="both"/>
        <w:rPr>
          <w:rFonts w:ascii="Times New Roman" w:hAnsi="Times New Roman" w:cs="Times New Roman"/>
          <w:color w:val="auto"/>
          <w:sz w:val="18"/>
          <w:szCs w:val="18"/>
        </w:rPr>
      </w:pPr>
      <w:bookmarkStart w:id="48" w:name="_Toc234738413"/>
      <w:r>
        <w:rPr>
          <w:rFonts w:ascii="Times New Roman" w:hAnsi="Times New Roman" w:cs="Times New Roman"/>
          <w:color w:val="auto"/>
          <w:sz w:val="18"/>
          <w:szCs w:val="18"/>
        </w:rPr>
        <w:t>4.8 UAV multispectral extension</w:t>
      </w:r>
      <w:bookmarkEnd w:id="48"/>
    </w:p>
    <w:p w14:paraId="5A79CCD0" w14:textId="6FA7432A"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When a genuine multi band UAV capture is available  either as a single multi band GeoTIFF or as a set of individually named single band files later grouped by role (</w:t>
      </w:r>
      <w:r>
        <w:rPr>
          <w:rStyle w:val="VerbatimChar"/>
          <w:rFonts w:ascii="Times New Roman" w:hAnsi="Times New Roman" w:cs="Times New Roman"/>
          <w:sz w:val="18"/>
          <w:szCs w:val="18"/>
        </w:rPr>
        <w:t>red</w:t>
      </w:r>
      <w:r>
        <w:rPr>
          <w:rFonts w:ascii="Times New Roman" w:hAnsi="Times New Roman" w:cs="Times New Roman"/>
          <w:sz w:val="18"/>
          <w:szCs w:val="18"/>
        </w:rPr>
        <w:t xml:space="preserve">, </w:t>
      </w:r>
      <w:r>
        <w:rPr>
          <w:rStyle w:val="VerbatimChar"/>
          <w:rFonts w:ascii="Times New Roman" w:hAnsi="Times New Roman" w:cs="Times New Roman"/>
          <w:sz w:val="18"/>
          <w:szCs w:val="18"/>
        </w:rPr>
        <w:t>green</w:t>
      </w:r>
      <w:r>
        <w:rPr>
          <w:rFonts w:ascii="Times New Roman" w:hAnsi="Times New Roman" w:cs="Times New Roman"/>
          <w:sz w:val="18"/>
          <w:szCs w:val="18"/>
        </w:rPr>
        <w:t xml:space="preserve">, </w:t>
      </w:r>
      <w:r>
        <w:rPr>
          <w:rStyle w:val="VerbatimChar"/>
          <w:rFonts w:ascii="Times New Roman" w:hAnsi="Times New Roman" w:cs="Times New Roman"/>
          <w:sz w:val="18"/>
          <w:szCs w:val="18"/>
        </w:rPr>
        <w:t>blue</w:t>
      </w:r>
      <w:r>
        <w:rPr>
          <w:rFonts w:ascii="Times New Roman" w:hAnsi="Times New Roman" w:cs="Times New Roman"/>
          <w:sz w:val="18"/>
          <w:szCs w:val="18"/>
        </w:rPr>
        <w:t xml:space="preserve">, </w:t>
      </w:r>
      <w:r>
        <w:rPr>
          <w:rStyle w:val="VerbatimChar"/>
          <w:rFonts w:ascii="Times New Roman" w:hAnsi="Times New Roman" w:cs="Times New Roman"/>
          <w:sz w:val="18"/>
          <w:szCs w:val="18"/>
        </w:rPr>
        <w:t>nir</w:t>
      </w:r>
      <w:r>
        <w:rPr>
          <w:rFonts w:ascii="Times New Roman" w:hAnsi="Times New Roman" w:cs="Times New Roman"/>
          <w:sz w:val="18"/>
          <w:szCs w:val="18"/>
        </w:rPr>
        <w:t xml:space="preserve">, </w:t>
      </w:r>
      <w:r>
        <w:rPr>
          <w:rStyle w:val="VerbatimChar"/>
          <w:rFonts w:ascii="Times New Roman" w:hAnsi="Times New Roman" w:cs="Times New Roman"/>
          <w:sz w:val="18"/>
          <w:szCs w:val="18"/>
        </w:rPr>
        <w:t>rededge</w:t>
      </w:r>
      <w:r>
        <w:rPr>
          <w:rFonts w:ascii="Times New Roman" w:hAnsi="Times New Roman" w:cs="Times New Roman"/>
          <w:sz w:val="18"/>
          <w:szCs w:val="18"/>
        </w:rPr>
        <w:t xml:space="preserve">, guessed from filename keywords and confirmable by the user)  the module reads the real spectral bands via </w:t>
      </w:r>
      <w:r>
        <w:rPr>
          <w:rStyle w:val="VerbatimChar"/>
          <w:rFonts w:ascii="Times New Roman" w:hAnsi="Times New Roman" w:cs="Times New Roman"/>
          <w:sz w:val="18"/>
          <w:szCs w:val="18"/>
        </w:rPr>
        <w:t>rasterio</w:t>
      </w:r>
      <w:r>
        <w:rPr>
          <w:rFonts w:ascii="Times New Roman" w:hAnsi="Times New Roman" w:cs="Times New Roman"/>
          <w:sz w:val="18"/>
          <w:szCs w:val="18"/>
        </w:rPr>
        <w:t xml:space="preserve"> and computes true NDVI and NDRE directly from calibrated Red/NIR/red edge reflectance proportional values, rather than a channel substitution proxy. Because band order is sensor specific and not universally standardised, the loader assumes the common five band MicaSense RedEdge class ordering (Blue, Green, Red, </w:t>
      </w:r>
      <w:r>
        <w:rPr>
          <w:rFonts w:ascii="Times New Roman" w:hAnsi="Times New Roman" w:cs="Times New Roman"/>
          <w:sz w:val="18"/>
          <w:szCs w:val="18"/>
        </w:rPr>
        <w:t xml:space="preserve">Red edge, NIR) by default and states this assumption explicitly, since a silently wrong band order assumption would otherwise produce plausible looking but physically incorrect index maps. When </w:t>
      </w:r>
      <w:r>
        <w:rPr>
          <w:rStyle w:val="VerbatimChar"/>
          <w:rFonts w:ascii="Times New Roman" w:hAnsi="Times New Roman" w:cs="Times New Roman"/>
          <w:sz w:val="18"/>
          <w:szCs w:val="18"/>
        </w:rPr>
        <w:t>rasterio</w:t>
      </w:r>
      <w:r>
        <w:rPr>
          <w:rFonts w:ascii="Times New Roman" w:hAnsi="Times New Roman" w:cs="Times New Roman"/>
          <w:sz w:val="18"/>
          <w:szCs w:val="18"/>
        </w:rPr>
        <w:t xml:space="preserve"> is not installed, </w:t>
      </w:r>
      <w:r>
        <w:rPr>
          <w:rStyle w:val="VerbatimChar"/>
          <w:rFonts w:ascii="Times New Roman" w:hAnsi="Times New Roman" w:cs="Times New Roman"/>
          <w:sz w:val="18"/>
          <w:szCs w:val="18"/>
        </w:rPr>
        <w:t>is_multispectral_file()</w:t>
      </w:r>
      <w:r>
        <w:rPr>
          <w:rFonts w:ascii="Times New Roman" w:hAnsi="Times New Roman" w:cs="Times New Roman"/>
          <w:sz w:val="18"/>
          <w:szCs w:val="18"/>
        </w:rPr>
        <w:t xml:space="preserve"> and </w:t>
      </w:r>
      <w:r>
        <w:rPr>
          <w:rStyle w:val="VerbatimChar"/>
          <w:rFonts w:ascii="Times New Roman" w:hAnsi="Times New Roman" w:cs="Times New Roman"/>
          <w:sz w:val="18"/>
          <w:szCs w:val="18"/>
        </w:rPr>
        <w:t>load_multispectral()</w:t>
      </w:r>
      <w:r>
        <w:rPr>
          <w:rFonts w:ascii="Times New Roman" w:hAnsi="Times New Roman" w:cs="Times New Roman"/>
          <w:sz w:val="18"/>
          <w:szCs w:val="18"/>
        </w:rPr>
        <w:t xml:space="preserve"> return an explicit </w:t>
      </w:r>
      <w:r>
        <w:rPr>
          <w:rStyle w:val="VerbatimChar"/>
          <w:rFonts w:ascii="Times New Roman" w:hAnsi="Times New Roman" w:cs="Times New Roman"/>
          <w:sz w:val="18"/>
          <w:szCs w:val="18"/>
        </w:rPr>
        <w:t>{"available": False, "note": "UNAVAILABLE: the 'rasterio' package is not installed..."}</w:t>
      </w:r>
      <w:r>
        <w:rPr>
          <w:rFonts w:ascii="Times New Roman" w:hAnsi="Times New Roman" w:cs="Times New Roman"/>
          <w:sz w:val="18"/>
          <w:szCs w:val="18"/>
        </w:rPr>
        <w:t xml:space="preserve"> rather than falling back to an RGB proxy value under the “true” index’s name. Figure 5A shows this genuine status as measured live in the authoring environment for this paper (</w:t>
      </w:r>
      <w:r>
        <w:rPr>
          <w:rStyle w:val="VerbatimChar"/>
          <w:rFonts w:ascii="Times New Roman" w:hAnsi="Times New Roman" w:cs="Times New Roman"/>
          <w:sz w:val="18"/>
          <w:szCs w:val="18"/>
        </w:rPr>
        <w:t>rasterio</w:t>
      </w:r>
      <w:r>
        <w:rPr>
          <w:rFonts w:ascii="Times New Roman" w:hAnsi="Times New Roman" w:cs="Times New Roman"/>
          <w:sz w:val="18"/>
          <w:szCs w:val="18"/>
        </w:rPr>
        <w:t xml:space="preserve"> is not installed here either), again illustrating the unavailable rather than fabricated rule operating on a real, unforced runtime condition rather than a staged example.</w:t>
      </w:r>
    </w:p>
    <w:p w14:paraId="0DB31E8F"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drawing>
          <wp:inline distT="0" distB="0" distL="0" distR="0" wp14:anchorId="532796A6" wp14:editId="0701FD99">
            <wp:extent cx="4423447" cy="2380129"/>
            <wp:effectExtent l="0" t="0" r="0" b="1270"/>
            <wp:docPr id="605" name="Pictur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Picture 6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23447" cy="2380129"/>
                    </a:xfrm>
                    <a:prstGeom prst="rect">
                      <a:avLst/>
                    </a:prstGeom>
                  </pic:spPr>
                </pic:pic>
              </a:graphicData>
            </a:graphic>
          </wp:inline>
        </w:drawing>
      </w:r>
    </w:p>
    <w:p w14:paraId="2BA80301" w14:textId="38F352A6" w:rsidR="00283C42" w:rsidRPr="00E32832" w:rsidRDefault="0058322D">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6. Optional sensing modalities and canopy segmentation. (A) UAV multispectral unavailable notice; (B) morphology/environment attribute profile; (C) canopy segmentation, spot detection and zoning.</w:t>
      </w:r>
    </w:p>
    <w:p w14:paraId="1D1D1CD6" w14:textId="77777777" w:rsidR="00877156" w:rsidRPr="00E32832" w:rsidRDefault="00877156" w:rsidP="00BA5D5D">
      <w:pPr>
        <w:pStyle w:val="Heading3"/>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bookmarkStart w:id="49" w:name="_Toc234738414"/>
      <w:bookmarkStart w:id="50" w:name="Xf7f76451105f967d9079506013965d3187794c4"/>
    </w:p>
    <w:p w14:paraId="678819E6" w14:textId="77777777" w:rsidR="00DA00EE" w:rsidRPr="00E32832" w:rsidRDefault="00F84C4B" w:rsidP="00BA5D5D">
      <w:pPr>
        <w:pStyle w:val="Heading3"/>
        <w:jc w:val="both"/>
        <w:rPr>
          <w:rFonts w:ascii="Times New Roman" w:hAnsi="Times New Roman" w:cs="Times New Roman"/>
          <w:color w:val="auto"/>
          <w:sz w:val="18"/>
          <w:szCs w:val="18"/>
        </w:rPr>
      </w:pPr>
      <w:r>
        <w:rPr>
          <w:rFonts w:ascii="Times New Roman" w:hAnsi="Times New Roman" w:cs="Times New Roman"/>
          <w:color w:val="auto"/>
          <w:sz w:val="18"/>
          <w:szCs w:val="18"/>
        </w:rPr>
        <w:t>4.9 Morphology and environmental attribute profiling</w:t>
      </w:r>
      <w:bookmarkEnd w:id="49"/>
    </w:p>
    <w:p w14:paraId="6B5672E8" w14:textId="35459425"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This module deliberately does not claim to implement any trained pathology detection or contrastive learning encoder; its own documentation is explicit that “no model is trained anywhere in this pipeline.” Instead, it organises a set of classical image processing measurements under three conceptual headings  pathological morphology like, geometric/environmental like, and cross image relational  while keeping every individual measurement genuinely computed from real pixels or real EXIF metadata.</w:t>
      </w:r>
    </w:p>
    <w:p w14:paraId="6E830CC3" w14:textId="3671C5E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Pathological morphology like proxies include the whole image GLCM signature (Section 4.3, reused here as a lesion texture proxy) and a necrotic boundary sharpness score computed as the mean Sobel edge gradient magnitude along the boundary </w:t>
      </w:r>
      <m:oMath>
        <m:r>
          <m:rPr>
            <m:sty m:val="p"/>
          </m:rPr>
          <w:rPr>
            <w:rFonts w:ascii="Cambria Math" w:hAnsi="Cambria Math" w:cs="Times New Roman"/>
            <w:sz w:val="18"/>
            <w:szCs w:val="18"/>
          </w:rPr>
          <m:t>∂M</m:t>
        </m:r>
      </m:oMath>
      <w:r>
        <w:rPr>
          <w:rFonts w:ascii="Times New Roman" w:hAnsi="Times New Roman" w:cs="Times New Roman"/>
          <w:sz w:val="18"/>
          <w:szCs w:val="18"/>
        </w:rPr>
        <w:t xml:space="preserve"> of a heuristic low NDVI mask </w:t>
      </w:r>
      <m:oMath>
        <m:r>
          <m:rPr>
            <m:sty m:val="p"/>
          </m:rPr>
          <w:rPr>
            <w:rFonts w:ascii="Cambria Math" w:hAnsi="Cambria Math" w:cs="Times New Roman"/>
            <w:sz w:val="18"/>
            <w:szCs w:val="18"/>
          </w:rPr>
          <m:t>M</m:t>
        </m:r>
      </m:oMath>
      <w:r>
        <w:rPr>
          <w:rFonts w:ascii="Times New Roman" w:hAnsi="Times New Roman" w:cs="Times New Roman"/>
          <w:sz w:val="18"/>
          <w:szCs w:val="18"/>
        </w:rPr>
        <w:t xml:space="preserve"> (bottom 20th percentile threshold, small objects below a minimum size removed):</w:t>
      </w:r>
    </w:p>
    <w:p w14:paraId="348D96FE" w14:textId="03D33FA6" w:rsidR="00DA00EE" w:rsidRPr="00E32832" w:rsidRDefault="00000000" w:rsidP="00BA5D5D">
      <w:pPr>
        <w:pStyle w:val="BodyText"/>
        <w:jc w:val="both"/>
        <w:rPr>
          <w:rFonts w:ascii="Times New Roman" w:hAnsi="Times New Roman" w:cs="Times New Roman"/>
          <w:sz w:val="18"/>
          <w:szCs w:val="18"/>
        </w:rPr>
      </w:pPr>
      <m:oMath>
        <m:sSub>
          <m:sSubPr>
            <m:ctrlPr>
              <w:rPr>
                <w:rFonts w:ascii="Cambria Math" w:hAnsi="Cambria Math" w:cs="Times New Roman"/>
                <w:sz w:val="18"/>
                <w:szCs w:val="18"/>
              </w:rPr>
            </m:ctrlPr>
          </m:sSubPr>
          <m:e>
            <m:r>
              <m:rPr>
                <m:sty m:val="p"/>
              </m:rPr>
              <w:rPr>
                <w:rFonts w:ascii="Cambria Math" w:hAnsi="Cambria Math" w:cs="Times New Roman"/>
                <w:sz w:val="18"/>
                <w:szCs w:val="18"/>
              </w:rPr>
              <m:t>G</m:t>
            </m:r>
          </m:e>
          <m:sub>
            <m:r>
              <m:rPr>
                <m:sty m:val="p"/>
              </m:rPr>
              <w:rPr>
                <w:rFonts w:ascii="Cambria Math" w:hAnsi="Cambria Math" w:cs="Times New Roman"/>
                <w:sz w:val="18"/>
                <w:szCs w:val="18"/>
              </w:rPr>
              <m:t>x</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S</m:t>
            </m:r>
          </m:e>
          <m:sub>
            <m:r>
              <m:rPr>
                <m:sty m:val="p"/>
              </m:rPr>
              <w:rPr>
                <w:rFonts w:ascii="Cambria Math" w:hAnsi="Cambria Math" w:cs="Times New Roman"/>
                <w:sz w:val="18"/>
                <w:szCs w:val="18"/>
              </w:rPr>
              <m:t>x</m:t>
            </m:r>
          </m:sub>
        </m:sSub>
        <m:r>
          <m:rPr>
            <m:sty m:val="p"/>
          </m:rPr>
          <w:rPr>
            <w:rFonts w:ascii="Cambria Math" w:hAnsi="Cambria Math" w:cs="Times New Roman"/>
            <w:sz w:val="18"/>
            <w:szCs w:val="18"/>
          </w:rPr>
          <m:t>*I,  </m:t>
        </m:r>
        <m:sSub>
          <m:sSubPr>
            <m:ctrlPr>
              <w:rPr>
                <w:rFonts w:ascii="Cambria Math" w:hAnsi="Cambria Math" w:cs="Times New Roman"/>
                <w:sz w:val="18"/>
                <w:szCs w:val="18"/>
              </w:rPr>
            </m:ctrlPr>
          </m:sSubPr>
          <m:e>
            <m:r>
              <m:rPr>
                <m:sty m:val="p"/>
              </m:rPr>
              <w:rPr>
                <w:rFonts w:ascii="Cambria Math" w:hAnsi="Cambria Math" w:cs="Times New Roman"/>
                <w:sz w:val="18"/>
                <w:szCs w:val="18"/>
              </w:rPr>
              <m:t>G</m:t>
            </m:r>
          </m:e>
          <m:sub>
            <m:r>
              <m:rPr>
                <m:sty m:val="p"/>
              </m:rPr>
              <w:rPr>
                <w:rFonts w:ascii="Cambria Math" w:hAnsi="Cambria Math" w:cs="Times New Roman"/>
                <w:sz w:val="18"/>
                <w:szCs w:val="18"/>
              </w:rPr>
              <m:t>y</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S</m:t>
            </m:r>
          </m:e>
          <m:sub>
            <m:r>
              <m:rPr>
                <m:sty m:val="p"/>
              </m:rPr>
              <w:rPr>
                <w:rFonts w:ascii="Cambria Math" w:hAnsi="Cambria Math" w:cs="Times New Roman"/>
                <w:sz w:val="18"/>
                <w:szCs w:val="18"/>
              </w:rPr>
              <m:t>y</m:t>
            </m:r>
          </m:sub>
        </m:sSub>
        <m:r>
          <m:rPr>
            <m:sty m:val="p"/>
          </m:rPr>
          <w:rPr>
            <w:rFonts w:ascii="Cambria Math" w:hAnsi="Cambria Math" w:cs="Times New Roman"/>
            <w:sz w:val="18"/>
            <w:szCs w:val="18"/>
          </w:rPr>
          <m:t>*I,  </m:t>
        </m:r>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∇I</m:t>
            </m:r>
          </m:e>
        </m:d>
        <m:r>
          <m:rPr>
            <m:sty m:val="p"/>
          </m:rPr>
          <w:rPr>
            <w:rFonts w:ascii="Cambria Math" w:hAnsi="Cambria Math" w:cs="Times New Roman"/>
            <w:sz w:val="18"/>
            <w:szCs w:val="18"/>
          </w:rPr>
          <m:t>=</m:t>
        </m:r>
        <m:rad>
          <m:radPr>
            <m:degHide m:val="1"/>
            <m:ctrlPr>
              <w:rPr>
                <w:rFonts w:ascii="Cambria Math" w:hAnsi="Cambria Math" w:cs="Times New Roman"/>
                <w:sz w:val="18"/>
                <w:szCs w:val="18"/>
              </w:rPr>
            </m:ctrlPr>
          </m:radPr>
          <m:deg/>
          <m:e>
            <m:sSubSup>
              <m:sSubSupPr>
                <m:ctrlPr>
                  <w:rPr>
                    <w:rFonts w:ascii="Cambria Math" w:hAnsi="Cambria Math" w:cs="Times New Roman"/>
                    <w:sz w:val="18"/>
                    <w:szCs w:val="18"/>
                  </w:rPr>
                </m:ctrlPr>
              </m:sSubSupPr>
              <m:e>
                <m:r>
                  <m:rPr>
                    <m:sty m:val="p"/>
                  </m:rPr>
                  <w:rPr>
                    <w:rFonts w:ascii="Cambria Math" w:hAnsi="Cambria Math" w:cs="Times New Roman"/>
                    <w:sz w:val="18"/>
                    <w:szCs w:val="18"/>
                  </w:rPr>
                  <m:t>G</m:t>
                </m:r>
              </m:e>
              <m:sub>
                <m:r>
                  <m:rPr>
                    <m:sty m:val="p"/>
                  </m:rPr>
                  <w:rPr>
                    <w:rFonts w:ascii="Cambria Math" w:hAnsi="Cambria Math" w:cs="Times New Roman"/>
                    <w:sz w:val="18"/>
                    <w:szCs w:val="18"/>
                  </w:rPr>
                  <m:t>x</m:t>
                </m:r>
              </m:sub>
              <m:sup>
                <m:r>
                  <m:rPr>
                    <m:sty m:val="p"/>
                  </m:rPr>
                  <w:rPr>
                    <w:rFonts w:ascii="Cambria Math" w:hAnsi="Cambria Math" w:cs="Times New Roman"/>
                    <w:sz w:val="18"/>
                    <w:szCs w:val="18"/>
                  </w:rPr>
                  <m:t>2</m:t>
                </m:r>
              </m:sup>
            </m:sSubSup>
            <m:r>
              <m:rPr>
                <m:sty m:val="p"/>
              </m:rPr>
              <w:rPr>
                <w:rFonts w:ascii="Cambria Math" w:hAnsi="Cambria Math" w:cs="Times New Roman"/>
                <w:sz w:val="18"/>
                <w:szCs w:val="18"/>
              </w:rPr>
              <m:t>+</m:t>
            </m:r>
            <m:sSubSup>
              <m:sSubSupPr>
                <m:ctrlPr>
                  <w:rPr>
                    <w:rFonts w:ascii="Cambria Math" w:hAnsi="Cambria Math" w:cs="Times New Roman"/>
                    <w:sz w:val="18"/>
                    <w:szCs w:val="18"/>
                  </w:rPr>
                </m:ctrlPr>
              </m:sSubSupPr>
              <m:e>
                <m:r>
                  <m:rPr>
                    <m:sty m:val="p"/>
                  </m:rPr>
                  <w:rPr>
                    <w:rFonts w:ascii="Cambria Math" w:hAnsi="Cambria Math" w:cs="Times New Roman"/>
                    <w:sz w:val="18"/>
                    <w:szCs w:val="18"/>
                  </w:rPr>
                  <m:t>G</m:t>
                </m:r>
              </m:e>
              <m:sub>
                <m:r>
                  <m:rPr>
                    <m:sty m:val="p"/>
                  </m:rPr>
                  <w:rPr>
                    <w:rFonts w:ascii="Cambria Math" w:hAnsi="Cambria Math" w:cs="Times New Roman"/>
                    <w:sz w:val="18"/>
                    <w:szCs w:val="18"/>
                  </w:rPr>
                  <m:t>y</m:t>
                </m:r>
              </m:sub>
              <m:sup>
                <m:r>
                  <m:rPr>
                    <m:sty m:val="p"/>
                  </m:rPr>
                  <w:rPr>
                    <w:rFonts w:ascii="Cambria Math" w:hAnsi="Cambria Math" w:cs="Times New Roman"/>
                    <w:sz w:val="18"/>
                    <w:szCs w:val="18"/>
                  </w:rPr>
                  <m:t>2</m:t>
                </m:r>
              </m:sup>
            </m:sSubSup>
          </m:e>
        </m:rad>
        <m:r>
          <m:rPr>
            <m:sty m:val="p"/>
          </m:rPr>
          <w:rPr>
            <w:rFonts w:ascii="Cambria Math" w:hAnsi="Cambria Math" w:cs="Times New Roman"/>
            <w:sz w:val="18"/>
            <w:szCs w:val="18"/>
          </w:rPr>
          <m:t>,  </m:t>
        </m:r>
        <m:r>
          <m:rPr>
            <m:nor/>
          </m:rPr>
          <w:rPr>
            <w:rFonts w:ascii="Times New Roman" w:hAnsi="Times New Roman" w:cs="Times New Roman"/>
            <w:sz w:val="18"/>
            <w:szCs w:val="18"/>
          </w:rPr>
          <m:t>Sharpness</m:t>
        </m:r>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∂M</m:t>
                </m:r>
              </m:e>
            </m:d>
          </m:den>
        </m:f>
        <m:nary>
          <m:naryPr>
            <m:chr m:val="∑"/>
            <m:limLoc m:val="undOvr"/>
            <m:supHide m:val="1"/>
            <m:ctrlPr>
              <w:rPr>
                <w:rFonts w:ascii="Cambria Math" w:hAnsi="Cambria Math" w:cs="Times New Roman"/>
                <w:sz w:val="18"/>
                <w:szCs w:val="18"/>
              </w:rPr>
            </m:ctrlPr>
          </m:naryPr>
          <m:sub>
            <m:d>
              <m:dPr>
                <m:ctrlPr>
                  <w:rPr>
                    <w:rFonts w:ascii="Cambria Math" w:hAnsi="Cambria Math" w:cs="Times New Roman"/>
                    <w:sz w:val="18"/>
                    <w:szCs w:val="18"/>
                  </w:rPr>
                </m:ctrlPr>
              </m:dPr>
              <m:e>
                <m:r>
                  <m:rPr>
                    <m:sty m:val="p"/>
                  </m:rPr>
                  <w:rPr>
                    <w:rFonts w:ascii="Cambria Math" w:hAnsi="Cambria Math" w:cs="Times New Roman"/>
                    <w:sz w:val="18"/>
                    <w:szCs w:val="18"/>
                  </w:rPr>
                  <m:t>u,v</m:t>
                </m:r>
              </m:e>
            </m:d>
            <m:r>
              <m:rPr>
                <m:sty m:val="p"/>
              </m:rPr>
              <w:rPr>
                <w:rFonts w:ascii="Cambria Math" w:hAnsi="Cambria Math" w:cs="Times New Roman"/>
                <w:sz w:val="18"/>
                <w:szCs w:val="18"/>
              </w:rPr>
              <m:t>∈∂M</m:t>
            </m:r>
          </m:sub>
          <m:sup>
            <m:r>
              <m:rPr>
                <m:sty m:val="p"/>
              </m:rPr>
              <w:rPr>
                <w:rFonts w:ascii="Cambria Math" w:hAnsi="Cambria Math" w:cs="Times New Roman"/>
                <w:sz w:val="18"/>
                <w:szCs w:val="18"/>
              </w:rPr>
              <m:t>​</m:t>
            </m:r>
          </m:sup>
          <m:e>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∇I</m:t>
                </m:r>
              </m:e>
            </m:d>
          </m:e>
        </m:nary>
        <m:d>
          <m:dPr>
            <m:ctrlPr>
              <w:rPr>
                <w:rFonts w:ascii="Cambria Math" w:hAnsi="Cambria Math" w:cs="Times New Roman"/>
                <w:sz w:val="18"/>
                <w:szCs w:val="18"/>
              </w:rPr>
            </m:ctrlPr>
          </m:dPr>
          <m:e>
            <m:r>
              <m:rPr>
                <m:sty m:val="p"/>
              </m:rPr>
              <w:rPr>
                <w:rFonts w:ascii="Cambria Math" w:hAnsi="Cambria Math" w:cs="Times New Roman"/>
                <w:sz w:val="18"/>
                <w:szCs w:val="18"/>
              </w:rPr>
              <m:t>u,v</m:t>
            </m:r>
          </m:e>
        </m:d>
      </m:oMath>
      <w:r>
        <w:rPr>
          <w:rFonts w:ascii="Times New Roman" w:hAnsi="Times New Roman" w:cs="Times New Roman"/>
          <w:b/>
          <w:sz w:val="18"/>
          <w:szCs w:val="18"/>
        </w:rPr>
        <w:t xml:space="preserve">  (14)</w:t>
      </w:r>
    </w:p>
    <w:p w14:paraId="36E65562" w14:textId="78BDF20B"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where </w:t>
      </w:r>
      <m:oMath>
        <m:sSub>
          <m:sSubPr>
            <m:ctrlPr>
              <w:rPr>
                <w:rFonts w:ascii="Cambria Math" w:hAnsi="Cambria Math" w:cs="Times New Roman"/>
                <w:sz w:val="18"/>
                <w:szCs w:val="18"/>
              </w:rPr>
            </m:ctrlPr>
          </m:sSubPr>
          <m:e>
            <m:r>
              <m:rPr>
                <m:sty m:val="p"/>
              </m:rPr>
              <w:rPr>
                <w:rFonts w:ascii="Cambria Math" w:hAnsi="Cambria Math" w:cs="Times New Roman"/>
                <w:sz w:val="18"/>
                <w:szCs w:val="18"/>
              </w:rPr>
              <m:t>S</m:t>
            </m:r>
          </m:e>
          <m:sub>
            <m:r>
              <m:rPr>
                <m:sty m:val="p"/>
              </m:rPr>
              <w:rPr>
                <w:rFonts w:ascii="Cambria Math" w:hAnsi="Cambria Math" w:cs="Times New Roman"/>
                <w:sz w:val="18"/>
                <w:szCs w:val="18"/>
              </w:rPr>
              <m:t>x</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S</m:t>
            </m:r>
          </m:e>
          <m:sub>
            <m:r>
              <m:rPr>
                <m:sty m:val="p"/>
              </m:rPr>
              <w:rPr>
                <w:rFonts w:ascii="Cambria Math" w:hAnsi="Cambria Math" w:cs="Times New Roman"/>
                <w:sz w:val="18"/>
                <w:szCs w:val="18"/>
              </w:rPr>
              <m:t>y</m:t>
            </m:r>
          </m:sub>
        </m:sSub>
      </m:oMath>
      <w:r>
        <w:rPr>
          <w:rFonts w:ascii="Times New Roman" w:hAnsi="Times New Roman" w:cs="Times New Roman"/>
          <w:sz w:val="18"/>
          <w:szCs w:val="18"/>
        </w:rPr>
        <w:t xml:space="preserve"> are the horizontal and vertical Sobel kernels and </w:t>
      </w:r>
      <m:oMath>
        <m:r>
          <m:rPr>
            <m:sty m:val="p"/>
          </m:rPr>
          <w:rPr>
            <w:rFonts w:ascii="Cambria Math" w:hAnsi="Cambria Math" w:cs="Times New Roman"/>
            <w:sz w:val="18"/>
            <w:szCs w:val="18"/>
          </w:rPr>
          <m:t>*</m:t>
        </m:r>
      </m:oMath>
      <w:r>
        <w:rPr>
          <w:rFonts w:ascii="Times New Roman" w:hAnsi="Times New Roman" w:cs="Times New Roman"/>
          <w:sz w:val="18"/>
          <w:szCs w:val="18"/>
        </w:rPr>
        <w:t xml:space="preserve"> denotes 2 D convolution. A chlorotic/yellowing colour proxy is computed as the normalised index</w:t>
      </w:r>
    </w:p>
    <w:p w14:paraId="3D66528A" w14:textId="191103E2" w:rsidR="00DA00EE" w:rsidRPr="00E32832" w:rsidRDefault="00E32832" w:rsidP="00BA5D5D">
      <w:pPr>
        <w:pStyle w:val="BodyText"/>
        <w:jc w:val="both"/>
        <w:rPr>
          <w:rFonts w:ascii="Times New Roman" w:hAnsi="Times New Roman" w:cs="Times New Roman"/>
          <w:sz w:val="18"/>
          <w:szCs w:val="18"/>
        </w:rPr>
      </w:pPr>
      <m:oMath>
        <m:r>
          <m:rPr>
            <m:sty m:val="p"/>
          </m:rPr>
          <w:rPr>
            <w:rFonts w:ascii="Cambria Math" w:hAnsi="Cambria Math" w:cs="Times New Roman"/>
            <w:sz w:val="18"/>
            <w:szCs w:val="18"/>
          </w:rPr>
          <m:t>Y=</m:t>
        </m:r>
        <m:f>
          <m:fPr>
            <m:ctrlPr>
              <w:rPr>
                <w:rFonts w:ascii="Cambria Math" w:hAnsi="Cambria Math" w:cs="Times New Roman"/>
                <w:sz w:val="18"/>
                <w:szCs w:val="18"/>
              </w:rPr>
            </m:ctrlPr>
          </m:fPr>
          <m:num>
            <m:r>
              <m:rPr>
                <m:sty m:val="p"/>
              </m:rPr>
              <w:rPr>
                <w:rFonts w:ascii="Cambria Math" w:hAnsi="Cambria Math" w:cs="Times New Roman"/>
                <w:sz w:val="18"/>
                <w:szCs w:val="18"/>
              </w:rPr>
              <m:t>R+G-2B</m:t>
            </m:r>
          </m:num>
          <m:den>
            <m:r>
              <m:rPr>
                <m:sty m:val="p"/>
              </m:rPr>
              <w:rPr>
                <w:rFonts w:ascii="Cambria Math" w:hAnsi="Cambria Math" w:cs="Times New Roman"/>
                <w:sz w:val="18"/>
                <w:szCs w:val="18"/>
              </w:rPr>
              <m:t>255</m:t>
            </m:r>
          </m:den>
        </m:f>
      </m:oMath>
      <w:r>
        <w:rPr>
          <w:rFonts w:ascii="Times New Roman" w:hAnsi="Times New Roman" w:cs="Times New Roman"/>
          <w:b/>
          <w:sz w:val="18"/>
          <w:szCs w:val="18"/>
        </w:rPr>
        <w:t xml:space="preserve">  (15)</w:t>
      </w:r>
    </w:p>
    <w:p w14:paraId="19794BFB" w14:textId="0C4CB531"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and a symptom spatial distribution summary reports the connected component count of </w:t>
      </w:r>
      <m:oMath>
        <m:r>
          <m:rPr>
            <m:sty m:val="p"/>
          </m:rPr>
          <w:rPr>
            <w:rFonts w:ascii="Cambria Math" w:hAnsi="Cambria Math" w:cs="Times New Roman"/>
            <w:sz w:val="18"/>
            <w:szCs w:val="18"/>
          </w:rPr>
          <m:t>M</m:t>
        </m:r>
      </m:oMath>
      <w:r>
        <w:rPr>
          <w:rFonts w:ascii="Times New Roman" w:hAnsi="Times New Roman" w:cs="Times New Roman"/>
          <w:sz w:val="18"/>
          <w:szCs w:val="18"/>
        </w:rPr>
        <w:t xml:space="preserve">, the spread of normalised centroid coordinates </w:t>
      </w:r>
      <m:oMath>
        <m:sSub>
          <m:sSubPr>
            <m:ctrlPr>
              <w:rPr>
                <w:rFonts w:ascii="Cambria Math" w:hAnsi="Cambria Math" w:cs="Times New Roman"/>
                <w:sz w:val="18"/>
                <w:szCs w:val="18"/>
              </w:rPr>
            </m:ctrlPr>
          </m:sSubPr>
          <m:e>
            <m:acc>
              <m:accPr>
                <m:ctrlPr>
                  <w:rPr>
                    <w:rFonts w:ascii="Cambria Math" w:hAnsi="Cambria Math" w:cs="Times New Roman"/>
                    <w:sz w:val="18"/>
                    <w:szCs w:val="18"/>
                  </w:rPr>
                </m:ctrlPr>
              </m:accPr>
              <m:e>
                <m:r>
                  <m:rPr>
                    <m:sty m:val="p"/>
                  </m:rPr>
                  <w:rPr>
                    <w:rFonts w:ascii="Cambria Math" w:hAnsi="Cambria Math" w:cs="Times New Roman"/>
                    <w:sz w:val="18"/>
                    <w:szCs w:val="18"/>
                  </w:rPr>
                  <m:t>c</m:t>
                </m:r>
              </m:e>
            </m:acc>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r</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/H, </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/W</m:t>
            </m:r>
          </m:e>
        </m:d>
      </m:oMath>
      <w:r>
        <w:rPr>
          <w:rFonts w:ascii="Times New Roman" w:hAnsi="Times New Roman" w:cs="Times New Roman"/>
          <w:sz w:val="18"/>
          <w:szCs w:val="18"/>
        </w:rPr>
        <w:t xml:space="preserve"> across the </w:t>
      </w:r>
      <m:oMath>
        <m:r>
          <m:rPr>
            <m:sty m:val="p"/>
          </m:rPr>
          <w:rPr>
            <w:rFonts w:ascii="Cambria Math" w:hAnsi="Cambria Math" w:cs="Times New Roman"/>
            <w:sz w:val="18"/>
            <w:szCs w:val="18"/>
          </w:rPr>
          <m:t>K</m:t>
        </m:r>
      </m:oMath>
      <w:r>
        <w:rPr>
          <w:rFonts w:ascii="Times New Roman" w:hAnsi="Times New Roman" w:cs="Times New Roman"/>
          <w:sz w:val="18"/>
          <w:szCs w:val="18"/>
        </w:rPr>
        <w:t xml:space="preserve"> regions, and an edge vs centre margin bias</w:t>
      </w:r>
    </w:p>
    <w:p w14:paraId="5D649979" w14:textId="107E4FA1" w:rsidR="00DA00EE" w:rsidRPr="00E32832" w:rsidRDefault="00F84C4B" w:rsidP="00BA5D5D">
      <w:pPr>
        <w:pStyle w:val="BodyText"/>
        <w:jc w:val="both"/>
        <w:rPr>
          <w:rFonts w:ascii="Times New Roman" w:hAnsi="Times New Roman" w:cs="Times New Roman"/>
          <w:sz w:val="18"/>
          <w:szCs w:val="18"/>
          <w:lang w:val="pt-BR"/>
        </w:rPr>
      </w:pPr>
      <m:oMath>
        <m:r>
          <m:rPr>
            <m:nor/>
          </m:rPr>
          <w:rPr>
            <w:rFonts w:ascii="Times New Roman" w:hAnsi="Times New Roman" w:cs="Times New Roman"/>
            <w:sz w:val="18"/>
            <w:szCs w:val="18"/>
            <w:lang w:val="pt-BR"/>
          </w:rPr>
          <m:t>MarginBias</m:t>
        </m:r>
        <m:r>
          <m:rPr>
            <m:sty m:val="p"/>
          </m:rPr>
          <w:rPr>
            <w:rFonts w:ascii="Cambria Math" w:hAnsi="Cambria Math" w:cs="Times New Roman"/>
            <w:sz w:val="18"/>
            <w:szCs w:val="18"/>
            <w:lang w:val="pt-BR"/>
          </w:rPr>
          <m:t>=</m:t>
        </m:r>
        <m:f>
          <m:fPr>
            <m:ctrlPr>
              <w:rPr>
                <w:rFonts w:ascii="Cambria Math" w:hAnsi="Cambria Math" w:cs="Times New Roman"/>
                <w:sz w:val="18"/>
                <w:szCs w:val="18"/>
              </w:rPr>
            </m:ctrlPr>
          </m:fPr>
          <m:num>
            <m:r>
              <m:rPr>
                <m:sty m:val="p"/>
              </m:rPr>
              <w:rPr>
                <w:rFonts w:ascii="Cambria Math" w:hAnsi="Cambria Math" w:cs="Times New Roman"/>
                <w:sz w:val="18"/>
                <w:szCs w:val="18"/>
                <w:lang w:val="pt-BR"/>
              </w:rPr>
              <m:t>1</m:t>
            </m:r>
          </m:num>
          <m:den>
            <m:r>
              <m:rPr>
                <m:sty m:val="p"/>
              </m:rPr>
              <w:rPr>
                <w:rFonts w:ascii="Cambria Math" w:hAnsi="Cambria Math" w:cs="Times New Roman"/>
                <w:sz w:val="18"/>
                <w:szCs w:val="18"/>
                <w:lang w:val="pt-BR"/>
              </w:rPr>
              <m:t>K</m:t>
            </m:r>
          </m:den>
        </m:f>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lang w:val="pt-BR"/>
              </w:rPr>
              <m:t>k=1</m:t>
            </m:r>
          </m:sub>
          <m:sup>
            <m:r>
              <m:rPr>
                <m:sty m:val="p"/>
              </m:rPr>
              <w:rPr>
                <w:rFonts w:ascii="Cambria Math" w:hAnsi="Cambria Math" w:cs="Times New Roman"/>
                <w:sz w:val="18"/>
                <w:szCs w:val="18"/>
                <w:lang w:val="pt-BR"/>
              </w:rPr>
              <m:t>K</m:t>
            </m:r>
          </m:sup>
          <m:e>
            <m:r>
              <m:rPr>
                <m:sty m:val="p"/>
              </m:rPr>
              <w:rPr>
                <w:rFonts w:ascii="Cambria Math" w:hAnsi="Cambria Math" w:cs="Times New Roman"/>
                <w:sz w:val="18"/>
                <w:szCs w:val="18"/>
                <w:lang w:val="pt-BR"/>
              </w:rPr>
              <m:t>min</m:t>
            </m:r>
          </m:e>
        </m:nary>
        <m:d>
          <m:dPr>
            <m:ctrlPr>
              <w:rPr>
                <w:rFonts w:ascii="Cambria Math" w:hAnsi="Cambria Math" w:cs="Times New Roman"/>
                <w:sz w:val="18"/>
                <w:szCs w:val="18"/>
              </w:rPr>
            </m:ctrlPr>
          </m:dPr>
          <m:e>
            <m:sSub>
              <m:sSubPr>
                <m:ctrlPr>
                  <w:rPr>
                    <w:rFonts w:ascii="Cambria Math" w:hAnsi="Cambria Math" w:cs="Times New Roman"/>
                    <w:sz w:val="18"/>
                    <w:szCs w:val="18"/>
                  </w:rPr>
                </m:ctrlPr>
              </m:sSubPr>
              <m:e>
                <m:acc>
                  <m:accPr>
                    <m:ctrlPr>
                      <w:rPr>
                        <w:rFonts w:ascii="Cambria Math" w:hAnsi="Cambria Math" w:cs="Times New Roman"/>
                        <w:sz w:val="18"/>
                        <w:szCs w:val="18"/>
                      </w:rPr>
                    </m:ctrlPr>
                  </m:accPr>
                  <m:e>
                    <m:r>
                      <m:rPr>
                        <m:sty m:val="p"/>
                      </m:rPr>
                      <w:rPr>
                        <w:rFonts w:ascii="Cambria Math" w:hAnsi="Cambria Math" w:cs="Times New Roman"/>
                        <w:sz w:val="18"/>
                        <w:szCs w:val="18"/>
                        <w:lang w:val="pt-BR"/>
                      </w:rPr>
                      <m:t>c</m:t>
                    </m:r>
                  </m:e>
                </m:acc>
              </m:e>
              <m:sub>
                <m:r>
                  <m:rPr>
                    <m:sty m:val="p"/>
                  </m:rPr>
                  <w:rPr>
                    <w:rFonts w:ascii="Cambria Math" w:hAnsi="Cambria Math" w:cs="Times New Roman"/>
                    <w:sz w:val="18"/>
                    <w:szCs w:val="18"/>
                    <w:lang w:val="pt-BR"/>
                  </w:rPr>
                  <m:t>k,1</m:t>
                </m:r>
              </m:sub>
            </m:sSub>
            <m:r>
              <m:rPr>
                <m:sty m:val="p"/>
              </m:rPr>
              <w:rPr>
                <w:rFonts w:ascii="Cambria Math" w:hAnsi="Cambria Math" w:cs="Times New Roman"/>
                <w:sz w:val="18"/>
                <w:szCs w:val="18"/>
                <w:lang w:val="pt-BR"/>
              </w:rPr>
              <m:t>,1-</m:t>
            </m:r>
            <m:sSub>
              <m:sSubPr>
                <m:ctrlPr>
                  <w:rPr>
                    <w:rFonts w:ascii="Cambria Math" w:hAnsi="Cambria Math" w:cs="Times New Roman"/>
                    <w:sz w:val="18"/>
                    <w:szCs w:val="18"/>
                  </w:rPr>
                </m:ctrlPr>
              </m:sSubPr>
              <m:e>
                <m:acc>
                  <m:accPr>
                    <m:ctrlPr>
                      <w:rPr>
                        <w:rFonts w:ascii="Cambria Math" w:hAnsi="Cambria Math" w:cs="Times New Roman"/>
                        <w:sz w:val="18"/>
                        <w:szCs w:val="18"/>
                      </w:rPr>
                    </m:ctrlPr>
                  </m:accPr>
                  <m:e>
                    <m:r>
                      <m:rPr>
                        <m:sty m:val="p"/>
                      </m:rPr>
                      <w:rPr>
                        <w:rFonts w:ascii="Cambria Math" w:hAnsi="Cambria Math" w:cs="Times New Roman"/>
                        <w:sz w:val="18"/>
                        <w:szCs w:val="18"/>
                        <w:lang w:val="pt-BR"/>
                      </w:rPr>
                      <m:t>c</m:t>
                    </m:r>
                  </m:e>
                </m:acc>
              </m:e>
              <m:sub>
                <m:r>
                  <m:rPr>
                    <m:sty m:val="p"/>
                  </m:rPr>
                  <w:rPr>
                    <w:rFonts w:ascii="Cambria Math" w:hAnsi="Cambria Math" w:cs="Times New Roman"/>
                    <w:sz w:val="18"/>
                    <w:szCs w:val="18"/>
                    <w:lang w:val="pt-BR"/>
                  </w:rPr>
                  <m:t>k,1</m:t>
                </m:r>
              </m:sub>
            </m:sSub>
            <m:r>
              <m:rPr>
                <m:sty m:val="p"/>
              </m:rPr>
              <w:rPr>
                <w:rFonts w:ascii="Cambria Math" w:hAnsi="Cambria Math" w:cs="Times New Roman"/>
                <w:sz w:val="18"/>
                <w:szCs w:val="18"/>
                <w:lang w:val="pt-BR"/>
              </w:rPr>
              <m:t>, </m:t>
            </m:r>
            <m:sSub>
              <m:sSubPr>
                <m:ctrlPr>
                  <w:rPr>
                    <w:rFonts w:ascii="Cambria Math" w:hAnsi="Cambria Math" w:cs="Times New Roman"/>
                    <w:sz w:val="18"/>
                    <w:szCs w:val="18"/>
                  </w:rPr>
                </m:ctrlPr>
              </m:sSubPr>
              <m:e>
                <m:acc>
                  <m:accPr>
                    <m:ctrlPr>
                      <w:rPr>
                        <w:rFonts w:ascii="Cambria Math" w:hAnsi="Cambria Math" w:cs="Times New Roman"/>
                        <w:sz w:val="18"/>
                        <w:szCs w:val="18"/>
                      </w:rPr>
                    </m:ctrlPr>
                  </m:accPr>
                  <m:e>
                    <m:r>
                      <m:rPr>
                        <m:sty m:val="p"/>
                      </m:rPr>
                      <w:rPr>
                        <w:rFonts w:ascii="Cambria Math" w:hAnsi="Cambria Math" w:cs="Times New Roman"/>
                        <w:sz w:val="18"/>
                        <w:szCs w:val="18"/>
                        <w:lang w:val="pt-BR"/>
                      </w:rPr>
                      <m:t>c</m:t>
                    </m:r>
                  </m:e>
                </m:acc>
              </m:e>
              <m:sub>
                <m:r>
                  <m:rPr>
                    <m:sty m:val="p"/>
                  </m:rPr>
                  <w:rPr>
                    <w:rFonts w:ascii="Cambria Math" w:hAnsi="Cambria Math" w:cs="Times New Roman"/>
                    <w:sz w:val="18"/>
                    <w:szCs w:val="18"/>
                    <w:lang w:val="pt-BR"/>
                  </w:rPr>
                  <m:t>k,2</m:t>
                </m:r>
              </m:sub>
            </m:sSub>
            <m:r>
              <m:rPr>
                <m:sty m:val="p"/>
              </m:rPr>
              <w:rPr>
                <w:rFonts w:ascii="Cambria Math" w:hAnsi="Cambria Math" w:cs="Times New Roman"/>
                <w:sz w:val="18"/>
                <w:szCs w:val="18"/>
                <w:lang w:val="pt-BR"/>
              </w:rPr>
              <m:t>,1-</m:t>
            </m:r>
            <m:sSub>
              <m:sSubPr>
                <m:ctrlPr>
                  <w:rPr>
                    <w:rFonts w:ascii="Cambria Math" w:hAnsi="Cambria Math" w:cs="Times New Roman"/>
                    <w:sz w:val="18"/>
                    <w:szCs w:val="18"/>
                  </w:rPr>
                </m:ctrlPr>
              </m:sSubPr>
              <m:e>
                <m:acc>
                  <m:accPr>
                    <m:ctrlPr>
                      <w:rPr>
                        <w:rFonts w:ascii="Cambria Math" w:hAnsi="Cambria Math" w:cs="Times New Roman"/>
                        <w:sz w:val="18"/>
                        <w:szCs w:val="18"/>
                      </w:rPr>
                    </m:ctrlPr>
                  </m:accPr>
                  <m:e>
                    <m:r>
                      <m:rPr>
                        <m:sty m:val="p"/>
                      </m:rPr>
                      <w:rPr>
                        <w:rFonts w:ascii="Cambria Math" w:hAnsi="Cambria Math" w:cs="Times New Roman"/>
                        <w:sz w:val="18"/>
                        <w:szCs w:val="18"/>
                        <w:lang w:val="pt-BR"/>
                      </w:rPr>
                      <m:t>c</m:t>
                    </m:r>
                  </m:e>
                </m:acc>
              </m:e>
              <m:sub>
                <m:r>
                  <m:rPr>
                    <m:sty m:val="p"/>
                  </m:rPr>
                  <w:rPr>
                    <w:rFonts w:ascii="Cambria Math" w:hAnsi="Cambria Math" w:cs="Times New Roman"/>
                    <w:sz w:val="18"/>
                    <w:szCs w:val="18"/>
                    <w:lang w:val="pt-BR"/>
                  </w:rPr>
                  <m:t>k,2</m:t>
                </m:r>
              </m:sub>
            </m:sSub>
          </m:e>
        </m:d>
      </m:oMath>
      <w:r>
        <w:rPr>
          <w:rFonts w:ascii="Times New Roman" w:hAnsi="Times New Roman" w:cs="Times New Roman"/>
          <w:b/>
          <w:sz w:val="18"/>
          <w:szCs w:val="18"/>
          <w:lang w:val="pt-BR"/>
        </w:rPr>
        <w:t xml:space="preserve">  (16)</w:t>
      </w:r>
    </w:p>
    <w:p w14:paraId="7760A71F"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where lower values indicate flagged regions concentrated near the image border and higher values indicate a more centrally distributed symptom pattern.</w:t>
      </w:r>
    </w:p>
    <w:p w14:paraId="51F84D3E"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Geometric/environmental proxies include EXIF derived acquisition metadata (GPS altitude, orientation tag, focal length) when present in the file, a real illumination context diagnostic (mean brightness, and the fraction of pixels below/above fixed shadow/glare thresholds), a canopy shape descriptor (aspect ratio, eccentricity, and solidity of the largest Excess Green segmented, </w:t>
      </w:r>
      <w:r>
        <w:rPr>
          <w:rFonts w:ascii="Times New Roman" w:hAnsi="Times New Roman" w:cs="Times New Roman"/>
          <w:sz w:val="18"/>
          <w:szCs w:val="18"/>
        </w:rPr>
        <w:lastRenderedPageBreak/>
        <w:t>Otsu thresholded (</w:t>
      </w:r>
      <w:hyperlink w:anchor="ref-otsu1979">
        <w:r>
          <w:rPr>
            <w:rStyle w:val="Hyperlink"/>
            <w:rFonts w:ascii="Times New Roman" w:hAnsi="Times New Roman" w:cs="Times New Roman"/>
            <w:sz w:val="18"/>
            <w:szCs w:val="18"/>
          </w:rPr>
          <w:t>Otsu 1979</w:t>
        </w:r>
      </w:hyperlink>
      <w:r>
        <w:rPr>
          <w:rFonts w:ascii="Times New Roman" w:hAnsi="Times New Roman" w:cs="Times New Roman"/>
          <w:sz w:val="18"/>
          <w:szCs w:val="18"/>
        </w:rPr>
        <w:t>) canopy region), and a background/soil colour profile of the non canopy region.</w:t>
      </w:r>
    </w:p>
    <w:p w14:paraId="3DB81C77" w14:textId="7B689FC9"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5B reports three of these real, per image measurements  necrotic boundary sharpness, the chlorotic colour proxy, and the shadow fraction illumination diagnostic  across the eight image demonstration batch, showing that images synthesised with </w:t>
      </w:r>
      <w:r>
        <w:rPr>
          <w:rFonts w:ascii="Times New Roman" w:hAnsi="Times New Roman" w:cs="Times New Roman"/>
          <w:sz w:val="18"/>
          <w:szCs w:val="18"/>
        </w:rPr>
        <w:t>more/larger stress patches (Section “make_demo_images.py”, images 4, 5, and 7) do show elevated boundary sharpness and yellowing signal relative to the higher vigor images, a sanity check that the classical CV proxies respond in the expected direction to the batch’s known, procedurally controlled ground truth.</w:t>
      </w:r>
    </w:p>
    <w:p w14:paraId="5B28CC02" w14:textId="21E1CD7A"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Cross image relational outputs reuse the compact descriptor (Section 4.4) to flag which other images in the batch look most similar to a given one, on the reasoning that a finding confirmed on one image (e.g., manual disease confirmation in the field) may be worth checking on its nearest descriptor space neighbours first  explicitly framed as “a real similarity heuristic on simple descriptors, not a trained cross crop pathotype alignment model,” since no labelled multi crop pathology dataset exists in this </w:t>
      </w:r>
      <w:r>
        <w:rPr>
          <w:rFonts w:ascii="Times New Roman" w:hAnsi="Times New Roman" w:cs="Times New Roman"/>
          <w:sz w:val="18"/>
          <w:szCs w:val="18"/>
        </w:rPr>
        <w:t>pipeline to train such a model on. Complementing the profile module, the standard vegetation module (</w:t>
      </w:r>
      <w:r>
        <w:rPr>
          <w:rStyle w:val="VerbatimChar"/>
          <w:rFonts w:ascii="Times New Roman" w:hAnsi="Times New Roman" w:cs="Times New Roman"/>
          <w:sz w:val="18"/>
          <w:szCs w:val="18"/>
        </w:rPr>
        <w:t>vegetation.py</w:t>
      </w:r>
      <w:r>
        <w:rPr>
          <w:rFonts w:ascii="Times New Roman" w:hAnsi="Times New Roman" w:cs="Times New Roman"/>
          <w:sz w:val="18"/>
          <w:szCs w:val="18"/>
        </w:rPr>
        <w:t>) provides the Excess Green segmented canopy structure map, a low NDVI threshold susceptible spot heuristic (bottom 20th percentile flagging with small object removal), and an NDVI based variable rate zone map following a standard four tier precision agriculture heuristic; Figure 5C shows all three side by side for the demonstration image with the most stress patches.</w:t>
      </w:r>
    </w:p>
    <w:p w14:paraId="47274D35" w14:textId="77777777" w:rsidR="00DA00EE" w:rsidRPr="00E32832" w:rsidRDefault="00F84C4B" w:rsidP="00BA5D5D">
      <w:pPr>
        <w:pStyle w:val="Heading3"/>
        <w:jc w:val="both"/>
        <w:rPr>
          <w:rFonts w:ascii="Times New Roman" w:hAnsi="Times New Roman" w:cs="Times New Roman"/>
          <w:color w:val="auto"/>
          <w:sz w:val="18"/>
          <w:szCs w:val="18"/>
        </w:rPr>
      </w:pPr>
      <w:bookmarkStart w:id="51" w:name="_Toc234738415"/>
      <w:bookmarkStart w:id="52" w:name="X5e23244bd9885d9c8c12bcf1daa6fdd50e74448"/>
      <w:bookmarkEnd w:id="50"/>
      <w:r>
        <w:rPr>
          <w:rFonts w:ascii="Times New Roman" w:hAnsi="Times New Roman" w:cs="Times New Roman"/>
          <w:color w:val="auto"/>
          <w:sz w:val="18"/>
          <w:szCs w:val="18"/>
        </w:rPr>
        <w:t>4.10 Reporting, export, and field/sensor data integration</w:t>
      </w:r>
      <w:bookmarkEnd w:id="51"/>
    </w:p>
    <w:p w14:paraId="49C9B3FC" w14:textId="5D252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Twenty five field and sensor metrics that cannot, in principle, be derived from an RGB photograph  plant height, Leaf Area Index, biomass, chlorophyll/nitrogen content (SPAD/percentage), growth stage, disease incidence/severity, pest infestation level, yield, grain weight, fruit count, soil moisture/temperature/pH/electrical conductivity/organic matter, air temperature, relative humidity, rainfall, solar radiation, wind speed, elevation, and slope  are exposed as a manual entry schema in </w:t>
      </w:r>
      <w:r>
        <w:rPr>
          <w:rStyle w:val="VerbatimChar"/>
          <w:rFonts w:ascii="Times New Roman" w:hAnsi="Times New Roman" w:cs="Times New Roman"/>
          <w:sz w:val="18"/>
          <w:szCs w:val="18"/>
        </w:rPr>
        <w:t>field_data.py</w:t>
      </w:r>
      <w:r>
        <w:rPr>
          <w:rFonts w:ascii="Times New Roman" w:hAnsi="Times New Roman" w:cs="Times New Roman"/>
          <w:sz w:val="18"/>
          <w:szCs w:val="18"/>
        </w:rPr>
        <w:t>. Each row is initialised empty (</w:t>
      </w:r>
      <w:r>
        <w:rPr>
          <w:rStyle w:val="VerbatimChar"/>
          <w:rFonts w:ascii="Times New Roman" w:hAnsi="Times New Roman" w:cs="Times New Roman"/>
          <w:sz w:val="18"/>
          <w:szCs w:val="18"/>
        </w:rPr>
        <w:t>empty_row()</w:t>
      </w:r>
      <w:r>
        <w:rPr>
          <w:rFonts w:ascii="Times New Roman" w:hAnsi="Times New Roman" w:cs="Times New Roman"/>
          <w:sz w:val="18"/>
          <w:szCs w:val="18"/>
        </w:rPr>
        <w:t xml:space="preserve"> returns </w:t>
      </w:r>
      <w:r>
        <w:rPr>
          <w:rStyle w:val="VerbatimChar"/>
          <w:rFonts w:ascii="Times New Roman" w:hAnsi="Times New Roman" w:cs="Times New Roman"/>
          <w:sz w:val="18"/>
          <w:szCs w:val="18"/>
        </w:rPr>
        <w:t>""</w:t>
      </w:r>
      <w:r>
        <w:rPr>
          <w:rFonts w:ascii="Times New Roman" w:hAnsi="Times New Roman" w:cs="Times New Roman"/>
          <w:sz w:val="18"/>
          <w:szCs w:val="18"/>
        </w:rPr>
        <w:t xml:space="preserve"> for every field), and the module’s own documentation states plainly that it “NEVER fabricates values for these  it only stores what the user explicitly enters.” This schema is what makes the supervised k NN branch (Section 4.6) and the intra /inter class similarity diagnostic (Section 4.4) possible at all: the </w:t>
      </w:r>
      <w:r>
        <w:rPr>
          <w:rStyle w:val="VerbatimChar"/>
          <w:rFonts w:ascii="Times New Roman" w:hAnsi="Times New Roman" w:cs="Times New Roman"/>
          <w:sz w:val="18"/>
          <w:szCs w:val="18"/>
        </w:rPr>
        <w:t>group_label</w:t>
      </w:r>
      <w:r>
        <w:rPr>
          <w:rFonts w:ascii="Times New Roman" w:hAnsi="Times New Roman" w:cs="Times New Roman"/>
          <w:sz w:val="18"/>
          <w:szCs w:val="18"/>
        </w:rPr>
        <w:t xml:space="preserve"> field supplies the ground truth those two analyses require, and in its absence both analyses fall back transparently to their unsupervised/</w:t>
      </w:r>
      <w:r>
        <w:rPr>
          <w:rStyle w:val="VerbatimChar"/>
          <w:rFonts w:ascii="Times New Roman" w:hAnsi="Times New Roman" w:cs="Times New Roman"/>
          <w:sz w:val="18"/>
          <w:szCs w:val="18"/>
        </w:rPr>
        <w:t>N/A</w:t>
      </w:r>
      <w:r>
        <w:rPr>
          <w:rFonts w:ascii="Times New Roman" w:hAnsi="Times New Roman" w:cs="Times New Roman"/>
          <w:sz w:val="18"/>
          <w:szCs w:val="18"/>
        </w:rPr>
        <w:t xml:space="preserve"> counterparts rather than inventing a label.</w:t>
      </w:r>
    </w:p>
    <w:p w14:paraId="5A0A9A32" w14:textId="2F6750B5"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Finally, </w:t>
      </w:r>
      <w:r>
        <w:rPr>
          <w:rStyle w:val="VerbatimChar"/>
          <w:rFonts w:ascii="Times New Roman" w:hAnsi="Times New Roman" w:cs="Times New Roman"/>
          <w:sz w:val="18"/>
          <w:szCs w:val="18"/>
        </w:rPr>
        <w:t>raster_layers.py</w:t>
      </w:r>
      <w:r>
        <w:rPr>
          <w:rFonts w:ascii="Times New Roman" w:hAnsi="Times New Roman" w:cs="Times New Roman"/>
          <w:sz w:val="18"/>
          <w:szCs w:val="18"/>
        </w:rPr>
        <w:t xml:space="preserve"> maintains a registry mapping each of the sixteen map canvas layers (Table 1’s </w:t>
      </w:r>
      <w:r>
        <w:rPr>
          <w:rStyle w:val="VerbatimChar"/>
          <w:rFonts w:ascii="Times New Roman" w:hAnsi="Times New Roman" w:cs="Times New Roman"/>
          <w:sz w:val="18"/>
          <w:szCs w:val="18"/>
        </w:rPr>
        <w:t>vegetation_indices.py</w:t>
      </w:r>
      <w:r>
        <w:rPr>
          <w:rFonts w:ascii="Times New Roman" w:hAnsi="Times New Roman" w:cs="Times New Roman"/>
          <w:sz w:val="18"/>
          <w:szCs w:val="18"/>
        </w:rPr>
        <w:t>/</w:t>
      </w:r>
      <w:r>
        <w:rPr>
          <w:rStyle w:val="VerbatimChar"/>
          <w:rFonts w:ascii="Times New Roman" w:hAnsi="Times New Roman" w:cs="Times New Roman"/>
          <w:sz w:val="18"/>
          <w:szCs w:val="18"/>
        </w:rPr>
        <w:t>texture.py</w:t>
      </w:r>
      <w:r>
        <w:rPr>
          <w:rFonts w:ascii="Times New Roman" w:hAnsi="Times New Roman" w:cs="Times New Roman"/>
          <w:sz w:val="18"/>
          <w:szCs w:val="18"/>
        </w:rPr>
        <w:t>/</w:t>
      </w:r>
      <w:r>
        <w:rPr>
          <w:rStyle w:val="VerbatimChar"/>
          <w:rFonts w:ascii="Times New Roman" w:hAnsi="Times New Roman" w:cs="Times New Roman"/>
          <w:sz w:val="18"/>
          <w:szCs w:val="18"/>
        </w:rPr>
        <w:t>spectral.py</w:t>
      </w:r>
      <w:r>
        <w:rPr>
          <w:rFonts w:ascii="Times New Roman" w:hAnsi="Times New Roman" w:cs="Times New Roman"/>
          <w:sz w:val="18"/>
          <w:szCs w:val="18"/>
        </w:rPr>
        <w:t xml:space="preserve"> outputs, plus the composite variability and true multispectral layers) to its array producing function, its true or declared value range, and a curated set of scientifically appropriate colormap options  diverging palettes (</w:t>
      </w:r>
      <w:r>
        <w:rPr>
          <w:rStyle w:val="VerbatimChar"/>
          <w:rFonts w:ascii="Times New Roman" w:hAnsi="Times New Roman" w:cs="Times New Roman"/>
          <w:sz w:val="18"/>
          <w:szCs w:val="18"/>
        </w:rPr>
        <w:t>RdYlGn</w:t>
      </w:r>
      <w:r>
        <w:rPr>
          <w:rFonts w:ascii="Times New Roman" w:hAnsi="Times New Roman" w:cs="Times New Roman"/>
          <w:sz w:val="18"/>
          <w:szCs w:val="18"/>
        </w:rPr>
        <w:t xml:space="preserve">, </w:t>
      </w:r>
      <w:r>
        <w:rPr>
          <w:rStyle w:val="VerbatimChar"/>
          <w:rFonts w:ascii="Times New Roman" w:hAnsi="Times New Roman" w:cs="Times New Roman"/>
          <w:sz w:val="18"/>
          <w:szCs w:val="18"/>
        </w:rPr>
        <w:t>RdYlBu_r</w:t>
      </w:r>
      <w:r>
        <w:rPr>
          <w:rFonts w:ascii="Times New Roman" w:hAnsi="Times New Roman" w:cs="Times New Roman"/>
          <w:sz w:val="18"/>
          <w:szCs w:val="18"/>
        </w:rPr>
        <w:t xml:space="preserve">, </w:t>
      </w:r>
      <w:r>
        <w:rPr>
          <w:rStyle w:val="VerbatimChar"/>
          <w:rFonts w:ascii="Times New Roman" w:hAnsi="Times New Roman" w:cs="Times New Roman"/>
          <w:sz w:val="18"/>
          <w:szCs w:val="18"/>
        </w:rPr>
        <w:t>PiYG</w:t>
      </w:r>
      <w:r>
        <w:rPr>
          <w:rFonts w:ascii="Times New Roman" w:hAnsi="Times New Roman" w:cs="Times New Roman"/>
          <w:sz w:val="18"/>
          <w:szCs w:val="18"/>
        </w:rPr>
        <w:t xml:space="preserve">, </w:t>
      </w:r>
      <w:r>
        <w:rPr>
          <w:rStyle w:val="VerbatimChar"/>
          <w:rFonts w:ascii="Times New Roman" w:hAnsi="Times New Roman" w:cs="Times New Roman"/>
          <w:sz w:val="18"/>
          <w:szCs w:val="18"/>
        </w:rPr>
        <w:t>Spectral</w:t>
      </w:r>
      <w:r>
        <w:rPr>
          <w:rFonts w:ascii="Times New Roman" w:hAnsi="Times New Roman" w:cs="Times New Roman"/>
          <w:sz w:val="18"/>
          <w:szCs w:val="18"/>
        </w:rPr>
        <w:t xml:space="preserve">, </w:t>
      </w:r>
      <w:r>
        <w:rPr>
          <w:rStyle w:val="VerbatimChar"/>
          <w:rFonts w:ascii="Times New Roman" w:hAnsi="Times New Roman" w:cs="Times New Roman"/>
          <w:sz w:val="18"/>
          <w:szCs w:val="18"/>
        </w:rPr>
        <w:t>BrBG</w:t>
      </w:r>
      <w:r>
        <w:rPr>
          <w:rFonts w:ascii="Times New Roman" w:hAnsi="Times New Roman" w:cs="Times New Roman"/>
          <w:sz w:val="18"/>
          <w:szCs w:val="18"/>
        </w:rPr>
        <w:t xml:space="preserve">, </w:t>
      </w:r>
      <w:r>
        <w:rPr>
          <w:rStyle w:val="VerbatimChar"/>
          <w:rFonts w:ascii="Times New Roman" w:hAnsi="Times New Roman" w:cs="Times New Roman"/>
          <w:sz w:val="18"/>
          <w:szCs w:val="18"/>
        </w:rPr>
        <w:t>coolwarm</w:t>
      </w:r>
      <w:r>
        <w:rPr>
          <w:rFonts w:ascii="Times New Roman" w:hAnsi="Times New Roman" w:cs="Times New Roman"/>
          <w:sz w:val="18"/>
          <w:szCs w:val="18"/>
        </w:rPr>
        <w:t>) for signed indices, sequential palettes (</w:t>
      </w:r>
      <w:r>
        <w:rPr>
          <w:rStyle w:val="VerbatimChar"/>
          <w:rFonts w:ascii="Times New Roman" w:hAnsi="Times New Roman" w:cs="Times New Roman"/>
          <w:sz w:val="18"/>
          <w:szCs w:val="18"/>
        </w:rPr>
        <w:t>Greens</w:t>
      </w:r>
      <w:r>
        <w:rPr>
          <w:rFonts w:ascii="Times New Roman" w:hAnsi="Times New Roman" w:cs="Times New Roman"/>
          <w:sz w:val="18"/>
          <w:szCs w:val="18"/>
        </w:rPr>
        <w:t xml:space="preserve">, </w:t>
      </w:r>
      <w:r>
        <w:rPr>
          <w:rStyle w:val="VerbatimChar"/>
          <w:rFonts w:ascii="Times New Roman" w:hAnsi="Times New Roman" w:cs="Times New Roman"/>
          <w:sz w:val="18"/>
          <w:szCs w:val="18"/>
        </w:rPr>
        <w:t>YlGn</w:t>
      </w:r>
      <w:r>
        <w:rPr>
          <w:rFonts w:ascii="Times New Roman" w:hAnsi="Times New Roman" w:cs="Times New Roman"/>
          <w:sz w:val="18"/>
          <w:szCs w:val="18"/>
        </w:rPr>
        <w:t xml:space="preserve">, </w:t>
      </w:r>
      <w:r>
        <w:rPr>
          <w:rStyle w:val="VerbatimChar"/>
          <w:rFonts w:ascii="Times New Roman" w:hAnsi="Times New Roman" w:cs="Times New Roman"/>
          <w:sz w:val="18"/>
          <w:szCs w:val="18"/>
        </w:rPr>
        <w:t>viridis</w:t>
      </w:r>
      <w:r>
        <w:rPr>
          <w:rFonts w:ascii="Times New Roman" w:hAnsi="Times New Roman" w:cs="Times New Roman"/>
          <w:sz w:val="18"/>
          <w:szCs w:val="18"/>
        </w:rPr>
        <w:t xml:space="preserve">, </w:t>
      </w:r>
      <w:r>
        <w:rPr>
          <w:rStyle w:val="VerbatimChar"/>
          <w:rFonts w:ascii="Times New Roman" w:hAnsi="Times New Roman" w:cs="Times New Roman"/>
          <w:sz w:val="18"/>
          <w:szCs w:val="18"/>
        </w:rPr>
        <w:t>plasma</w:t>
      </w:r>
      <w:r>
        <w:rPr>
          <w:rFonts w:ascii="Times New Roman" w:hAnsi="Times New Roman" w:cs="Times New Roman"/>
          <w:sz w:val="18"/>
          <w:szCs w:val="18"/>
        </w:rPr>
        <w:t xml:space="preserve">, </w:t>
      </w:r>
      <w:r>
        <w:rPr>
          <w:rStyle w:val="VerbatimChar"/>
          <w:rFonts w:ascii="Times New Roman" w:hAnsi="Times New Roman" w:cs="Times New Roman"/>
          <w:sz w:val="18"/>
          <w:szCs w:val="18"/>
        </w:rPr>
        <w:t>Blues</w:t>
      </w:r>
      <w:r>
        <w:rPr>
          <w:rFonts w:ascii="Times New Roman" w:hAnsi="Times New Roman" w:cs="Times New Roman"/>
          <w:sz w:val="18"/>
          <w:szCs w:val="18"/>
        </w:rPr>
        <w:t xml:space="preserve">, </w:t>
      </w:r>
      <w:r>
        <w:rPr>
          <w:rStyle w:val="VerbatimChar"/>
          <w:rFonts w:ascii="Times New Roman" w:hAnsi="Times New Roman" w:cs="Times New Roman"/>
          <w:sz w:val="18"/>
          <w:szCs w:val="18"/>
        </w:rPr>
        <w:t>Reds</w:t>
      </w:r>
      <w:r>
        <w:rPr>
          <w:rFonts w:ascii="Times New Roman" w:hAnsi="Times New Roman" w:cs="Times New Roman"/>
          <w:sz w:val="18"/>
          <w:szCs w:val="18"/>
        </w:rPr>
        <w:t xml:space="preserve">, </w:t>
      </w:r>
      <w:r>
        <w:rPr>
          <w:rStyle w:val="VerbatimChar"/>
          <w:rFonts w:ascii="Times New Roman" w:hAnsi="Times New Roman" w:cs="Times New Roman"/>
          <w:sz w:val="18"/>
          <w:szCs w:val="18"/>
        </w:rPr>
        <w:t>Oranges</w:t>
      </w:r>
      <w:r>
        <w:rPr>
          <w:rFonts w:ascii="Times New Roman" w:hAnsi="Times New Roman" w:cs="Times New Roman"/>
          <w:sz w:val="18"/>
          <w:szCs w:val="18"/>
        </w:rPr>
        <w:t xml:space="preserve">, </w:t>
      </w:r>
      <w:r>
        <w:rPr>
          <w:rStyle w:val="VerbatimChar"/>
          <w:rFonts w:ascii="Times New Roman" w:hAnsi="Times New Roman" w:cs="Times New Roman"/>
          <w:sz w:val="18"/>
          <w:szCs w:val="18"/>
        </w:rPr>
        <w:t>YlOrRd</w:t>
      </w:r>
      <w:r>
        <w:rPr>
          <w:rFonts w:ascii="Times New Roman" w:hAnsi="Times New Roman" w:cs="Times New Roman"/>
          <w:sz w:val="18"/>
          <w:szCs w:val="18"/>
        </w:rPr>
        <w:t>) for masks and unbounded surfaces. Layers without a fixed theoretical range (the Chlorophyll Index proxy, IDW interpolation, band ratios) are rendered with a percentile stretch rather than a hard coded min/max, avoiding the visual distortion a single outlier pixel would otherwise cause:</w:t>
      </w:r>
    </w:p>
    <w:p w14:paraId="63CA4D39" w14:textId="1857DE45" w:rsidR="00DA00EE" w:rsidRPr="00E32832" w:rsidRDefault="00E32832" w:rsidP="00BA5D5D">
      <w:pPr>
        <w:pStyle w:val="BodyText"/>
        <w:jc w:val="both"/>
        <w:rPr>
          <w:rFonts w:ascii="Times New Roman" w:hAnsi="Times New Roman" w:cs="Times New Roman"/>
          <w:sz w:val="18"/>
          <w:szCs w:val="18"/>
        </w:rPr>
      </w:pPr>
      <m:oMath>
        <m:r>
          <m:rPr>
            <m:sty m:val="p"/>
          </m:rPr>
          <w:rPr>
            <w:rFonts w:ascii="Cambria Math" w:hAnsi="Cambria Math" w:cs="Times New Roman"/>
            <w:sz w:val="18"/>
            <w:szCs w:val="18"/>
          </w:rPr>
          <m:t>v'</m:t>
        </m:r>
        <m:d>
          <m:dPr>
            <m:ctrlPr>
              <w:rPr>
                <w:rFonts w:ascii="Cambria Math" w:hAnsi="Cambria Math" w:cs="Times New Roman"/>
                <w:sz w:val="18"/>
                <w:szCs w:val="18"/>
              </w:rPr>
            </m:ctrlPr>
          </m:dPr>
          <m:e>
            <m:r>
              <m:rPr>
                <m:sty m:val="p"/>
              </m:rPr>
              <w:rPr>
                <w:rFonts w:ascii="Cambria Math" w:hAnsi="Cambria Math" w:cs="Times New Roman"/>
                <w:sz w:val="18"/>
                <w:szCs w:val="18"/>
              </w:rPr>
              <m:t>u,v</m:t>
            </m:r>
          </m:e>
        </m:d>
        <m:r>
          <m:rPr>
            <m:sty m:val="p"/>
          </m:rPr>
          <w:rPr>
            <w:rFonts w:ascii="Cambria Math" w:hAnsi="Cambria Math" w:cs="Times New Roman"/>
            <w:sz w:val="18"/>
            <w:szCs w:val="18"/>
          </w:rPr>
          <m:t>=</m:t>
        </m:r>
        <m:r>
          <m:rPr>
            <m:nor/>
          </m:rPr>
          <w:rPr>
            <w:rFonts w:ascii="Times New Roman" w:hAnsi="Times New Roman" w:cs="Times New Roman"/>
            <w:sz w:val="18"/>
            <w:szCs w:val="18"/>
          </w:rPr>
          <m:t>clip</m:t>
        </m:r>
        <m:r>
          <m:rPr>
            <m:sty m:val="p"/>
          </m:rPr>
          <w:rPr>
            <w:rFonts w:ascii="Cambria Math" w:hAnsi="Cambria Math" w:cs="Times New Roman"/>
            <w:sz w:val="18"/>
            <w:szCs w:val="18"/>
          </w:rPr>
          <m:t>​</m:t>
        </m:r>
        <m:d>
          <m:dPr>
            <m:ctrlPr>
              <w:rPr>
                <w:rFonts w:ascii="Cambria Math" w:hAnsi="Cambria Math" w:cs="Times New Roman"/>
                <w:sz w:val="18"/>
                <w:szCs w:val="18"/>
              </w:rPr>
            </m:ctrlPr>
          </m:dPr>
          <m:e>
            <m:f>
              <m:fPr>
                <m:ctrlPr>
                  <w:rPr>
                    <w:rFonts w:ascii="Cambria Math" w:hAnsi="Cambria Math" w:cs="Times New Roman"/>
                    <w:sz w:val="18"/>
                    <w:szCs w:val="18"/>
                  </w:rPr>
                </m:ctrlPr>
              </m:fPr>
              <m:num>
                <m:r>
                  <m:rPr>
                    <m:sty m:val="p"/>
                  </m:rPr>
                  <w:rPr>
                    <w:rFonts w:ascii="Cambria Math" w:hAnsi="Cambria Math" w:cs="Times New Roman"/>
                    <w:sz w:val="18"/>
                    <w:szCs w:val="18"/>
                  </w:rPr>
                  <m:t>v</m:t>
                </m:r>
                <m:d>
                  <m:dPr>
                    <m:ctrlPr>
                      <w:rPr>
                        <w:rFonts w:ascii="Cambria Math" w:hAnsi="Cambria Math" w:cs="Times New Roman"/>
                        <w:sz w:val="18"/>
                        <w:szCs w:val="18"/>
                      </w:rPr>
                    </m:ctrlPr>
                  </m:dPr>
                  <m:e>
                    <m:r>
                      <m:rPr>
                        <m:sty m:val="p"/>
                      </m:rPr>
                      <w:rPr>
                        <w:rFonts w:ascii="Cambria Math" w:hAnsi="Cambria Math" w:cs="Times New Roman"/>
                        <w:sz w:val="18"/>
                        <w:szCs w:val="18"/>
                      </w:rPr>
                      <m:t>u,v</m:t>
                    </m:r>
                  </m:e>
                </m:d>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2</m:t>
                    </m:r>
                  </m:sub>
                </m:sSub>
              </m:num>
              <m:den>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98</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2</m:t>
                    </m:r>
                  </m:sub>
                </m:sSub>
              </m:den>
            </m:f>
            <m:r>
              <m:rPr>
                <m:sty m:val="p"/>
              </m:rPr>
              <w:rPr>
                <w:rFonts w:ascii="Cambria Math" w:hAnsi="Cambria Math" w:cs="Times New Roman"/>
                <w:sz w:val="18"/>
                <w:szCs w:val="18"/>
              </w:rPr>
              <m:t>, 0, 1</m:t>
            </m:r>
          </m:e>
        </m:d>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2</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nor/>
              </m:rPr>
              <w:rPr>
                <w:rFonts w:ascii="Times New Roman" w:hAnsi="Times New Roman" w:cs="Times New Roman"/>
                <w:sz w:val="18"/>
                <w:szCs w:val="18"/>
              </w:rPr>
              <m:t>Percentile</m:t>
            </m:r>
          </m:e>
          <m:sub>
            <m:r>
              <m:rPr>
                <m:sty m:val="p"/>
              </m:rPr>
              <w:rPr>
                <w:rFonts w:ascii="Cambria Math" w:hAnsi="Cambria Math" w:cs="Times New Roman"/>
                <w:sz w:val="18"/>
                <w:szCs w:val="18"/>
              </w:rPr>
              <m:t>2</m:t>
            </m:r>
          </m:sub>
        </m:sSub>
        <m:d>
          <m:dPr>
            <m:ctrlPr>
              <w:rPr>
                <w:rFonts w:ascii="Cambria Math" w:hAnsi="Cambria Math" w:cs="Times New Roman"/>
                <w:sz w:val="18"/>
                <w:szCs w:val="18"/>
              </w:rPr>
            </m:ctrlPr>
          </m:dPr>
          <m:e>
            <m:r>
              <m:rPr>
                <m:sty m:val="p"/>
              </m:rPr>
              <w:rPr>
                <w:rFonts w:ascii="Cambria Math" w:hAnsi="Cambria Math" w:cs="Times New Roman"/>
                <w:sz w:val="18"/>
                <w:szCs w:val="18"/>
              </w:rPr>
              <m:t>v</m:t>
            </m:r>
          </m:e>
        </m:d>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98</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nor/>
              </m:rPr>
              <w:rPr>
                <w:rFonts w:ascii="Times New Roman" w:hAnsi="Times New Roman" w:cs="Times New Roman"/>
                <w:sz w:val="18"/>
                <w:szCs w:val="18"/>
              </w:rPr>
              <m:t>Percentile</m:t>
            </m:r>
          </m:e>
          <m:sub>
            <m:r>
              <m:rPr>
                <m:sty m:val="p"/>
              </m:rPr>
              <w:rPr>
                <w:rFonts w:ascii="Cambria Math" w:hAnsi="Cambria Math" w:cs="Times New Roman"/>
                <w:sz w:val="18"/>
                <w:szCs w:val="18"/>
              </w:rPr>
              <m:t>98</m:t>
            </m:r>
          </m:sub>
        </m:sSub>
        <m:d>
          <m:dPr>
            <m:ctrlPr>
              <w:rPr>
                <w:rFonts w:ascii="Cambria Math" w:hAnsi="Cambria Math" w:cs="Times New Roman"/>
                <w:sz w:val="18"/>
                <w:szCs w:val="18"/>
              </w:rPr>
            </m:ctrlPr>
          </m:dPr>
          <m:e>
            <m:r>
              <m:rPr>
                <m:sty m:val="p"/>
              </m:rPr>
              <w:rPr>
                <w:rFonts w:ascii="Cambria Math" w:hAnsi="Cambria Math" w:cs="Times New Roman"/>
                <w:sz w:val="18"/>
                <w:szCs w:val="18"/>
              </w:rPr>
              <m:t>v</m:t>
            </m:r>
          </m:e>
        </m:d>
      </m:oMath>
      <w:r>
        <w:rPr>
          <w:rFonts w:ascii="Times New Roman" w:hAnsi="Times New Roman" w:cs="Times New Roman"/>
          <w:b/>
          <w:sz w:val="18"/>
          <w:szCs w:val="18"/>
        </w:rPr>
        <w:t xml:space="preserve">  (17)</w:t>
      </w:r>
    </w:p>
    <w:p w14:paraId="63017479"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so that every map canvas layer always renders with a colorbar that is both scientifically appropriate to the quantity being shown and numerically correct, rather than an arbitrary single colour tint that </w:t>
      </w:r>
      <w:r>
        <w:rPr>
          <w:rFonts w:ascii="Times New Roman" w:hAnsi="Times New Roman" w:cs="Times New Roman"/>
          <w:sz w:val="18"/>
          <w:szCs w:val="18"/>
        </w:rPr>
        <w:t xml:space="preserve">could misrepresent the underlying measurement. </w:t>
      </w:r>
      <w:r>
        <w:rPr>
          <w:rStyle w:val="VerbatimChar"/>
          <w:rFonts w:ascii="Times New Roman" w:hAnsi="Times New Roman" w:cs="Times New Roman"/>
          <w:sz w:val="18"/>
          <w:szCs w:val="18"/>
        </w:rPr>
        <w:t>pdf_export.py</w:t>
      </w:r>
      <w:r>
        <w:rPr>
          <w:rFonts w:ascii="Times New Roman" w:hAnsi="Times New Roman" w:cs="Times New Roman"/>
          <w:sz w:val="18"/>
          <w:szCs w:val="18"/>
        </w:rPr>
        <w:t xml:space="preserve"> then assembles any subset of the generated matplotlib figures into a single multi page PDF report, one figure per page, for offline sharing or record keeping.</w:t>
      </w:r>
    </w:p>
    <w:p w14:paraId="49DE2DF5" w14:textId="77777777" w:rsidR="00DA00EE" w:rsidRPr="00E32832" w:rsidRDefault="00DA00EE" w:rsidP="00BA5D5D">
      <w:pPr>
        <w:jc w:val="both"/>
        <w:rPr>
          <w:rFonts w:ascii="Times New Roman" w:hAnsi="Times New Roman" w:cs="Times New Roman"/>
          <w:sz w:val="18"/>
          <w:szCs w:val="18"/>
        </w:rPr>
      </w:pPr>
    </w:p>
    <w:p w14:paraId="6B95EE56" w14:textId="77777777" w:rsidR="00DA00EE" w:rsidRPr="00E32832" w:rsidRDefault="00F84C4B" w:rsidP="00BA5D5D">
      <w:pPr>
        <w:pStyle w:val="Heading2"/>
        <w:jc w:val="both"/>
        <w:rPr>
          <w:rFonts w:ascii="Times New Roman" w:hAnsi="Times New Roman" w:cs="Times New Roman"/>
          <w:color w:val="auto"/>
          <w:sz w:val="18"/>
          <w:szCs w:val="18"/>
        </w:rPr>
      </w:pPr>
      <w:bookmarkStart w:id="53" w:name="_Toc234738416"/>
      <w:bookmarkStart w:id="54" w:name="Xfb5275866e1ecfa83bde8c8a0928481c01841fa"/>
      <w:bookmarkEnd w:id="34"/>
      <w:bookmarkEnd w:id="52"/>
      <w:r>
        <w:rPr>
          <w:rFonts w:ascii="Times New Roman" w:hAnsi="Times New Roman" w:cs="Times New Roman"/>
          <w:color w:val="auto"/>
          <w:sz w:val="18"/>
          <w:szCs w:val="18"/>
        </w:rPr>
        <w:t>5. Live Session Verification: Real Application Output on an Actual Working Session</w:t>
      </w:r>
      <w:bookmarkEnd w:id="53"/>
    </w:p>
    <w:p w14:paraId="71E54D61" w14:textId="20B9DA8A"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Sections 3 and 4 described the architecture and mathematics of the pipeline and illustrated each method on procedurally synthesised demonstration imagery generated specifically for this paper. This section is different in kind: it presents unedited screenshots captured directly from a real, running session of the PyQt6 GIS Workbench (</w:t>
      </w:r>
      <w:r>
        <w:rPr>
          <w:rStyle w:val="VerbatimChar"/>
          <w:rFonts w:ascii="Times New Roman" w:hAnsi="Times New Roman" w:cs="Times New Roman"/>
          <w:sz w:val="18"/>
          <w:szCs w:val="18"/>
        </w:rPr>
        <w:t>main.py</w:t>
      </w:r>
      <w:r>
        <w:rPr>
          <w:rFonts w:ascii="Times New Roman" w:hAnsi="Times New Roman" w:cs="Times New Roman"/>
          <w:sz w:val="18"/>
          <w:szCs w:val="18"/>
        </w:rPr>
        <w:t>), operating on the user’s own loaded photograph(s), included here as direct, independently verifiable evidence that the architecture described in Sections 3–4 is not merely a paper design but a working, installed application producing exactly the outputs this paper claims it produces  including its honest failure and unavailability messages.</w:t>
      </w:r>
    </w:p>
    <w:p w14:paraId="04D67110" w14:textId="77777777" w:rsidR="00DA00EE" w:rsidRPr="00E32832" w:rsidRDefault="00F84C4B" w:rsidP="00BA5D5D">
      <w:pPr>
        <w:pStyle w:val="Heading3"/>
        <w:jc w:val="both"/>
        <w:rPr>
          <w:rFonts w:ascii="Times New Roman" w:hAnsi="Times New Roman" w:cs="Times New Roman"/>
          <w:color w:val="auto"/>
          <w:sz w:val="18"/>
          <w:szCs w:val="18"/>
        </w:rPr>
      </w:pPr>
      <w:bookmarkStart w:id="55" w:name="_Toc234738417"/>
      <w:bookmarkStart w:id="56" w:name="X4ef07e2fdb2767f58e9b8742ad3aec945f3b475"/>
      <w:r>
        <w:rPr>
          <w:rFonts w:ascii="Times New Roman" w:hAnsi="Times New Roman" w:cs="Times New Roman"/>
          <w:color w:val="auto"/>
          <w:sz w:val="18"/>
          <w:szCs w:val="18"/>
        </w:rPr>
        <w:t>5.1 Application shell and empty state guidance</w:t>
      </w:r>
      <w:bookmarkEnd w:id="55"/>
    </w:p>
    <w:p w14:paraId="31BC18CD" w14:textId="77777777"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Figure 6A shows the GIS Workbench’s main window in its initial state: the Layers dock (left), Image Manager dock (left, tabbed), Map Canvas with Raw Preview and Charts &amp; Reports tabs (centre), XAI Recommendations dock (right), and the Attribute Table / Field &amp; Sensor Data / Execution Log docks (bottom), exactly as specified in Section 3.1. Consistent with the Verifiable Reporting Framework principle, the Map Canvas does not display a placeholder map or a default index before any image has actually been aligned; it instead shows explicit, actionable guidance (“Load images, click ‘Align &amp; Build Composite’, then tick a layer in the Layers panel to see the batch’s measured output here”), and the XAI Recommendations panel similarly declines to show a fabricated recommendation before real batch statistics exist.</w:t>
      </w:r>
    </w:p>
    <w:p w14:paraId="18104DD6"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lastRenderedPageBreak/>
        <w:drawing>
          <wp:inline distT="0" distB="0" distL="0" distR="0" wp14:anchorId="01691BC5" wp14:editId="385B057F">
            <wp:extent cx="5303520" cy="6029661"/>
            <wp:effectExtent l="0" t="0" r="0" b="0"/>
            <wp:docPr id="606" name="Pictur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 name="Picture 606"/>
                    <pic:cNvPicPr/>
                  </pic:nvPicPr>
                  <pic:blipFill>
                    <a:blip r:embed="rId17"/>
                    <a:stretch>
                      <a:fillRect/>
                    </a:stretch>
                  </pic:blipFill>
                  <pic:spPr>
                    <a:xfrm>
                      <a:off x="0" y="0"/>
                      <a:ext cx="5303520" cy="6029661"/>
                    </a:xfrm>
                    <a:prstGeom prst="rect">
                      <a:avLst/>
                    </a:prstGeom>
                  </pic:spPr>
                </pic:pic>
              </a:graphicData>
            </a:graphic>
          </wp:inline>
        </w:drawing>
      </w:r>
    </w:p>
    <w:p w14:paraId="4486CAA8" w14:textId="3EE7915C" w:rsidR="00283C42" w:rsidRPr="00E32832" w:rsidRDefault="0058322D">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7. GIS Workbench live session I: overview and index layers. (A) Main application window; (B) live NDVI/NDWI/GNDVI layer panels; (C) live MSAVI/chlorophyll-index/suspect-spot layers; (D) batch summary text panel; (E) variable-rate-zone map (left) and invariant texture map (right); (F) K-means colour-quantisation loss curve.</w:t>
      </w:r>
    </w:p>
    <w:p w14:paraId="00E80D05" w14:textId="77777777" w:rsidR="00877156" w:rsidRPr="00E32832" w:rsidRDefault="00877156" w:rsidP="00BA5D5D">
      <w:pPr>
        <w:pStyle w:val="Heading3"/>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bookmarkStart w:id="57" w:name="_Toc234738418"/>
      <w:bookmarkStart w:id="58" w:name="Xeff15761f5c5aaf166997aa16348f348adeabef"/>
      <w:bookmarkEnd w:id="56"/>
    </w:p>
    <w:p w14:paraId="0219668D" w14:textId="77777777" w:rsidR="00DA00EE" w:rsidRPr="00E32832" w:rsidRDefault="00F84C4B" w:rsidP="00BA5D5D">
      <w:pPr>
        <w:pStyle w:val="Heading3"/>
        <w:jc w:val="both"/>
        <w:rPr>
          <w:rFonts w:ascii="Times New Roman" w:hAnsi="Times New Roman" w:cs="Times New Roman"/>
          <w:color w:val="auto"/>
          <w:sz w:val="18"/>
          <w:szCs w:val="18"/>
        </w:rPr>
      </w:pPr>
      <w:r>
        <w:rPr>
          <w:rFonts w:ascii="Times New Roman" w:hAnsi="Times New Roman" w:cs="Times New Roman"/>
          <w:color w:val="auto"/>
          <w:sz w:val="18"/>
          <w:szCs w:val="18"/>
        </w:rPr>
        <w:t>5.2 Real vegetation index map canvas layers on a live loaded photograph</w:t>
      </w:r>
      <w:bookmarkEnd w:id="57"/>
    </w:p>
    <w:p w14:paraId="237FE8B2" w14:textId="0560B684"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Figures 6B and 6C show six of the sixteen map canvas raster layers (Section 4.2, Table 2), each computed live from the user’s own loaded, aligned image rather than the paper’s  demonstration set: NDVI, NDWI, and GNDVI RGB proxies (Figure 6B), and MSAVI, the Chlorophyll Index proxy, and the Susceptible Spots </w:t>
      </w:r>
      <w:r>
        <w:rPr>
          <w:rFonts w:ascii="Times New Roman" w:hAnsi="Times New Roman" w:cs="Times New Roman"/>
          <w:sz w:val="18"/>
          <w:szCs w:val="18"/>
        </w:rPr>
        <w:t xml:space="preserve">heuristic mask (Figure 6C). Each layer renders with the correctly scaled colourbar specified in the raster layer registry (Section 4.10)  diverging </w:t>
      </w: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-1,1</m:t>
            </m:r>
          </m:e>
        </m:d>
      </m:oMath>
      <w:r>
        <w:rPr>
          <w:rFonts w:ascii="Times New Roman" w:hAnsi="Times New Roman" w:cs="Times New Roman"/>
          <w:sz w:val="18"/>
          <w:szCs w:val="18"/>
        </w:rPr>
        <w:t xml:space="preserve"> palettes for the signed proxy indices, a sequential percentile stretched palette for the Chlorophyll Index, and a binary sequential palette for the heuristic stress mask  exactly matching the formulas given in Table 2, now confirmed running against a real user photograph rather than only the paper’s own demonstration imagery.</w:t>
      </w:r>
    </w:p>
    <w:p w14:paraId="7D0EB45A" w14:textId="77777777" w:rsidR="00DA00EE" w:rsidRPr="00E32832" w:rsidRDefault="00F84C4B" w:rsidP="00BA5D5D">
      <w:pPr>
        <w:pStyle w:val="Heading3"/>
        <w:jc w:val="both"/>
        <w:rPr>
          <w:rFonts w:ascii="Times New Roman" w:hAnsi="Times New Roman" w:cs="Times New Roman"/>
          <w:color w:val="auto"/>
          <w:sz w:val="18"/>
          <w:szCs w:val="18"/>
        </w:rPr>
      </w:pPr>
      <w:bookmarkStart w:id="59" w:name="_Toc234738419"/>
      <w:bookmarkStart w:id="60" w:name="X16a17c47125e8c4d18602d38f5e84ee35b6225d"/>
      <w:bookmarkEnd w:id="58"/>
      <w:r>
        <w:rPr>
          <w:rFonts w:ascii="Times New Roman" w:hAnsi="Times New Roman" w:cs="Times New Roman"/>
          <w:color w:val="auto"/>
          <w:sz w:val="18"/>
          <w:szCs w:val="18"/>
        </w:rPr>
        <w:t>5.3 Real descriptive batch statistics and rule based inspection priority</w:t>
      </w:r>
      <w:bookmarkEnd w:id="59"/>
    </w:p>
    <w:p w14:paraId="3829E0AC" w14:textId="12D39EA9"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6D reproduces, verbatim, the batch summary text panel (Section 4.5) as rendered for this real session’s single loaded image: mean intensity (114.17), intensity standard deviation </w:t>
      </w:r>
      <w:r>
        <w:rPr>
          <w:rFonts w:ascii="Times New Roman" w:hAnsi="Times New Roman" w:cs="Times New Roman"/>
          <w:sz w:val="18"/>
          <w:szCs w:val="18"/>
        </w:rPr>
        <w:t xml:space="preserve">(62.31), edge density (0.0715), mean NDVI proxy (0.047), canopy cover (75.4%), the fraction of low vigor/stressed pixels (19.3%), cross batch variability (0.00, correctly reported as zero here because only one image had been aligned at the time of capture  a genuine, not fabricated, edge case value), and a rule based inspection priority flag (“HIGH  schedule field inspection”) </w:t>
      </w:r>
      <w:r>
        <w:rPr>
          <w:rFonts w:ascii="Times New Roman" w:hAnsi="Times New Roman" w:cs="Times New Roman"/>
          <w:sz w:val="18"/>
          <w:szCs w:val="18"/>
        </w:rPr>
        <w:lastRenderedPageBreak/>
        <w:t xml:space="preserve">driven directly by these same measured numbers rather than a separate hidden model. This is the same descriptive statistics only mechanism documented in Section 4.5 and is presented here </w:t>
      </w:r>
      <w:r>
        <w:rPr>
          <w:rFonts w:ascii="Times New Roman" w:hAnsi="Times New Roman" w:cs="Times New Roman"/>
          <w:sz w:val="18"/>
          <w:szCs w:val="18"/>
        </w:rPr>
        <w:t>specifically because it is a real screenshot rather than a constructed example.</w:t>
      </w:r>
    </w:p>
    <w:p w14:paraId="399D099D" w14:textId="77777777"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6E shows two further live map canvas layers from the same session: the NDVI based Variable Rate Zone map (Section 4.9/4.10, four tier precision agriculture heuristic) and the Invariant Texture map (Section 4.3’s gradient magnitude texture </w:t>
      </w:r>
      <w:r>
        <w:rPr>
          <w:rFonts w:ascii="Times New Roman" w:hAnsi="Times New Roman" w:cs="Times New Roman"/>
          <w:sz w:val="18"/>
          <w:szCs w:val="18"/>
        </w:rPr>
        <w:t>measure), confirming that both the vegetation index derived decision layer and the independent, index free texture layer are live computed from the same real image.</w:t>
      </w:r>
    </w:p>
    <w:p w14:paraId="5886B1C9" w14:textId="77777777" w:rsidR="00DA00EE" w:rsidRPr="00E32832" w:rsidRDefault="00F84C4B" w:rsidP="00BA5D5D">
      <w:pPr>
        <w:pStyle w:val="Heading3"/>
        <w:jc w:val="both"/>
        <w:rPr>
          <w:rFonts w:ascii="Times New Roman" w:hAnsi="Times New Roman" w:cs="Times New Roman"/>
          <w:color w:val="auto"/>
          <w:sz w:val="18"/>
          <w:szCs w:val="18"/>
        </w:rPr>
      </w:pPr>
      <w:bookmarkStart w:id="61" w:name="_Toc234738420"/>
      <w:bookmarkStart w:id="62" w:name="X11c63d957cba37db557d87edf0bc0fb8fb7ce7f"/>
      <w:bookmarkEnd w:id="60"/>
      <w:r>
        <w:rPr>
          <w:rFonts w:ascii="Times New Roman" w:hAnsi="Times New Roman" w:cs="Times New Roman"/>
          <w:color w:val="auto"/>
          <w:sz w:val="18"/>
          <w:szCs w:val="18"/>
        </w:rPr>
        <w:t>5.4 Real Charts &amp; Reports output: clustering diagnostics, generic pretrained models, and honest unavailability notices</w:t>
      </w:r>
      <w:bookmarkEnd w:id="61"/>
    </w:p>
    <w:p w14:paraId="425F5F7C" w14:textId="33E8A692" w:rsidR="00DA00EE" w:rsidRPr="00E32832" w:rsidRDefault="00F84C4B" w:rsidP="00BA5D5D">
      <w:pPr>
        <w:pStyle w:val="FirstParagraph"/>
        <w:keepN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6F shows the real K Means colour quantisation loss curve (Section 4.3’s texture module) for the same live image, exhibiting </w:t>
      </w:r>
      <w:r>
        <w:rPr>
          <w:rFonts w:ascii="Times New Roman" w:hAnsi="Times New Roman" w:cs="Times New Roman"/>
          <w:sz w:val="18"/>
          <w:szCs w:val="18"/>
        </w:rPr>
        <w:t xml:space="preserve">the expected monotonically decreasing, diminishing returns inertia curve as </w:t>
      </w:r>
      <m:oMath>
        <m:r>
          <m:rPr>
            <m:sty m:val="p"/>
          </m:rPr>
          <w:rPr>
            <w:rFonts w:ascii="Cambria Math" w:hAnsi="Cambria Math" w:cs="Times New Roman"/>
            <w:sz w:val="18"/>
            <w:szCs w:val="18"/>
          </w:rPr>
          <m:t>k</m:t>
        </m:r>
      </m:oMath>
      <w:r>
        <w:rPr>
          <w:rFonts w:ascii="Times New Roman" w:hAnsi="Times New Roman" w:cs="Times New Roman"/>
          <w:sz w:val="18"/>
          <w:szCs w:val="18"/>
        </w:rPr>
        <w:t xml:space="preserve"> increases from 1 to 8  a genuine elbow method diagnostic computed on this specific photograph’s own pixels, not a stock illustration.</w:t>
      </w:r>
    </w:p>
    <w:p w14:paraId="5FDEEE5D" w14:textId="187DD91A"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7A is a particularly informative real session capture because it shows, together on one page, (i) the heuristic quadrant Cross Crop Alignment correlation matrix (Section 4.3’s </w:t>
      </w:r>
      <w:r>
        <w:rPr>
          <w:rStyle w:val="VerbatimChar"/>
          <w:rFonts w:ascii="Times New Roman" w:hAnsi="Times New Roman" w:cs="Times New Roman"/>
          <w:sz w:val="18"/>
          <w:szCs w:val="18"/>
        </w:rPr>
        <w:t>texture.py</w:t>
      </w:r>
      <w:r>
        <w:rPr>
          <w:rFonts w:ascii="Times New Roman" w:hAnsi="Times New Roman" w:cs="Times New Roman"/>
          <w:sz w:val="18"/>
          <w:szCs w:val="18"/>
        </w:rPr>
        <w:t>), (ii) the genuine per image descriptive statistics panel with its explicit disclaimer that these are “descriptive statistics of this specific image, not validated cross dataset benchmark results,” (iii) real ResNet101 (ImageNet pretrained) top 5 output for this actual photograph, returning generic ImageNet object categories (</w:t>
      </w:r>
      <w:r>
        <w:rPr>
          <w:rStyle w:val="VerbatimChar"/>
          <w:rFonts w:ascii="Times New Roman" w:hAnsi="Times New Roman" w:cs="Times New Roman"/>
          <w:sz w:val="18"/>
          <w:szCs w:val="18"/>
        </w:rPr>
        <w:t>rapeseed</w:t>
      </w:r>
      <w:r>
        <w:rPr>
          <w:rFonts w:ascii="Times New Roman" w:hAnsi="Times New Roman" w:cs="Times New Roman"/>
          <w:sz w:val="18"/>
          <w:szCs w:val="18"/>
        </w:rPr>
        <w:t xml:space="preserve">, </w:t>
      </w:r>
      <w:r>
        <w:rPr>
          <w:rStyle w:val="VerbatimChar"/>
          <w:rFonts w:ascii="Times New Roman" w:hAnsi="Times New Roman" w:cs="Times New Roman"/>
          <w:sz w:val="18"/>
          <w:szCs w:val="18"/>
        </w:rPr>
        <w:t>greenhouse</w:t>
      </w:r>
      <w:r>
        <w:rPr>
          <w:rFonts w:ascii="Times New Roman" w:hAnsi="Times New Roman" w:cs="Times New Roman"/>
          <w:sz w:val="18"/>
          <w:szCs w:val="18"/>
        </w:rPr>
        <w:t xml:space="preserve">, </w:t>
      </w:r>
      <w:r>
        <w:rPr>
          <w:rStyle w:val="VerbatimChar"/>
          <w:rFonts w:ascii="Times New Roman" w:hAnsi="Times New Roman" w:cs="Times New Roman"/>
          <w:sz w:val="18"/>
          <w:szCs w:val="18"/>
        </w:rPr>
        <w:t>park bench</w:t>
      </w:r>
      <w:r>
        <w:rPr>
          <w:rFonts w:ascii="Times New Roman" w:hAnsi="Times New Roman" w:cs="Times New Roman"/>
          <w:sz w:val="18"/>
          <w:szCs w:val="18"/>
        </w:rPr>
        <w:t xml:space="preserve">, </w:t>
      </w:r>
      <w:r>
        <w:rPr>
          <w:rStyle w:val="VerbatimChar"/>
          <w:rFonts w:ascii="Times New Roman" w:hAnsi="Times New Roman" w:cs="Times New Roman"/>
          <w:sz w:val="18"/>
          <w:szCs w:val="18"/>
        </w:rPr>
        <w:t>earthstar</w:t>
      </w:r>
      <w:r>
        <w:rPr>
          <w:rFonts w:ascii="Times New Roman" w:hAnsi="Times New Roman" w:cs="Times New Roman"/>
          <w:sz w:val="18"/>
          <w:szCs w:val="18"/>
        </w:rPr>
        <w:t xml:space="preserve">, </w:t>
      </w:r>
      <w:r>
        <w:rPr>
          <w:rStyle w:val="VerbatimChar"/>
          <w:rFonts w:ascii="Times New Roman" w:hAnsi="Times New Roman" w:cs="Times New Roman"/>
          <w:sz w:val="18"/>
          <w:szCs w:val="18"/>
        </w:rPr>
        <w:t>groom</w:t>
      </w:r>
      <w:r>
        <w:rPr>
          <w:rFonts w:ascii="Times New Roman" w:hAnsi="Times New Roman" w:cs="Times New Roman"/>
          <w:sz w:val="18"/>
          <w:szCs w:val="18"/>
        </w:rPr>
        <w:t xml:space="preserve">) rather than any agronomic disease label  a direct, live confirmation of Section 4.7’s statement that these categories are </w:t>
      </w:r>
      <w:r>
        <w:rPr>
          <w:rFonts w:ascii="Times New Roman" w:hAnsi="Times New Roman" w:cs="Times New Roman"/>
          <w:sz w:val="18"/>
          <w:szCs w:val="18"/>
        </w:rPr>
        <w:t xml:space="preserve">“generic and not agronomic pathology labels”  and (iv) a real Faster R CNN (COCO pretrained) detection pass and the row wise pathology localization edge response curve (Section 4.9’s proxy). Because the deployed environment used to capture this screenshot evidently has both </w:t>
      </w:r>
      <w:r>
        <w:rPr>
          <w:rStyle w:val="VerbatimChar"/>
          <w:rFonts w:ascii="Times New Roman" w:hAnsi="Times New Roman" w:cs="Times New Roman"/>
          <w:sz w:val="18"/>
          <w:szCs w:val="18"/>
        </w:rPr>
        <w:t>torch</w:t>
      </w:r>
      <w:r>
        <w:rPr>
          <w:rFonts w:ascii="Times New Roman" w:hAnsi="Times New Roman" w:cs="Times New Roman"/>
          <w:sz w:val="18"/>
          <w:szCs w:val="18"/>
        </w:rPr>
        <w:t>/</w:t>
      </w:r>
      <w:r>
        <w:rPr>
          <w:rStyle w:val="VerbatimChar"/>
          <w:rFonts w:ascii="Times New Roman" w:hAnsi="Times New Roman" w:cs="Times New Roman"/>
          <w:sz w:val="18"/>
          <w:szCs w:val="18"/>
        </w:rPr>
        <w:t>torchvision</w:t>
      </w:r>
      <w:r>
        <w:rPr>
          <w:rFonts w:ascii="Times New Roman" w:hAnsi="Times New Roman" w:cs="Times New Roman"/>
          <w:sz w:val="18"/>
          <w:szCs w:val="18"/>
        </w:rPr>
        <w:t xml:space="preserve"> installed and network access to fetch the pretrained weights, this session shows the genuine inference branch of Section 4.7 rather than the “unavailable” branch shown in this paper’s own authoring environment (Figure 4E)  the two figures together are a direct, empirical demonstration that the module behaves correctly in both states, exactly as its Verifiable Reporting Framework contract requires.</w:t>
      </w:r>
    </w:p>
    <w:p w14:paraId="61483309" w14:textId="77777777" w:rsidR="00877156" w:rsidRPr="00E32832" w:rsidRDefault="00EF3290">
      <w:pPr>
        <w:pStyle w:val="CaptionedFigure"/>
        <w:keepLines/>
        <w:jc w:val="center"/>
        <w:rPr>
          <w:rFonts w:ascii="Times New Roman" w:hAnsi="Times New Roman" w:cs="Times New Roman"/>
        </w:rPr>
        <w:sectPr w:rsidR="00877156" w:rsidRPr="00E32832" w:rsidSect="00877156">
          <w:type w:val="continuous"/>
          <w:pgSz w:w="11906" w:h="16838"/>
          <w:pgMar w:top="1440" w:right="1080" w:bottom="1440" w:left="1080" w:header="708" w:footer="708" w:gutter="0"/>
          <w:cols w:space="360"/>
          <w:docGrid w:linePitch="360"/>
        </w:sectPr>
      </w:pPr>
      <w:r>
        <w:rPr>
          <w:rFonts w:ascii="Times New Roman" w:hAnsi="Times New Roman" w:cs="Times New Roman"/>
          <w:noProof/>
        </w:rPr>
        <w:drawing>
          <wp:inline distT="0" distB="0" distL="0" distR="0" wp14:anchorId="16EEA412" wp14:editId="01E9F253">
            <wp:extent cx="5302885" cy="4397890"/>
            <wp:effectExtent l="0" t="0" r="0" b="3175"/>
            <wp:docPr id="607" name="Picture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 name="Picture 60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302885" cy="4397890"/>
                    </a:xfrm>
                    <a:prstGeom prst="rect">
                      <a:avLst/>
                    </a:prstGeom>
                  </pic:spPr>
                </pic:pic>
              </a:graphicData>
            </a:graphic>
          </wp:inline>
        </w:drawing>
      </w:r>
    </w:p>
    <w:p w14:paraId="066B4938" w14:textId="77777777" w:rsidR="00283C42" w:rsidRPr="00E32832" w:rsidRDefault="00283C42">
      <w:pPr>
        <w:pStyle w:val="CaptionedFigure"/>
        <w:keepLines/>
        <w:jc w:val="center"/>
        <w:rPr>
          <w:rFonts w:ascii="Times New Roman" w:hAnsi="Times New Roman" w:cs="Times New Roman"/>
        </w:rPr>
      </w:pPr>
    </w:p>
    <w:p w14:paraId="5CE49E3E" w14:textId="3464AA35" w:rsidR="00283C42" w:rsidRPr="00E32832" w:rsidRDefault="0058322D">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8. GIS Workbench live session II: cross-crop, root and spectral diagnostics. (A) Cross-crop alignment matrix, statistics, ResNet and Faster R-CNN outputs; (B) root architecture, histogram and spectral reflectance panel; (C) spectral reflectance, GLCM, invariance, InfoNCE and spectral-availability panel; (D) live morphology/environment attribute profile; (E) XAI and recommendations panel.</w:t>
      </w:r>
    </w:p>
    <w:p w14:paraId="2D493317" w14:textId="77777777" w:rsidR="00877156" w:rsidRPr="00E32832" w:rsidRDefault="00877156" w:rsidP="00BA5D5D">
      <w:pPr>
        <w:pStyle w:val="BodyText"/>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p>
    <w:p w14:paraId="49979381" w14:textId="757A9DFC"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lastRenderedPageBreak/>
        <w:t xml:space="preserve">Figure 7B shows three further real Charts &amp; Reports panels from the same session: the Root Architecture Sobel edge/skeletonisation view, the outlier trimmed colour histogram with its annotated real channel means and chlorophyll proxy value, and the Spectral Reflectance &amp; Band Ratios text panel (Section 4.10’s </w:t>
      </w:r>
      <w:r>
        <w:rPr>
          <w:rStyle w:val="VerbatimChar"/>
          <w:rFonts w:ascii="Times New Roman" w:hAnsi="Times New Roman" w:cs="Times New Roman"/>
          <w:sz w:val="18"/>
          <w:szCs w:val="18"/>
        </w:rPr>
        <w:t>spectral.py</w:t>
      </w:r>
      <w:r>
        <w:rPr>
          <w:rFonts w:ascii="Times New Roman" w:hAnsi="Times New Roman" w:cs="Times New Roman"/>
          <w:sz w:val="18"/>
          <w:szCs w:val="18"/>
        </w:rPr>
        <w:t xml:space="preserve">)  the latter explicitly reporting Red </w:t>
      </w:r>
      <w:r>
        <w:rPr>
          <w:rFonts w:ascii="Times New Roman" w:hAnsi="Times New Roman" w:cs="Times New Roman"/>
          <w:sz w:val="18"/>
          <w:szCs w:val="18"/>
        </w:rPr>
        <w:t xml:space="preserve">edge and NIR as </w:t>
      </w:r>
      <w:r>
        <w:rPr>
          <w:rStyle w:val="VerbatimChar"/>
          <w:rFonts w:ascii="Times New Roman" w:hAnsi="Times New Roman" w:cs="Times New Roman"/>
          <w:sz w:val="18"/>
          <w:szCs w:val="18"/>
        </w:rPr>
        <w:t>N/A</w:t>
      </w:r>
      <w:r>
        <w:rPr>
          <w:rFonts w:ascii="Times New Roman" w:hAnsi="Times New Roman" w:cs="Times New Roman"/>
          <w:sz w:val="18"/>
          <w:szCs w:val="18"/>
        </w:rPr>
        <w:t xml:space="preserve">, and spectral radiance as </w:t>
      </w:r>
      <w:r>
        <w:rPr>
          <w:rStyle w:val="VerbatimChar"/>
          <w:rFonts w:ascii="Times New Roman" w:hAnsi="Times New Roman" w:cs="Times New Roman"/>
          <w:sz w:val="18"/>
          <w:szCs w:val="18"/>
        </w:rPr>
        <w:t>UNAVAILABLE (needs a calibrated sensor + known exposure)</w:t>
      </w:r>
      <w:r>
        <w:rPr>
          <w:rFonts w:ascii="Times New Roman" w:hAnsi="Times New Roman" w:cs="Times New Roman"/>
          <w:sz w:val="18"/>
          <w:szCs w:val="18"/>
        </w:rPr>
        <w:t>, a live, unforced confirmation of the Verifiable Reporting Framework rule discussed abstractly in Section 8 actually firing during real use, not only in the authoring environment’s forced demonstration.</w:t>
      </w:r>
    </w:p>
    <w:p w14:paraId="570293AE" w14:textId="0B580B91"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7C shows three more diagnostic panels from the same real session: the Spectral Reflectance/GLCM/Invariance Tests triptych, with the Invariance Tests panel reporting a genuine value of 1.000 for all six geometric transforms on this particular photograph  a real, if somewhat unusual, outcome (a perfectly symmetric or low information image region can genuinely produce descriptor invariance at or near 1.000 under several transforms; the module reports whatever the real computation </w:t>
      </w:r>
      <w:r>
        <w:rPr>
          <w:rFonts w:ascii="Times New Roman" w:hAnsi="Times New Roman" w:cs="Times New Roman"/>
          <w:sz w:val="18"/>
          <w:szCs w:val="18"/>
        </w:rPr>
        <w:t xml:space="preserve">returns rather than adjusting it to look more variable)  alongside the real InfoNCE style contrastive loss value (1.9533) and the Spectral Index Availability panel, which live confirms, in the user’s own running session, that NDRE, PRI, MSI, and ARI are each reported as </w:t>
      </w:r>
      <w:r>
        <w:rPr>
          <w:rStyle w:val="VerbatimChar"/>
          <w:rFonts w:ascii="Times New Roman" w:hAnsi="Times New Roman" w:cs="Times New Roman"/>
          <w:sz w:val="18"/>
          <w:szCs w:val="18"/>
        </w:rPr>
        <w:t>UNAVAILABLE</w:t>
      </w:r>
      <w:r>
        <w:rPr>
          <w:rFonts w:ascii="Times New Roman" w:hAnsi="Times New Roman" w:cs="Times New Roman"/>
          <w:sz w:val="18"/>
          <w:szCs w:val="18"/>
        </w:rPr>
        <w:t xml:space="preserve"> with the exact sensor requirement explanation given in Section 4.2, rather than a fabricated look alike value.</w:t>
      </w:r>
    </w:p>
    <w:p w14:paraId="18E84F8F" w14:textId="04174A9C"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Finally, Figure 7D shows the real Morphology &amp; Environment Attribute Profile panel (Section 4.9) as computed live on this session’s image: real GLCM based lesion texture pattern values, a real necrotic boundary sharpness score (0.103) and flagged area percentage (19.3%, consistent with the 19.3% low vigor figure independently reported in Figure 6D’s batch summary  a genuine internal cross check between two separately computed panels), a real chlorotic/yellowing colour proxy value, a real symptom spatial distribution summary (138 flagged regions), and real geometric/environmental proxies including a live checked EXIF </w:t>
      </w:r>
      <w:r>
        <w:rPr>
          <w:rFonts w:ascii="Times New Roman" w:hAnsi="Times New Roman" w:cs="Times New Roman"/>
          <w:sz w:val="18"/>
          <w:szCs w:val="18"/>
        </w:rPr>
        <w:t>acquisition geometry flag (</w:t>
      </w:r>
      <w:r>
        <w:rPr>
          <w:rStyle w:val="VerbatimChar"/>
          <w:rFonts w:ascii="Times New Roman" w:hAnsi="Times New Roman" w:cs="Times New Roman"/>
          <w:sz w:val="18"/>
          <w:szCs w:val="18"/>
        </w:rPr>
        <w:t>available=0</w:t>
      </w:r>
      <w:r>
        <w:rPr>
          <w:rFonts w:ascii="Times New Roman" w:hAnsi="Times New Roman" w:cs="Times New Roman"/>
          <w:sz w:val="18"/>
          <w:szCs w:val="18"/>
        </w:rPr>
        <w:t xml:space="preserve"> for this particular file, meaning no usable EXIF tags were present  again reported honestly rather than silently omitted), illumination context, and canopy shape descriptors  with the panel’s own header text repeating, verbatim, that this is “classical CV proxies  NOT a trained contrastive/GACL model,” a live, user facing instance of exactly the disclosure discipline this paper argues for throughout, and that a companion manuscript applies to a trained Geometry Agnostic Contrastive Learning system.</w:t>
      </w:r>
    </w:p>
    <w:p w14:paraId="2340D028" w14:textId="77777777" w:rsidR="00DA00EE" w:rsidRPr="00E32832" w:rsidRDefault="00F84C4B" w:rsidP="00BA5D5D">
      <w:pPr>
        <w:pStyle w:val="Heading3"/>
        <w:jc w:val="both"/>
        <w:rPr>
          <w:rFonts w:ascii="Times New Roman" w:hAnsi="Times New Roman" w:cs="Times New Roman"/>
          <w:color w:val="auto"/>
          <w:sz w:val="18"/>
          <w:szCs w:val="18"/>
        </w:rPr>
      </w:pPr>
      <w:bookmarkStart w:id="63" w:name="_Toc234738421"/>
      <w:bookmarkStart w:id="64" w:name="X6304dd19884ad2d35809f01d680e7d6ad6dfa76"/>
      <w:bookmarkEnd w:id="62"/>
      <w:r>
        <w:rPr>
          <w:rFonts w:ascii="Times New Roman" w:hAnsi="Times New Roman" w:cs="Times New Roman"/>
          <w:color w:val="auto"/>
          <w:sz w:val="18"/>
          <w:szCs w:val="18"/>
        </w:rPr>
        <w:t>5.6 Second live session verification: real field photographs and the live GACL panel</w:t>
      </w:r>
      <w:bookmarkEnd w:id="63"/>
    </w:p>
    <w:p w14:paraId="087E52A5"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Sections 5.1–5.4 documented one live session on the user’s own loaded photograph. A second, independent live session, captured after the GACL Measurements panel (the companion paper's evaluation, Table 1) was integrated into the GIS Workbench toolbar, provides two further kinds of evidence: that the classical pipeline runs correctly on genuine, high resolution field photographs (not only the paper’s own procedurally synthesised demonstration set), and that the new GACL panel computes its real time RandomForest check correctly from inside the running application rather than only from the command line.</w:t>
      </w:r>
    </w:p>
    <w:p w14:paraId="71353BAF" w14:textId="7FB1938F"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This session aligned and composited five real photographs (filenames of the form </w:t>
      </w:r>
      <w:r>
        <w:rPr>
          <w:rStyle w:val="VerbatimChar"/>
          <w:rFonts w:ascii="Times New Roman" w:hAnsi="Times New Roman" w:cs="Times New Roman"/>
          <w:sz w:val="18"/>
          <w:szCs w:val="18"/>
        </w:rPr>
        <w:t>PXL_20260623_101242666.jpg</w:t>
      </w:r>
      <w:r>
        <w:rPr>
          <w:rFonts w:ascii="Times New Roman" w:hAnsi="Times New Roman" w:cs="Times New Roman"/>
          <w:sz w:val="18"/>
          <w:szCs w:val="18"/>
        </w:rPr>
        <w:t>, each at a genuine phone camera resolution of 6144×8160 pixels  visibly distinct from the 512×512 procedurally synthesised images used elsewhere in this paper), producing the batch statistics shown in Figure 7E: mean intensity 93.20, mean NDVI proxy 0.020, canopy cover 41.2%, a low vigor/stressed share of 18.6%, cross batch variability of 38.28, and a resulting rule based “HIGH  schedule field inspection” priority flag, together with a real cross image similarity recommendation (mean pairwise similarity 0.971) rendered as the same similarity graph described in Section 4.4.</w:t>
      </w:r>
    </w:p>
    <w:p w14:paraId="223FAE2C" w14:textId="0FE30004"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8A shows the GIS Workbench’s main toolbar with the GACL Measurements panel now present as a first class tab alongside Layers, Image Manager, Data &amp; Log, and XAI Recommendations, and the panel’s own live output: a real RandomForest learnable structure check, run on demand from inside the GUI against </w:t>
      </w:r>
      <w:r>
        <w:rPr>
          <w:rStyle w:val="VerbatimChar"/>
          <w:rFonts w:ascii="Times New Roman" w:hAnsi="Times New Roman" w:cs="Times New Roman"/>
          <w:sz w:val="18"/>
          <w:szCs w:val="18"/>
        </w:rPr>
        <w:t>GACL_Data.xlsx</w:t>
      </w:r>
      <w:r>
        <w:rPr>
          <w:rFonts w:ascii="Times New Roman" w:hAnsi="Times New Roman" w:cs="Times New Roman"/>
          <w:sz w:val="18"/>
          <w:szCs w:val="18"/>
        </w:rPr>
        <w:t xml:space="preserve"> (13,996 train rows, 2,934 test rows, chance level 0.2000 for five classes), reporting </w:t>
      </w:r>
      <w:r>
        <w:rPr>
          <w:rStyle w:val="VerbatimChar"/>
          <w:rFonts w:ascii="Times New Roman" w:hAnsi="Times New Roman" w:cs="Times New Roman"/>
          <w:sz w:val="18"/>
          <w:szCs w:val="18"/>
        </w:rPr>
        <w:t>embeddings_only: accuracy=0.1980, macro F1=0.1965</w:t>
      </w:r>
      <w:r>
        <w:rPr>
          <w:rFonts w:ascii="Times New Roman" w:hAnsi="Times New Roman" w:cs="Times New Roman"/>
          <w:sz w:val="18"/>
          <w:szCs w:val="18"/>
        </w:rPr>
        <w:t xml:space="preserve"> and </w:t>
      </w:r>
      <w:r>
        <w:rPr>
          <w:rStyle w:val="VerbatimChar"/>
          <w:rFonts w:ascii="Times New Roman" w:hAnsi="Times New Roman" w:cs="Times New Roman"/>
          <w:sz w:val="18"/>
          <w:szCs w:val="18"/>
        </w:rPr>
        <w:t>raw_visual_features_only: accuracy=0.2021</w:t>
      </w:r>
      <w:r>
        <w:rPr>
          <w:rFonts w:ascii="Times New Roman" w:hAnsi="Times New Roman" w:cs="Times New Roman"/>
          <w:sz w:val="18"/>
          <w:szCs w:val="18"/>
        </w:rPr>
        <w:t xml:space="preserve">  numbers that match the companion paper’s Figure 7 to three decimal places, confirming the panel’s live computation reproduces the same result reported in the companion paper's evaluation rather than a separately maintained or drifted copy of it.</w:t>
      </w:r>
    </w:p>
    <w:p w14:paraId="0009A2BC"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lastRenderedPageBreak/>
        <w:drawing>
          <wp:inline distT="0" distB="0" distL="0" distR="0" wp14:anchorId="44E32122" wp14:editId="587AFB67">
            <wp:extent cx="5303520" cy="5034579"/>
            <wp:effectExtent l="0" t="0" r="0" b="0"/>
            <wp:docPr id="608" name="Pictur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 name="Picture 608"/>
                    <pic:cNvPicPr/>
                  </pic:nvPicPr>
                  <pic:blipFill>
                    <a:blip r:embed="rId19"/>
                    <a:stretch>
                      <a:fillRect/>
                    </a:stretch>
                  </pic:blipFill>
                  <pic:spPr>
                    <a:xfrm>
                      <a:off x="0" y="0"/>
                      <a:ext cx="5303520" cy="5034579"/>
                    </a:xfrm>
                    <a:prstGeom prst="rect">
                      <a:avLst/>
                    </a:prstGeom>
                  </pic:spPr>
                </pic:pic>
              </a:graphicData>
            </a:graphic>
          </wp:inline>
        </w:drawing>
      </w:r>
    </w:p>
    <w:p w14:paraId="0CB4A41F" w14:textId="6480EC8E" w:rsidR="00283C42" w:rsidRPr="00E32832" w:rsidRDefault="0058322D">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9. GIS Workbench live session III: GACL panel integration and second working session. (A) Toolbar with the GACL Measurements panel and live RandomForest learnable-structure check; (B) per-image attribute table; (C) vegetation-index, VRZ and band-ratio map layers; (D) batch summary panel (second session); (E) NDVI trend (second session); (F) spectral reflectance band ratios (second session).</w:t>
      </w:r>
    </w:p>
    <w:p w14:paraId="6C39D12C" w14:textId="77777777" w:rsidR="00877156" w:rsidRPr="00E32832" w:rsidRDefault="00877156" w:rsidP="00BA5D5D">
      <w:pPr>
        <w:pStyle w:val="BodyText"/>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p>
    <w:p w14:paraId="0908F7FB" w14:textId="5D2BE056"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Figure 8B shows the per image attribute table for this same real photograph batch, and Figure 8C shows the real vegetation index and variable rate zone map canvas layers computed on the aligned composite of these genuine field photographs  the same </w:t>
      </w:r>
      <w:r>
        <w:rPr>
          <w:rFonts w:ascii="Times New Roman" w:hAnsi="Times New Roman" w:cs="Times New Roman"/>
          <w:sz w:val="18"/>
          <w:szCs w:val="18"/>
        </w:rPr>
        <w:t>NDVI/NDWI/GNDVI/EVI proxy family documented mathematically in Section 4.2 (Table 2), now confirmed running on real, uncurated field imagery rather than only the paper’s  demonstration set.</w:t>
      </w:r>
    </w:p>
    <w:p w14:paraId="381E1A97" w14:textId="371A9789"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 xml:space="preserve">Two further real panels from this same session round out the batch level picture. Figure 8D shows the descriptive batch summary text panel (Section 4.5) for this five photograph batch  mean NDVI proxy 0.024 across a range of −0.048 to 0.103, mean intensity 93.19, mean edge density 0.0555  correctly identifying </w:t>
      </w:r>
      <w:r>
        <w:rPr>
          <w:rStyle w:val="VerbatimChar"/>
          <w:rFonts w:ascii="Times New Roman" w:hAnsi="Times New Roman" w:cs="Times New Roman"/>
          <w:sz w:val="18"/>
          <w:szCs w:val="18"/>
        </w:rPr>
        <w:t>PXL_20260627_052956461.jpg</w:t>
      </w:r>
      <w:r>
        <w:rPr>
          <w:rFonts w:ascii="Times New Roman" w:hAnsi="Times New Roman" w:cs="Times New Roman"/>
          <w:sz w:val="18"/>
          <w:szCs w:val="18"/>
        </w:rPr>
        <w:t xml:space="preserve"> as the lowest vegetation signal image and </w:t>
      </w:r>
      <w:r>
        <w:rPr>
          <w:rStyle w:val="VerbatimChar"/>
          <w:rFonts w:ascii="Times New Roman" w:hAnsi="Times New Roman" w:cs="Times New Roman"/>
          <w:sz w:val="18"/>
          <w:szCs w:val="18"/>
        </w:rPr>
        <w:t>PXL_20260623_102136417.jpg</w:t>
      </w:r>
      <w:r>
        <w:rPr>
          <w:rFonts w:ascii="Times New Roman" w:hAnsi="Times New Roman" w:cs="Times New Roman"/>
          <w:sz w:val="18"/>
          <w:szCs w:val="18"/>
        </w:rPr>
        <w:t xml:space="preserve"> as the highest, and Figure 8E shows the corresponding linear time series trend across the same five images (slope −0.00188/step), both computed from </w:t>
      </w:r>
      <w:r>
        <w:rPr>
          <w:rFonts w:ascii="Times New Roman" w:hAnsi="Times New Roman" w:cs="Times New Roman"/>
          <w:sz w:val="18"/>
          <w:szCs w:val="18"/>
        </w:rPr>
        <w:t xml:space="preserve">the genuine per image descriptors rather than the  demonstration set. Figure 8F shows the real Spectral Reflectance &amp; Band Ratios panel (Section 4.10’s </w:t>
      </w:r>
      <w:r>
        <w:rPr>
          <w:rStyle w:val="VerbatimChar"/>
          <w:rFonts w:ascii="Times New Roman" w:hAnsi="Times New Roman" w:cs="Times New Roman"/>
          <w:sz w:val="18"/>
          <w:szCs w:val="18"/>
        </w:rPr>
        <w:t>spectral.py</w:t>
      </w:r>
      <w:r>
        <w:rPr>
          <w:rFonts w:ascii="Times New Roman" w:hAnsi="Times New Roman" w:cs="Times New Roman"/>
          <w:sz w:val="18"/>
          <w:szCs w:val="18"/>
        </w:rPr>
        <w:t xml:space="preserve">) for this batch  an uncalibrated relative brightness proxy (Blue 0.200, Green 0.392, Red 0.377) with Red edge/NIR/radiance again honestly reported as </w:t>
      </w:r>
      <w:r>
        <w:rPr>
          <w:rStyle w:val="VerbatimChar"/>
          <w:rFonts w:ascii="Times New Roman" w:hAnsi="Times New Roman" w:cs="Times New Roman"/>
          <w:sz w:val="18"/>
          <w:szCs w:val="18"/>
        </w:rPr>
        <w:t>N/A</w:t>
      </w:r>
      <w:r>
        <w:rPr>
          <w:rFonts w:ascii="Times New Roman" w:hAnsi="Times New Roman" w:cs="Times New Roman"/>
          <w:sz w:val="18"/>
          <w:szCs w:val="18"/>
        </w:rPr>
        <w:t>/</w:t>
      </w:r>
      <w:r>
        <w:rPr>
          <w:rStyle w:val="VerbatimChar"/>
          <w:rFonts w:ascii="Times New Roman" w:hAnsi="Times New Roman" w:cs="Times New Roman"/>
          <w:sz w:val="18"/>
          <w:szCs w:val="18"/>
        </w:rPr>
        <w:t>UNAVAILABLE</w:t>
      </w:r>
      <w:r>
        <w:rPr>
          <w:rFonts w:ascii="Times New Roman" w:hAnsi="Times New Roman" w:cs="Times New Roman"/>
          <w:sz w:val="18"/>
          <w:szCs w:val="18"/>
        </w:rPr>
        <w:t>, numerically distinct from the first session’s values (Figure 7B) as expected for a different photograph, while the honesty behaviour itself  what is and is not reported  is identical across both sessions.</w:t>
      </w:r>
    </w:p>
    <w:p w14:paraId="75EEE24C" w14:textId="4DC4CB9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A fourth screenshot from this same batch  the ResNet101 top 5 panel  is deliberately not reproduced as a separate figure here: on inspection it returns the identical category labels and confidence values, to three decimal places, already shown in Figure 7A from the first live session. Rather than include a numerically redundant figure, we note the consistency in text only, consistent with this paper’s effort to avoid repeated figures.</w:t>
      </w:r>
    </w:p>
    <w:p w14:paraId="686C6442" w14:textId="50974FB5"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This second session’s InfoNCE style loss value (1.9679) and morphology profile disclaimer text were, as expected, close to but not identical to the first session’s values, since the underlying photographs differ. We read this consistency  the classical pipeline behaving identically in kind, and the GACL panel’s live numbers matching its the companion paper's evaluation counterpart to three decimal places  as further, independent </w:t>
      </w:r>
      <w:r>
        <w:rPr>
          <w:rFonts w:ascii="Times New Roman" w:hAnsi="Times New Roman" w:cs="Times New Roman"/>
          <w:sz w:val="18"/>
          <w:szCs w:val="18"/>
        </w:rPr>
        <w:lastRenderedPageBreak/>
        <w:t>confirmation that both parts of N_GACL run as documented under ordinary use.</w:t>
      </w:r>
    </w:p>
    <w:p w14:paraId="214F327D" w14:textId="77777777" w:rsidR="00DA00EE" w:rsidRPr="00E32832" w:rsidRDefault="00F84C4B" w:rsidP="00BA5D5D">
      <w:pPr>
        <w:pStyle w:val="Heading3"/>
        <w:jc w:val="both"/>
        <w:rPr>
          <w:rFonts w:ascii="Times New Roman" w:hAnsi="Times New Roman" w:cs="Times New Roman"/>
          <w:color w:val="auto"/>
          <w:sz w:val="18"/>
          <w:szCs w:val="18"/>
        </w:rPr>
      </w:pPr>
      <w:bookmarkStart w:id="65" w:name="_Toc234738422"/>
      <w:bookmarkStart w:id="66" w:name="X787bdcef380406a4b67c3ed3bd78f04d06ad8d9"/>
      <w:bookmarkEnd w:id="64"/>
      <w:r>
        <w:rPr>
          <w:rFonts w:ascii="Times New Roman" w:hAnsi="Times New Roman" w:cs="Times New Roman"/>
          <w:color w:val="auto"/>
          <w:sz w:val="18"/>
          <w:szCs w:val="18"/>
        </w:rPr>
        <w:t>5.7 What this live evidence does, and does not, establish</w:t>
      </w:r>
      <w:bookmarkEnd w:id="65"/>
    </w:p>
    <w:p w14:paraId="76509835"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We are explicit about the evidentiary scope of Section 5. These eighteen screenshots, across two independent live sessions, establish that (i) the software described in Sections 3–4 runs, including on genuine, uncurated, high resolution field photographs; (ii) it produces the specific numeric outputs, map layers, and honest unavailability notices this paper claims it produces; (iii) its Verifiable Reporting Framework behaviour (Section 8, below) is not confined to the paper’s own controlled </w:t>
      </w:r>
      <w:r>
        <w:rPr>
          <w:rFonts w:ascii="Times New Roman" w:hAnsi="Times New Roman" w:cs="Times New Roman"/>
          <w:sz w:val="18"/>
          <w:szCs w:val="18"/>
        </w:rPr>
        <w:t xml:space="preserve">demonstration but reproduces under ordinary end user operation; and (iv) the GACL Measurements panel added to the GUI computes the same real, chance level result documented independently in the companion paper's evaluation, live and on demand. They do </w:t>
      </w:r>
      <w:r>
        <w:rPr>
          <w:rFonts w:ascii="Times New Roman" w:hAnsi="Times New Roman" w:cs="Times New Roman"/>
          <w:b/>
          <w:bCs/>
          <w:sz w:val="18"/>
          <w:szCs w:val="18"/>
        </w:rPr>
        <w:t>not</w:t>
      </w:r>
      <w:r>
        <w:rPr>
          <w:rFonts w:ascii="Times New Roman" w:hAnsi="Times New Roman" w:cs="Times New Roman"/>
          <w:sz w:val="18"/>
          <w:szCs w:val="18"/>
        </w:rPr>
        <w:t xml:space="preserve"> establish that any index, heuristic, or proxy computed by the classical pipeline correlates with real agronomic ground truth for the photographs shown, nor that GACL recognises real pathology, since neither field/sensor ground truth for these specific photographs nor a dataset with confirmed learnable pathology structure is available to us. Those validation steps are exactly the ones specified in Section 10’s future work protocol.</w:t>
      </w:r>
    </w:p>
    <w:p w14:paraId="0CEC2F4E" w14:textId="77777777" w:rsidR="00BA5D5D" w:rsidRPr="00E32832" w:rsidRDefault="00BA5D5D" w:rsidP="00BA5D5D">
      <w:pPr>
        <w:pStyle w:val="Heading2"/>
        <w:jc w:val="both"/>
        <w:rPr>
          <w:rFonts w:ascii="Times New Roman" w:hAnsi="Times New Roman" w:cs="Times New Roman"/>
          <w:sz w:val="18"/>
          <w:szCs w:val="18"/>
        </w:rPr>
        <w:sectPr w:rsidR="00BA5D5D" w:rsidRPr="00E32832">
          <w:type w:val="continuous"/>
          <w:pgSz w:w="11906" w:h="16838"/>
          <w:pgMar w:top="1440" w:right="1080" w:bottom="1440" w:left="1080" w:header="708" w:footer="708" w:gutter="0"/>
          <w:cols w:num="2" w:space="360"/>
          <w:docGrid w:linePitch="360"/>
        </w:sectPr>
      </w:pPr>
      <w:bookmarkStart w:id="67" w:name="_Toc234738423"/>
      <w:bookmarkStart w:id="68" w:name="X468dd99c064b23357d143bd9ae3d55de5f2db71"/>
      <w:bookmarkEnd w:id="54"/>
      <w:bookmarkEnd w:id="66"/>
    </w:p>
    <w:p w14:paraId="5BDF7529" w14:textId="7573313B" w:rsidR="00DA00EE" w:rsidRPr="00E32832" w:rsidRDefault="00F84C4B" w:rsidP="00204C51">
      <w:pPr>
        <w:pStyle w:val="Heading2"/>
        <w:jc w:val="both"/>
        <w:rPr>
          <w:rFonts w:ascii="Times New Roman" w:hAnsi="Times New Roman" w:cs="Times New Roman"/>
          <w:color w:val="auto"/>
          <w:sz w:val="18"/>
          <w:szCs w:val="18"/>
        </w:rPr>
      </w:pPr>
      <w:r>
        <w:rPr>
          <w:rFonts w:ascii="Times New Roman" w:hAnsi="Times New Roman" w:cs="Times New Roman"/>
          <w:color w:val="auto"/>
          <w:sz w:val="18"/>
          <w:szCs w:val="18"/>
        </w:rPr>
        <w:t>6. Multi Model Machine Learning Benchmark</w:t>
      </w:r>
      <w:bookmarkEnd w:id="67"/>
    </w:p>
    <w:p w14:paraId="77759C42" w14:textId="77777777" w:rsidR="003E1B08" w:rsidRPr="00E32832" w:rsidRDefault="003E1B08" w:rsidP="00204C51">
      <w:pPr>
        <w:spacing w:before="100" w:beforeAutospacing="1" w:after="100" w:afterAutospacing="1"/>
        <w:jc w:val="center"/>
        <w:outlineLvl w:val="3"/>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6.1. Disease-Label Classification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790"/>
        <w:gridCol w:w="1445"/>
        <w:gridCol w:w="1215"/>
        <w:gridCol w:w="1425"/>
        <w:gridCol w:w="836"/>
        <w:gridCol w:w="672"/>
      </w:tblGrid>
      <w:tr w:rsidR="003E1B08" w:rsidRPr="00E32832" w14:paraId="7D428CD9" w14:textId="77777777">
        <w:trPr>
          <w:tblHeader/>
          <w:tblCellSpacing w:w="15" w:type="dxa"/>
        </w:trPr>
        <w:tc>
          <w:tcPr>
            <w:tcW w:w="0" w:type="auto"/>
            <w:vAlign w:val="center"/>
            <w:hideMark/>
          </w:tcPr>
          <w:p w14:paraId="75F882C4"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Model</w:t>
            </w:r>
          </w:p>
        </w:tc>
        <w:tc>
          <w:tcPr>
            <w:tcW w:w="0" w:type="auto"/>
            <w:vAlign w:val="center"/>
            <w:hideMark/>
          </w:tcPr>
          <w:p w14:paraId="59BD7D88"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Accuracy</w:t>
            </w:r>
          </w:p>
        </w:tc>
        <w:tc>
          <w:tcPr>
            <w:tcW w:w="0" w:type="auto"/>
            <w:vAlign w:val="center"/>
            <w:hideMark/>
          </w:tcPr>
          <w:p w14:paraId="5585ACA3"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Precision (Macro)</w:t>
            </w:r>
          </w:p>
        </w:tc>
        <w:tc>
          <w:tcPr>
            <w:tcW w:w="0" w:type="auto"/>
            <w:vAlign w:val="center"/>
            <w:hideMark/>
          </w:tcPr>
          <w:p w14:paraId="043CC814"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Recall (Macro)</w:t>
            </w:r>
          </w:p>
        </w:tc>
        <w:tc>
          <w:tcPr>
            <w:tcW w:w="0" w:type="auto"/>
            <w:vAlign w:val="center"/>
            <w:hideMark/>
          </w:tcPr>
          <w:p w14:paraId="2AD45918"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F1-Score (Macro)</w:t>
            </w:r>
          </w:p>
        </w:tc>
        <w:tc>
          <w:tcPr>
            <w:tcW w:w="0" w:type="auto"/>
            <w:vAlign w:val="center"/>
            <w:hideMark/>
          </w:tcPr>
          <w:p w14:paraId="2F6ABF8B"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Cohen’s κ</w:t>
            </w:r>
          </w:p>
        </w:tc>
        <w:tc>
          <w:tcPr>
            <w:tcW w:w="0" w:type="auto"/>
            <w:vAlign w:val="center"/>
            <w:hideMark/>
          </w:tcPr>
          <w:p w14:paraId="2D42F876"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MCC</w:t>
            </w:r>
          </w:p>
        </w:tc>
      </w:tr>
      <w:tr w:rsidR="003E1B08" w:rsidRPr="00E32832" w14:paraId="41CE70A2" w14:textId="77777777">
        <w:trPr>
          <w:tblCellSpacing w:w="15" w:type="dxa"/>
        </w:trPr>
        <w:tc>
          <w:tcPr>
            <w:tcW w:w="0" w:type="auto"/>
            <w:vAlign w:val="center"/>
            <w:hideMark/>
          </w:tcPr>
          <w:p w14:paraId="7D2253B2"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k-NN (k = 5)</w:t>
            </w:r>
          </w:p>
        </w:tc>
        <w:tc>
          <w:tcPr>
            <w:tcW w:w="0" w:type="auto"/>
            <w:vAlign w:val="center"/>
            <w:hideMark/>
          </w:tcPr>
          <w:p w14:paraId="28F1BF0A"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0.0220</w:t>
            </w:r>
          </w:p>
        </w:tc>
        <w:tc>
          <w:tcPr>
            <w:tcW w:w="0" w:type="auto"/>
            <w:vAlign w:val="center"/>
            <w:hideMark/>
          </w:tcPr>
          <w:p w14:paraId="5D3AA159"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0.0223</w:t>
            </w:r>
          </w:p>
        </w:tc>
        <w:tc>
          <w:tcPr>
            <w:tcW w:w="0" w:type="auto"/>
            <w:vAlign w:val="center"/>
            <w:hideMark/>
          </w:tcPr>
          <w:p w14:paraId="2D4CAE72"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0.0217</w:t>
            </w:r>
          </w:p>
        </w:tc>
        <w:tc>
          <w:tcPr>
            <w:tcW w:w="0" w:type="auto"/>
            <w:vAlign w:val="center"/>
            <w:hideMark/>
          </w:tcPr>
          <w:p w14:paraId="71CD2074"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0.0173</w:t>
            </w:r>
          </w:p>
        </w:tc>
        <w:tc>
          <w:tcPr>
            <w:tcW w:w="0" w:type="auto"/>
            <w:vAlign w:val="center"/>
            <w:hideMark/>
          </w:tcPr>
          <w:p w14:paraId="6563088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0.0018</w:t>
            </w:r>
          </w:p>
        </w:tc>
        <w:tc>
          <w:tcPr>
            <w:tcW w:w="0" w:type="auto"/>
            <w:vAlign w:val="center"/>
            <w:hideMark/>
          </w:tcPr>
          <w:p w14:paraId="234C510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0.0018</w:t>
            </w:r>
          </w:p>
        </w:tc>
      </w:tr>
      <w:tr w:rsidR="003E1B08" w:rsidRPr="00E32832" w14:paraId="37163D64" w14:textId="77777777">
        <w:trPr>
          <w:tblCellSpacing w:w="15" w:type="dxa"/>
        </w:trPr>
        <w:tc>
          <w:tcPr>
            <w:tcW w:w="0" w:type="auto"/>
            <w:vAlign w:val="center"/>
            <w:hideMark/>
          </w:tcPr>
          <w:p w14:paraId="27C3DBEE"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Logistic Regression</w:t>
            </w:r>
          </w:p>
        </w:tc>
        <w:tc>
          <w:tcPr>
            <w:tcW w:w="0" w:type="auto"/>
            <w:vAlign w:val="center"/>
            <w:hideMark/>
          </w:tcPr>
          <w:p w14:paraId="1FD9149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0.0214</w:t>
            </w:r>
          </w:p>
        </w:tc>
        <w:tc>
          <w:tcPr>
            <w:tcW w:w="0" w:type="auto"/>
            <w:vAlign w:val="center"/>
            <w:hideMark/>
          </w:tcPr>
          <w:p w14:paraId="65F72072"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0.0201</w:t>
            </w:r>
          </w:p>
        </w:tc>
        <w:tc>
          <w:tcPr>
            <w:tcW w:w="0" w:type="auto"/>
            <w:vAlign w:val="center"/>
            <w:hideMark/>
          </w:tcPr>
          <w:p w14:paraId="54A49579"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0.0212</w:t>
            </w:r>
          </w:p>
        </w:tc>
        <w:tc>
          <w:tcPr>
            <w:tcW w:w="0" w:type="auto"/>
            <w:vAlign w:val="center"/>
            <w:hideMark/>
          </w:tcPr>
          <w:p w14:paraId="4907178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0.0181</w:t>
            </w:r>
          </w:p>
        </w:tc>
        <w:tc>
          <w:tcPr>
            <w:tcW w:w="0" w:type="auto"/>
            <w:vAlign w:val="center"/>
            <w:hideMark/>
          </w:tcPr>
          <w:p w14:paraId="301F58D6"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0.0012</w:t>
            </w:r>
          </w:p>
        </w:tc>
        <w:tc>
          <w:tcPr>
            <w:tcW w:w="0" w:type="auto"/>
            <w:vAlign w:val="center"/>
            <w:hideMark/>
          </w:tcPr>
          <w:p w14:paraId="3D9FD0B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0.0012</w:t>
            </w:r>
          </w:p>
        </w:tc>
      </w:tr>
      <w:tr w:rsidR="003E1B08" w:rsidRPr="00E32832" w14:paraId="12B34509" w14:textId="77777777">
        <w:trPr>
          <w:tblCellSpacing w:w="15" w:type="dxa"/>
        </w:trPr>
        <w:tc>
          <w:tcPr>
            <w:tcW w:w="0" w:type="auto"/>
            <w:vAlign w:val="center"/>
            <w:hideMark/>
          </w:tcPr>
          <w:p w14:paraId="6B3E016A"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Decision Tree</w:t>
            </w:r>
          </w:p>
        </w:tc>
        <w:tc>
          <w:tcPr>
            <w:tcW w:w="0" w:type="auto"/>
            <w:vAlign w:val="center"/>
            <w:hideMark/>
          </w:tcPr>
          <w:p w14:paraId="44C9226A"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0.0162</w:t>
            </w:r>
          </w:p>
        </w:tc>
        <w:tc>
          <w:tcPr>
            <w:tcW w:w="0" w:type="auto"/>
            <w:vAlign w:val="center"/>
            <w:hideMark/>
          </w:tcPr>
          <w:p w14:paraId="733A0D5A"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0.0168</w:t>
            </w:r>
          </w:p>
        </w:tc>
        <w:tc>
          <w:tcPr>
            <w:tcW w:w="0" w:type="auto"/>
            <w:vAlign w:val="center"/>
            <w:hideMark/>
          </w:tcPr>
          <w:p w14:paraId="151F3587"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0.0163</w:t>
            </w:r>
          </w:p>
        </w:tc>
        <w:tc>
          <w:tcPr>
            <w:tcW w:w="0" w:type="auto"/>
            <w:vAlign w:val="center"/>
            <w:hideMark/>
          </w:tcPr>
          <w:p w14:paraId="69552B05"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0.0165</w:t>
            </w:r>
          </w:p>
        </w:tc>
        <w:tc>
          <w:tcPr>
            <w:tcW w:w="0" w:type="auto"/>
            <w:vAlign w:val="center"/>
            <w:hideMark/>
          </w:tcPr>
          <w:p w14:paraId="03605AC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−0.0039</w:t>
            </w:r>
          </w:p>
        </w:tc>
        <w:tc>
          <w:tcPr>
            <w:tcW w:w="0" w:type="auto"/>
            <w:vAlign w:val="center"/>
            <w:hideMark/>
          </w:tcPr>
          <w:p w14:paraId="22863BD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−0.0039</w:t>
            </w:r>
          </w:p>
        </w:tc>
      </w:tr>
      <w:tr w:rsidR="003E1B08" w:rsidRPr="00E32832" w14:paraId="2108CEC5" w14:textId="77777777">
        <w:trPr>
          <w:tblCellSpacing w:w="15" w:type="dxa"/>
        </w:trPr>
        <w:tc>
          <w:tcPr>
            <w:tcW w:w="0" w:type="auto"/>
            <w:vAlign w:val="center"/>
            <w:hideMark/>
          </w:tcPr>
          <w:p w14:paraId="026C2325"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Random Forest</w:t>
            </w:r>
          </w:p>
        </w:tc>
        <w:tc>
          <w:tcPr>
            <w:tcW w:w="0" w:type="auto"/>
            <w:vAlign w:val="center"/>
            <w:hideMark/>
          </w:tcPr>
          <w:p w14:paraId="098CF0C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0.0188</w:t>
            </w:r>
          </w:p>
        </w:tc>
        <w:tc>
          <w:tcPr>
            <w:tcW w:w="0" w:type="auto"/>
            <w:vAlign w:val="center"/>
            <w:hideMark/>
          </w:tcPr>
          <w:p w14:paraId="7EFCB2F7"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0.0192</w:t>
            </w:r>
          </w:p>
        </w:tc>
        <w:tc>
          <w:tcPr>
            <w:tcW w:w="0" w:type="auto"/>
            <w:vAlign w:val="center"/>
            <w:hideMark/>
          </w:tcPr>
          <w:p w14:paraId="3F6AADEC"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0.0187</w:t>
            </w:r>
          </w:p>
        </w:tc>
        <w:tc>
          <w:tcPr>
            <w:tcW w:w="0" w:type="auto"/>
            <w:vAlign w:val="center"/>
            <w:hideMark/>
          </w:tcPr>
          <w:p w14:paraId="7A9F1F8E"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0.0186</w:t>
            </w:r>
          </w:p>
        </w:tc>
        <w:tc>
          <w:tcPr>
            <w:tcW w:w="0" w:type="auto"/>
            <w:vAlign w:val="center"/>
            <w:hideMark/>
          </w:tcPr>
          <w:p w14:paraId="458A8F36"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−0.0014</w:t>
            </w:r>
          </w:p>
        </w:tc>
        <w:tc>
          <w:tcPr>
            <w:tcW w:w="0" w:type="auto"/>
            <w:vAlign w:val="center"/>
            <w:hideMark/>
          </w:tcPr>
          <w:p w14:paraId="6FA4D192"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−0.0014</w:t>
            </w:r>
          </w:p>
        </w:tc>
      </w:tr>
      <w:tr w:rsidR="003E1B08" w:rsidRPr="00E32832" w14:paraId="18D06BDA" w14:textId="77777777">
        <w:trPr>
          <w:tblCellSpacing w:w="15" w:type="dxa"/>
        </w:trPr>
        <w:tc>
          <w:tcPr>
            <w:tcW w:w="0" w:type="auto"/>
            <w:vAlign w:val="center"/>
            <w:hideMark/>
          </w:tcPr>
          <w:p w14:paraId="69F1117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Gradient Boosting</w:t>
            </w:r>
          </w:p>
        </w:tc>
        <w:tc>
          <w:tcPr>
            <w:tcW w:w="0" w:type="auto"/>
            <w:vAlign w:val="center"/>
            <w:hideMark/>
          </w:tcPr>
          <w:p w14:paraId="6036E687"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0.0198</w:t>
            </w:r>
          </w:p>
        </w:tc>
        <w:tc>
          <w:tcPr>
            <w:tcW w:w="0" w:type="auto"/>
            <w:vAlign w:val="center"/>
            <w:hideMark/>
          </w:tcPr>
          <w:p w14:paraId="3536B80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0.0196</w:t>
            </w:r>
          </w:p>
        </w:tc>
        <w:tc>
          <w:tcPr>
            <w:tcW w:w="0" w:type="auto"/>
            <w:vAlign w:val="center"/>
            <w:hideMark/>
          </w:tcPr>
          <w:p w14:paraId="0F3E254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0.0197</w:t>
            </w:r>
          </w:p>
        </w:tc>
        <w:tc>
          <w:tcPr>
            <w:tcW w:w="0" w:type="auto"/>
            <w:vAlign w:val="center"/>
            <w:hideMark/>
          </w:tcPr>
          <w:p w14:paraId="5E29EF7C"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0.0194</w:t>
            </w:r>
          </w:p>
        </w:tc>
        <w:tc>
          <w:tcPr>
            <w:tcW w:w="0" w:type="auto"/>
            <w:vAlign w:val="center"/>
            <w:hideMark/>
          </w:tcPr>
          <w:p w14:paraId="09D5533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−0.0003</w:t>
            </w:r>
          </w:p>
        </w:tc>
        <w:tc>
          <w:tcPr>
            <w:tcW w:w="0" w:type="auto"/>
            <w:vAlign w:val="center"/>
            <w:hideMark/>
          </w:tcPr>
          <w:p w14:paraId="57E5754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−0.0003</w:t>
            </w:r>
          </w:p>
        </w:tc>
      </w:tr>
      <w:tr w:rsidR="003E1B08" w:rsidRPr="00E32832" w14:paraId="15C8DA2E" w14:textId="77777777">
        <w:trPr>
          <w:tblCellSpacing w:w="15" w:type="dxa"/>
        </w:trPr>
        <w:tc>
          <w:tcPr>
            <w:tcW w:w="0" w:type="auto"/>
            <w:vAlign w:val="center"/>
            <w:hideMark/>
          </w:tcPr>
          <w:p w14:paraId="0EC63BE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Gaussian Naïve Bayes</w:t>
            </w:r>
          </w:p>
        </w:tc>
        <w:tc>
          <w:tcPr>
            <w:tcW w:w="0" w:type="auto"/>
            <w:vAlign w:val="center"/>
            <w:hideMark/>
          </w:tcPr>
          <w:p w14:paraId="65F3C442"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0.0228</w:t>
            </w:r>
          </w:p>
        </w:tc>
        <w:tc>
          <w:tcPr>
            <w:tcW w:w="0" w:type="auto"/>
            <w:vAlign w:val="center"/>
            <w:hideMark/>
          </w:tcPr>
          <w:p w14:paraId="53BD078B"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0.0236</w:t>
            </w:r>
          </w:p>
        </w:tc>
        <w:tc>
          <w:tcPr>
            <w:tcW w:w="0" w:type="auto"/>
            <w:vAlign w:val="center"/>
            <w:hideMark/>
          </w:tcPr>
          <w:p w14:paraId="15D74B19"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0.0225</w:t>
            </w:r>
          </w:p>
        </w:tc>
        <w:tc>
          <w:tcPr>
            <w:tcW w:w="0" w:type="auto"/>
            <w:vAlign w:val="center"/>
            <w:hideMark/>
          </w:tcPr>
          <w:p w14:paraId="7F68AB4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0.0207</w:t>
            </w:r>
          </w:p>
        </w:tc>
        <w:tc>
          <w:tcPr>
            <w:tcW w:w="0" w:type="auto"/>
            <w:vAlign w:val="center"/>
            <w:hideMark/>
          </w:tcPr>
          <w:p w14:paraId="6D7F177B"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0.0026</w:t>
            </w:r>
          </w:p>
        </w:tc>
        <w:tc>
          <w:tcPr>
            <w:tcW w:w="0" w:type="auto"/>
            <w:vAlign w:val="center"/>
            <w:hideMark/>
          </w:tcPr>
          <w:p w14:paraId="3FB4CA7C"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0.0026</w:t>
            </w:r>
          </w:p>
        </w:tc>
      </w:tr>
      <w:tr w:rsidR="003E1B08" w:rsidRPr="00E32832" w14:paraId="7A7FFA1D" w14:textId="77777777">
        <w:trPr>
          <w:tblCellSpacing w:w="15" w:type="dxa"/>
        </w:trPr>
        <w:tc>
          <w:tcPr>
            <w:tcW w:w="0" w:type="auto"/>
            <w:vAlign w:val="center"/>
            <w:hideMark/>
          </w:tcPr>
          <w:p w14:paraId="5566D619"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SVM (RBF)</w:t>
            </w:r>
          </w:p>
        </w:tc>
        <w:tc>
          <w:tcPr>
            <w:tcW w:w="0" w:type="auto"/>
            <w:vAlign w:val="center"/>
            <w:hideMark/>
          </w:tcPr>
          <w:p w14:paraId="6530708B"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0.0168</w:t>
            </w:r>
          </w:p>
        </w:tc>
        <w:tc>
          <w:tcPr>
            <w:tcW w:w="0" w:type="auto"/>
            <w:vAlign w:val="center"/>
            <w:hideMark/>
          </w:tcPr>
          <w:p w14:paraId="0E5A812E"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0.0211</w:t>
            </w:r>
          </w:p>
        </w:tc>
        <w:tc>
          <w:tcPr>
            <w:tcW w:w="0" w:type="auto"/>
            <w:vAlign w:val="center"/>
            <w:hideMark/>
          </w:tcPr>
          <w:p w14:paraId="411A7EC7"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0.0165</w:t>
            </w:r>
          </w:p>
        </w:tc>
        <w:tc>
          <w:tcPr>
            <w:tcW w:w="0" w:type="auto"/>
            <w:vAlign w:val="center"/>
            <w:hideMark/>
          </w:tcPr>
          <w:p w14:paraId="307E738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0.0146</w:t>
            </w:r>
          </w:p>
        </w:tc>
        <w:tc>
          <w:tcPr>
            <w:tcW w:w="0" w:type="auto"/>
            <w:vAlign w:val="center"/>
            <w:hideMark/>
          </w:tcPr>
          <w:p w14:paraId="7E23F19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−0.0036</w:t>
            </w:r>
          </w:p>
        </w:tc>
        <w:tc>
          <w:tcPr>
            <w:tcW w:w="0" w:type="auto"/>
            <w:vAlign w:val="center"/>
            <w:hideMark/>
          </w:tcPr>
          <w:p w14:paraId="43F71F7E"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−0.0037</w:t>
            </w:r>
          </w:p>
        </w:tc>
      </w:tr>
      <w:tr w:rsidR="003E1B08" w:rsidRPr="00E32832" w14:paraId="3F57019A" w14:textId="77777777">
        <w:trPr>
          <w:tblCellSpacing w:w="15" w:type="dxa"/>
        </w:trPr>
        <w:tc>
          <w:tcPr>
            <w:tcW w:w="0" w:type="auto"/>
            <w:vAlign w:val="center"/>
            <w:hideMark/>
          </w:tcPr>
          <w:p w14:paraId="1AAB2678"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MLP (64–32)</w:t>
            </w:r>
          </w:p>
        </w:tc>
        <w:tc>
          <w:tcPr>
            <w:tcW w:w="0" w:type="auto"/>
            <w:vAlign w:val="center"/>
            <w:hideMark/>
          </w:tcPr>
          <w:p w14:paraId="32EF8DDB"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0.0198</w:t>
            </w:r>
          </w:p>
        </w:tc>
        <w:tc>
          <w:tcPr>
            <w:tcW w:w="0" w:type="auto"/>
            <w:vAlign w:val="center"/>
            <w:hideMark/>
          </w:tcPr>
          <w:p w14:paraId="2B21D03E"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0.0200</w:t>
            </w:r>
          </w:p>
        </w:tc>
        <w:tc>
          <w:tcPr>
            <w:tcW w:w="0" w:type="auto"/>
            <w:vAlign w:val="center"/>
            <w:hideMark/>
          </w:tcPr>
          <w:p w14:paraId="4B3EB184"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0.0196</w:t>
            </w:r>
          </w:p>
        </w:tc>
        <w:tc>
          <w:tcPr>
            <w:tcW w:w="0" w:type="auto"/>
            <w:vAlign w:val="center"/>
            <w:hideMark/>
          </w:tcPr>
          <w:p w14:paraId="3F2CEA5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0.0190</w:t>
            </w:r>
          </w:p>
        </w:tc>
        <w:tc>
          <w:tcPr>
            <w:tcW w:w="0" w:type="auto"/>
            <w:vAlign w:val="center"/>
            <w:hideMark/>
          </w:tcPr>
          <w:p w14:paraId="39281B0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−0.0003</w:t>
            </w:r>
          </w:p>
        </w:tc>
        <w:tc>
          <w:tcPr>
            <w:tcW w:w="0" w:type="auto"/>
            <w:vAlign w:val="center"/>
            <w:hideMark/>
          </w:tcPr>
          <w:p w14:paraId="52A281B6"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−0.0003</w:t>
            </w:r>
          </w:p>
        </w:tc>
      </w:tr>
    </w:tbl>
    <w:p w14:paraId="07E54CA9" w14:textId="77777777" w:rsidR="003E1B08" w:rsidRPr="00E32832" w:rsidRDefault="003E1B08" w:rsidP="00204C51">
      <w:pPr>
        <w:spacing w:before="100" w:beforeAutospacing="1" w:after="100" w:afterAutospacing="1"/>
        <w:jc w:val="center"/>
        <w:outlineLvl w:val="3"/>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6.2. Crop-Label Classification Performance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95"/>
        <w:gridCol w:w="790"/>
        <w:gridCol w:w="1425"/>
        <w:gridCol w:w="851"/>
      </w:tblGrid>
      <w:tr w:rsidR="003E1B08" w:rsidRPr="00E32832" w14:paraId="029ACE0D" w14:textId="77777777" w:rsidTr="00204C51">
        <w:trPr>
          <w:tblHeader/>
          <w:tblCellSpacing w:w="15" w:type="dxa"/>
          <w:jc w:val="center"/>
        </w:trPr>
        <w:tc>
          <w:tcPr>
            <w:tcW w:w="0" w:type="auto"/>
            <w:vAlign w:val="center"/>
            <w:hideMark/>
          </w:tcPr>
          <w:p w14:paraId="02BAAF76"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Model</w:t>
            </w:r>
          </w:p>
        </w:tc>
        <w:tc>
          <w:tcPr>
            <w:tcW w:w="0" w:type="auto"/>
            <w:vAlign w:val="center"/>
            <w:hideMark/>
          </w:tcPr>
          <w:p w14:paraId="4EEA00F5"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Accuracy</w:t>
            </w:r>
          </w:p>
        </w:tc>
        <w:tc>
          <w:tcPr>
            <w:tcW w:w="0" w:type="auto"/>
            <w:vAlign w:val="center"/>
            <w:hideMark/>
          </w:tcPr>
          <w:p w14:paraId="02338E9A"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F1-Score (Macro)</w:t>
            </w:r>
          </w:p>
        </w:tc>
        <w:tc>
          <w:tcPr>
            <w:tcW w:w="0" w:type="auto"/>
            <w:vAlign w:val="center"/>
            <w:hideMark/>
          </w:tcPr>
          <w:p w14:paraId="0EF25B07"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Cohen’s κ</w:t>
            </w:r>
          </w:p>
        </w:tc>
      </w:tr>
      <w:tr w:rsidR="003E1B08" w:rsidRPr="00E32832" w14:paraId="6774B459" w14:textId="77777777" w:rsidTr="00204C51">
        <w:trPr>
          <w:tblCellSpacing w:w="15" w:type="dxa"/>
          <w:jc w:val="center"/>
        </w:trPr>
        <w:tc>
          <w:tcPr>
            <w:tcW w:w="0" w:type="auto"/>
            <w:vAlign w:val="center"/>
            <w:hideMark/>
          </w:tcPr>
          <w:p w14:paraId="07DF7D2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k-NN (k = 5)</w:t>
            </w:r>
          </w:p>
        </w:tc>
        <w:tc>
          <w:tcPr>
            <w:tcW w:w="0" w:type="auto"/>
            <w:vAlign w:val="center"/>
            <w:hideMark/>
          </w:tcPr>
          <w:p w14:paraId="23D1E086"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0.0648</w:t>
            </w:r>
          </w:p>
        </w:tc>
        <w:tc>
          <w:tcPr>
            <w:tcW w:w="0" w:type="auto"/>
            <w:vAlign w:val="center"/>
            <w:hideMark/>
          </w:tcPr>
          <w:p w14:paraId="459F2F7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0.0586</w:t>
            </w:r>
          </w:p>
        </w:tc>
        <w:tc>
          <w:tcPr>
            <w:tcW w:w="0" w:type="auto"/>
            <w:vAlign w:val="center"/>
            <w:hideMark/>
          </w:tcPr>
          <w:p w14:paraId="06EDAF8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−0.0017</w:t>
            </w:r>
          </w:p>
        </w:tc>
      </w:tr>
      <w:tr w:rsidR="003E1B08" w:rsidRPr="00E32832" w14:paraId="6308E34B" w14:textId="77777777" w:rsidTr="00204C51">
        <w:trPr>
          <w:tblCellSpacing w:w="15" w:type="dxa"/>
          <w:jc w:val="center"/>
        </w:trPr>
        <w:tc>
          <w:tcPr>
            <w:tcW w:w="0" w:type="auto"/>
            <w:vAlign w:val="center"/>
            <w:hideMark/>
          </w:tcPr>
          <w:p w14:paraId="0337AB67"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Logistic Regression</w:t>
            </w:r>
          </w:p>
        </w:tc>
        <w:tc>
          <w:tcPr>
            <w:tcW w:w="0" w:type="auto"/>
            <w:vAlign w:val="center"/>
            <w:hideMark/>
          </w:tcPr>
          <w:p w14:paraId="09B74592"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0.0718</w:t>
            </w:r>
          </w:p>
        </w:tc>
        <w:tc>
          <w:tcPr>
            <w:tcW w:w="0" w:type="auto"/>
            <w:vAlign w:val="center"/>
            <w:hideMark/>
          </w:tcPr>
          <w:p w14:paraId="56F49987"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0.0649</w:t>
            </w:r>
          </w:p>
        </w:tc>
        <w:tc>
          <w:tcPr>
            <w:tcW w:w="0" w:type="auto"/>
            <w:vAlign w:val="center"/>
            <w:hideMark/>
          </w:tcPr>
          <w:p w14:paraId="00B2B651"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0.0043</w:t>
            </w:r>
          </w:p>
        </w:tc>
      </w:tr>
      <w:tr w:rsidR="003E1B08" w:rsidRPr="00E32832" w14:paraId="3F3ED6F2" w14:textId="77777777" w:rsidTr="00204C51">
        <w:trPr>
          <w:tblCellSpacing w:w="15" w:type="dxa"/>
          <w:jc w:val="center"/>
        </w:trPr>
        <w:tc>
          <w:tcPr>
            <w:tcW w:w="0" w:type="auto"/>
            <w:vAlign w:val="center"/>
            <w:hideMark/>
          </w:tcPr>
          <w:p w14:paraId="670491FB"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Decision Tree</w:t>
            </w:r>
          </w:p>
        </w:tc>
        <w:tc>
          <w:tcPr>
            <w:tcW w:w="0" w:type="auto"/>
            <w:vAlign w:val="center"/>
            <w:hideMark/>
          </w:tcPr>
          <w:p w14:paraId="35613867"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0.0710</w:t>
            </w:r>
          </w:p>
        </w:tc>
        <w:tc>
          <w:tcPr>
            <w:tcW w:w="0" w:type="auto"/>
            <w:vAlign w:val="center"/>
            <w:hideMark/>
          </w:tcPr>
          <w:p w14:paraId="6DBDA8AC"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0.0707</w:t>
            </w:r>
          </w:p>
        </w:tc>
        <w:tc>
          <w:tcPr>
            <w:tcW w:w="0" w:type="auto"/>
            <w:vAlign w:val="center"/>
            <w:hideMark/>
          </w:tcPr>
          <w:p w14:paraId="1FFCC5D9"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0.0046</w:t>
            </w:r>
          </w:p>
        </w:tc>
      </w:tr>
      <w:tr w:rsidR="003E1B08" w:rsidRPr="00E32832" w14:paraId="61BDA7DA" w14:textId="77777777" w:rsidTr="00204C51">
        <w:trPr>
          <w:tblCellSpacing w:w="15" w:type="dxa"/>
          <w:jc w:val="center"/>
        </w:trPr>
        <w:tc>
          <w:tcPr>
            <w:tcW w:w="0" w:type="auto"/>
            <w:vAlign w:val="center"/>
            <w:hideMark/>
          </w:tcPr>
          <w:p w14:paraId="68C8D5D5"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Random Forest</w:t>
            </w:r>
          </w:p>
        </w:tc>
        <w:tc>
          <w:tcPr>
            <w:tcW w:w="0" w:type="auto"/>
            <w:vAlign w:val="center"/>
            <w:hideMark/>
          </w:tcPr>
          <w:p w14:paraId="7BC0370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0.0666</w:t>
            </w:r>
          </w:p>
        </w:tc>
        <w:tc>
          <w:tcPr>
            <w:tcW w:w="0" w:type="auto"/>
            <w:vAlign w:val="center"/>
            <w:hideMark/>
          </w:tcPr>
          <w:p w14:paraId="180AE70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0.0655</w:t>
            </w:r>
          </w:p>
        </w:tc>
        <w:tc>
          <w:tcPr>
            <w:tcW w:w="0" w:type="auto"/>
            <w:vAlign w:val="center"/>
            <w:hideMark/>
          </w:tcPr>
          <w:p w14:paraId="754E8E8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−0.0003</w:t>
            </w:r>
          </w:p>
        </w:tc>
      </w:tr>
      <w:tr w:rsidR="003E1B08" w:rsidRPr="00E32832" w14:paraId="484E4F67" w14:textId="77777777" w:rsidTr="00204C51">
        <w:trPr>
          <w:tblCellSpacing w:w="15" w:type="dxa"/>
          <w:jc w:val="center"/>
        </w:trPr>
        <w:tc>
          <w:tcPr>
            <w:tcW w:w="0" w:type="auto"/>
            <w:vAlign w:val="center"/>
            <w:hideMark/>
          </w:tcPr>
          <w:p w14:paraId="43DD5101"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Gradient Boosting</w:t>
            </w:r>
          </w:p>
        </w:tc>
        <w:tc>
          <w:tcPr>
            <w:tcW w:w="0" w:type="auto"/>
            <w:vAlign w:val="center"/>
            <w:hideMark/>
          </w:tcPr>
          <w:p w14:paraId="1C79620A"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0.0692</w:t>
            </w:r>
          </w:p>
        </w:tc>
        <w:tc>
          <w:tcPr>
            <w:tcW w:w="0" w:type="auto"/>
            <w:vAlign w:val="center"/>
            <w:hideMark/>
          </w:tcPr>
          <w:p w14:paraId="77B2E8D4"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0.0683</w:t>
            </w:r>
          </w:p>
        </w:tc>
        <w:tc>
          <w:tcPr>
            <w:tcW w:w="0" w:type="auto"/>
            <w:vAlign w:val="center"/>
            <w:hideMark/>
          </w:tcPr>
          <w:p w14:paraId="259B0CF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0.0024</w:t>
            </w:r>
          </w:p>
        </w:tc>
      </w:tr>
      <w:tr w:rsidR="003E1B08" w:rsidRPr="00E32832" w14:paraId="4DD4FC24" w14:textId="77777777" w:rsidTr="00204C51">
        <w:trPr>
          <w:tblCellSpacing w:w="15" w:type="dxa"/>
          <w:jc w:val="center"/>
        </w:trPr>
        <w:tc>
          <w:tcPr>
            <w:tcW w:w="0" w:type="auto"/>
            <w:vAlign w:val="center"/>
            <w:hideMark/>
          </w:tcPr>
          <w:p w14:paraId="7F49082B"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Gaussian Naïve Bayes</w:t>
            </w:r>
          </w:p>
        </w:tc>
        <w:tc>
          <w:tcPr>
            <w:tcW w:w="0" w:type="auto"/>
            <w:vAlign w:val="center"/>
            <w:hideMark/>
          </w:tcPr>
          <w:p w14:paraId="2FCB4D16"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0.0734</w:t>
            </w:r>
          </w:p>
        </w:tc>
        <w:tc>
          <w:tcPr>
            <w:tcW w:w="0" w:type="auto"/>
            <w:vAlign w:val="center"/>
            <w:hideMark/>
          </w:tcPr>
          <w:p w14:paraId="25591B6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0.0668</w:t>
            </w:r>
          </w:p>
        </w:tc>
        <w:tc>
          <w:tcPr>
            <w:tcW w:w="0" w:type="auto"/>
            <w:vAlign w:val="center"/>
            <w:hideMark/>
          </w:tcPr>
          <w:p w14:paraId="667C68F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0.0062</w:t>
            </w:r>
          </w:p>
        </w:tc>
      </w:tr>
      <w:tr w:rsidR="003E1B08" w:rsidRPr="00E32832" w14:paraId="63B8C74E" w14:textId="77777777" w:rsidTr="00204C51">
        <w:trPr>
          <w:tblCellSpacing w:w="15" w:type="dxa"/>
          <w:jc w:val="center"/>
        </w:trPr>
        <w:tc>
          <w:tcPr>
            <w:tcW w:w="0" w:type="auto"/>
            <w:vAlign w:val="center"/>
            <w:hideMark/>
          </w:tcPr>
          <w:p w14:paraId="7ED9D46E"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SVM (RBF)</w:t>
            </w:r>
          </w:p>
        </w:tc>
        <w:tc>
          <w:tcPr>
            <w:tcW w:w="0" w:type="auto"/>
            <w:vAlign w:val="center"/>
            <w:hideMark/>
          </w:tcPr>
          <w:p w14:paraId="05B77A9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0.0698</w:t>
            </w:r>
          </w:p>
        </w:tc>
        <w:tc>
          <w:tcPr>
            <w:tcW w:w="0" w:type="auto"/>
            <w:vAlign w:val="center"/>
            <w:hideMark/>
          </w:tcPr>
          <w:p w14:paraId="6AE7E69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0.0679</w:t>
            </w:r>
          </w:p>
        </w:tc>
        <w:tc>
          <w:tcPr>
            <w:tcW w:w="0" w:type="auto"/>
            <w:vAlign w:val="center"/>
            <w:hideMark/>
          </w:tcPr>
          <w:p w14:paraId="5D8573C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0.0029</w:t>
            </w:r>
          </w:p>
        </w:tc>
      </w:tr>
      <w:tr w:rsidR="003E1B08" w:rsidRPr="00E32832" w14:paraId="3F650EB9" w14:textId="77777777" w:rsidTr="00204C51">
        <w:trPr>
          <w:tblCellSpacing w:w="15" w:type="dxa"/>
          <w:jc w:val="center"/>
        </w:trPr>
        <w:tc>
          <w:tcPr>
            <w:tcW w:w="0" w:type="auto"/>
            <w:vAlign w:val="center"/>
            <w:hideMark/>
          </w:tcPr>
          <w:p w14:paraId="42C2E5E2"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MLP (64–32)</w:t>
            </w:r>
          </w:p>
        </w:tc>
        <w:tc>
          <w:tcPr>
            <w:tcW w:w="0" w:type="auto"/>
            <w:vAlign w:val="center"/>
            <w:hideMark/>
          </w:tcPr>
          <w:p w14:paraId="49F9F42E"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0.0652</w:t>
            </w:r>
          </w:p>
        </w:tc>
        <w:tc>
          <w:tcPr>
            <w:tcW w:w="0" w:type="auto"/>
            <w:vAlign w:val="center"/>
            <w:hideMark/>
          </w:tcPr>
          <w:p w14:paraId="151963D4"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0.0642</w:t>
            </w:r>
          </w:p>
        </w:tc>
        <w:tc>
          <w:tcPr>
            <w:tcW w:w="0" w:type="auto"/>
            <w:vAlign w:val="center"/>
            <w:hideMark/>
          </w:tcPr>
          <w:p w14:paraId="0A176AB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−0.0016</w:t>
            </w:r>
          </w:p>
        </w:tc>
      </w:tr>
    </w:tbl>
    <w:p w14:paraId="22F2A3CE" w14:textId="77777777" w:rsidR="003E1B08" w:rsidRPr="00E32832" w:rsidRDefault="003E1B08" w:rsidP="00204C51">
      <w:pPr>
        <w:spacing w:before="100" w:beforeAutospacing="1" w:after="100" w:afterAutospacing="1"/>
        <w:jc w:val="center"/>
        <w:outlineLvl w:val="3"/>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Table 6.3. Dataset, Model Configuration, and Evaluation Protocol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2"/>
        <w:gridCol w:w="8264"/>
      </w:tblGrid>
      <w:tr w:rsidR="003E1B08" w:rsidRPr="00E32832" w14:paraId="1701FAA5" w14:textId="77777777">
        <w:trPr>
          <w:tblHeader/>
          <w:tblCellSpacing w:w="15" w:type="dxa"/>
        </w:trPr>
        <w:tc>
          <w:tcPr>
            <w:tcW w:w="0" w:type="auto"/>
            <w:vAlign w:val="center"/>
            <w:hideMark/>
          </w:tcPr>
          <w:p w14:paraId="5182CC15"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Item</w:t>
            </w:r>
          </w:p>
        </w:tc>
        <w:tc>
          <w:tcPr>
            <w:tcW w:w="0" w:type="auto"/>
            <w:vAlign w:val="center"/>
            <w:hideMark/>
          </w:tcPr>
          <w:p w14:paraId="21DC2EF4" w14:textId="77777777" w:rsidR="003E1B08" w:rsidRPr="00E32832" w:rsidRDefault="003E1B08" w:rsidP="00204C51">
            <w:pPr>
              <w:spacing w:after="0"/>
              <w:jc w:val="center"/>
              <w:rPr>
                <w:rFonts w:ascii="Times New Roman" w:eastAsia="Times New Roman" w:hAnsi="Times New Roman" w:cs="Times New Roman"/>
                <w:b/>
                <w:bCs/>
                <w:sz w:val="18"/>
                <w:szCs w:val="18"/>
              </w:rPr>
            </w:pPr>
            <w:r>
              <w:rPr>
                <w:rFonts w:ascii="Times New Roman" w:eastAsia="Times New Roman" w:hAnsi="Times New Roman" w:cs="Times New Roman"/>
                <w:b/>
                <w:bCs/>
                <w:sz w:val="18"/>
                <w:szCs w:val="18"/>
              </w:rPr>
              <w:t>Configuration</w:t>
            </w:r>
          </w:p>
        </w:tc>
      </w:tr>
      <w:tr w:rsidR="003E1B08" w:rsidRPr="00E32832" w14:paraId="7A6EBF9A" w14:textId="77777777">
        <w:trPr>
          <w:tblCellSpacing w:w="15" w:type="dxa"/>
        </w:trPr>
        <w:tc>
          <w:tcPr>
            <w:tcW w:w="0" w:type="auto"/>
            <w:vAlign w:val="center"/>
            <w:hideMark/>
          </w:tcPr>
          <w:p w14:paraId="41F941AA"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Dataset</w:t>
            </w:r>
          </w:p>
        </w:tc>
        <w:tc>
          <w:tcPr>
            <w:tcW w:w="0" w:type="auto"/>
            <w:vAlign w:val="center"/>
            <w:hideMark/>
          </w:tcPr>
          <w:p w14:paraId="1258F9AB" w14:textId="57FA3604" w:rsidR="003E1B08" w:rsidRPr="00E32832" w:rsidRDefault="007D28CC"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 Benchmark worksheet containing 20,000 rows, 12 numerical features, 15 crop classes, and 50 disease classes</w:t>
            </w:r>
          </w:p>
        </w:tc>
      </w:tr>
      <w:tr w:rsidR="003E1B08" w:rsidRPr="00E32832" w14:paraId="3D69D600" w14:textId="77777777">
        <w:trPr>
          <w:tblCellSpacing w:w="15" w:type="dxa"/>
        </w:trPr>
        <w:tc>
          <w:tcPr>
            <w:tcW w:w="0" w:type="auto"/>
            <w:vAlign w:val="center"/>
            <w:hideMark/>
          </w:tcPr>
          <w:p w14:paraId="05B976C7"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Train/Test Split</w:t>
            </w:r>
          </w:p>
        </w:tc>
        <w:tc>
          <w:tcPr>
            <w:tcW w:w="0" w:type="auto"/>
            <w:vAlign w:val="center"/>
            <w:hideMark/>
          </w:tcPr>
          <w:p w14:paraId="370E5F46"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Stratified 75%/25% split with random_state = 42</w:t>
            </w:r>
          </w:p>
        </w:tc>
      </w:tr>
      <w:tr w:rsidR="003E1B08" w:rsidRPr="00E32832" w14:paraId="22A58B64" w14:textId="77777777">
        <w:trPr>
          <w:tblCellSpacing w:w="15" w:type="dxa"/>
        </w:trPr>
        <w:tc>
          <w:tcPr>
            <w:tcW w:w="0" w:type="auto"/>
            <w:vAlign w:val="center"/>
            <w:hideMark/>
          </w:tcPr>
          <w:p w14:paraId="2043821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Feature Scaling</w:t>
            </w:r>
          </w:p>
        </w:tc>
        <w:tc>
          <w:tcPr>
            <w:tcW w:w="0" w:type="auto"/>
            <w:vAlign w:val="center"/>
            <w:hideMark/>
          </w:tcPr>
          <w:p w14:paraId="58E34A48"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Z-score standardisation fitted exclusively on the training split</w:t>
            </w:r>
          </w:p>
        </w:tc>
      </w:tr>
      <w:tr w:rsidR="003E1B08" w:rsidRPr="00E32832" w14:paraId="26BBA02F" w14:textId="77777777">
        <w:trPr>
          <w:tblCellSpacing w:w="15" w:type="dxa"/>
        </w:trPr>
        <w:tc>
          <w:tcPr>
            <w:tcW w:w="0" w:type="auto"/>
            <w:vAlign w:val="center"/>
            <w:hideMark/>
          </w:tcPr>
          <w:p w14:paraId="43E14FF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k-NN</w:t>
            </w:r>
          </w:p>
        </w:tc>
        <w:tc>
          <w:tcPr>
            <w:tcW w:w="0" w:type="auto"/>
            <w:vAlign w:val="center"/>
            <w:hideMark/>
          </w:tcPr>
          <w:p w14:paraId="35C6CD38"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k = 5, Euclidean distance, uniform weighting</w:t>
            </w:r>
          </w:p>
        </w:tc>
      </w:tr>
      <w:tr w:rsidR="003E1B08" w:rsidRPr="00E32832" w14:paraId="7A2D5944" w14:textId="77777777">
        <w:trPr>
          <w:tblCellSpacing w:w="15" w:type="dxa"/>
        </w:trPr>
        <w:tc>
          <w:tcPr>
            <w:tcW w:w="0" w:type="auto"/>
            <w:vAlign w:val="center"/>
            <w:hideMark/>
          </w:tcPr>
          <w:p w14:paraId="06FCDF74"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Logistic Regression</w:t>
            </w:r>
          </w:p>
        </w:tc>
        <w:tc>
          <w:tcPr>
            <w:tcW w:w="0" w:type="auto"/>
            <w:vAlign w:val="center"/>
            <w:hideMark/>
          </w:tcPr>
          <w:p w14:paraId="2E151758"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L2 penalty, max_iter = 300, default solver</w:t>
            </w:r>
          </w:p>
        </w:tc>
      </w:tr>
      <w:tr w:rsidR="003E1B08" w:rsidRPr="00E32832" w14:paraId="7E86AC6A" w14:textId="77777777">
        <w:trPr>
          <w:tblCellSpacing w:w="15" w:type="dxa"/>
        </w:trPr>
        <w:tc>
          <w:tcPr>
            <w:tcW w:w="0" w:type="auto"/>
            <w:vAlign w:val="center"/>
            <w:hideMark/>
          </w:tcPr>
          <w:p w14:paraId="38C67ECA"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Decision Tree</w:t>
            </w:r>
          </w:p>
        </w:tc>
        <w:tc>
          <w:tcPr>
            <w:tcW w:w="0" w:type="auto"/>
            <w:vAlign w:val="center"/>
            <w:hideMark/>
          </w:tcPr>
          <w:p w14:paraId="31FAD33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Gini splitting criterion, unrestricted depth, random_state = 42</w:t>
            </w:r>
          </w:p>
        </w:tc>
      </w:tr>
      <w:tr w:rsidR="003E1B08" w:rsidRPr="00E32832" w14:paraId="453C588B" w14:textId="77777777">
        <w:trPr>
          <w:tblCellSpacing w:w="15" w:type="dxa"/>
        </w:trPr>
        <w:tc>
          <w:tcPr>
            <w:tcW w:w="0" w:type="auto"/>
            <w:vAlign w:val="center"/>
            <w:hideMark/>
          </w:tcPr>
          <w:p w14:paraId="0F9155D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Random Forest</w:t>
            </w:r>
          </w:p>
        </w:tc>
        <w:tc>
          <w:tcPr>
            <w:tcW w:w="0" w:type="auto"/>
            <w:vAlign w:val="center"/>
            <w:hideMark/>
          </w:tcPr>
          <w:p w14:paraId="55980D2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150 trees, unrestricted depth, random_state = 42</w:t>
            </w:r>
          </w:p>
        </w:tc>
      </w:tr>
      <w:tr w:rsidR="003E1B08" w:rsidRPr="00E32832" w14:paraId="45B04BE8" w14:textId="77777777">
        <w:trPr>
          <w:tblCellSpacing w:w="15" w:type="dxa"/>
        </w:trPr>
        <w:tc>
          <w:tcPr>
            <w:tcW w:w="0" w:type="auto"/>
            <w:vAlign w:val="center"/>
            <w:hideMark/>
          </w:tcPr>
          <w:p w14:paraId="371DB71F"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Gradient Boosting</w:t>
            </w:r>
          </w:p>
        </w:tc>
        <w:tc>
          <w:tcPr>
            <w:tcW w:w="0" w:type="auto"/>
            <w:vAlign w:val="center"/>
            <w:hideMark/>
          </w:tcPr>
          <w:p w14:paraId="0A06E5F3"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80 boosting stages, maximum depth of 3, random_state = 42</w:t>
            </w:r>
          </w:p>
        </w:tc>
      </w:tr>
      <w:tr w:rsidR="003E1B08" w:rsidRPr="00E32832" w14:paraId="67E4A5AA" w14:textId="77777777">
        <w:trPr>
          <w:tblCellSpacing w:w="15" w:type="dxa"/>
        </w:trPr>
        <w:tc>
          <w:tcPr>
            <w:tcW w:w="0" w:type="auto"/>
            <w:vAlign w:val="center"/>
            <w:hideMark/>
          </w:tcPr>
          <w:p w14:paraId="175CD8B4"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Gaussian Naïve Bayes</w:t>
            </w:r>
          </w:p>
        </w:tc>
        <w:tc>
          <w:tcPr>
            <w:tcW w:w="0" w:type="auto"/>
            <w:vAlign w:val="center"/>
            <w:hideMark/>
          </w:tcPr>
          <w:p w14:paraId="5FF2279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Default priors and variance smoothing</w:t>
            </w:r>
          </w:p>
        </w:tc>
      </w:tr>
      <w:tr w:rsidR="003E1B08" w:rsidRPr="00E32832" w14:paraId="2B38033A" w14:textId="77777777">
        <w:trPr>
          <w:tblCellSpacing w:w="15" w:type="dxa"/>
        </w:trPr>
        <w:tc>
          <w:tcPr>
            <w:tcW w:w="0" w:type="auto"/>
            <w:vAlign w:val="center"/>
            <w:hideMark/>
          </w:tcPr>
          <w:p w14:paraId="49B4493E"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SVM (RBF)</w:t>
            </w:r>
          </w:p>
        </w:tc>
        <w:tc>
          <w:tcPr>
            <w:tcW w:w="0" w:type="auto"/>
            <w:vAlign w:val="center"/>
            <w:hideMark/>
          </w:tcPr>
          <w:p w14:paraId="246AAB3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C = 1.0, RBF kernel; trained on a random 3,000-row subsample of the training set</w:t>
            </w:r>
          </w:p>
        </w:tc>
      </w:tr>
      <w:tr w:rsidR="003E1B08" w:rsidRPr="00E32832" w14:paraId="7D6206D8" w14:textId="77777777">
        <w:trPr>
          <w:tblCellSpacing w:w="15" w:type="dxa"/>
        </w:trPr>
        <w:tc>
          <w:tcPr>
            <w:tcW w:w="0" w:type="auto"/>
            <w:vAlign w:val="center"/>
            <w:hideMark/>
          </w:tcPr>
          <w:p w14:paraId="1EE0872A"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lastRenderedPageBreak/>
              <w:t>MLP</w:t>
            </w:r>
          </w:p>
        </w:tc>
        <w:tc>
          <w:tcPr>
            <w:tcW w:w="0" w:type="auto"/>
            <w:vAlign w:val="center"/>
            <w:hideMark/>
          </w:tcPr>
          <w:p w14:paraId="26AE077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Two hidden layers (64 and 32 units), ReLU activation, max_iter = 150; trained on the same 3,000-row subsample</w:t>
            </w:r>
          </w:p>
        </w:tc>
      </w:tr>
      <w:tr w:rsidR="003E1B08" w:rsidRPr="00E32832" w14:paraId="28FE87FC" w14:textId="77777777">
        <w:trPr>
          <w:tblCellSpacing w:w="15" w:type="dxa"/>
        </w:trPr>
        <w:tc>
          <w:tcPr>
            <w:tcW w:w="0" w:type="auto"/>
            <w:vAlign w:val="center"/>
            <w:hideMark/>
          </w:tcPr>
          <w:p w14:paraId="34AD94C4"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Software</w:t>
            </w:r>
          </w:p>
        </w:tc>
        <w:tc>
          <w:tcPr>
            <w:tcW w:w="0" w:type="auto"/>
            <w:vAlign w:val="center"/>
            <w:hideMark/>
          </w:tcPr>
          <w:p w14:paraId="0230E645"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Python 3.12, scikit-learn 1.8.0, pandas, NumPy 2.4.4, and Matplotlib 3.10.8</w:t>
            </w:r>
          </w:p>
        </w:tc>
      </w:tr>
      <w:tr w:rsidR="003E1B08" w:rsidRPr="00E32832" w14:paraId="737509CC" w14:textId="77777777">
        <w:trPr>
          <w:tblCellSpacing w:w="15" w:type="dxa"/>
        </w:trPr>
        <w:tc>
          <w:tcPr>
            <w:tcW w:w="0" w:type="auto"/>
            <w:vAlign w:val="center"/>
            <w:hideMark/>
          </w:tcPr>
          <w:p w14:paraId="47B39AC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Evaluation Metrics</w:t>
            </w:r>
          </w:p>
        </w:tc>
        <w:tc>
          <w:tcPr>
            <w:tcW w:w="0" w:type="auto"/>
            <w:vAlign w:val="center"/>
            <w:hideMark/>
          </w:tcPr>
          <w:p w14:paraId="50449E2D"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Disease label:</w:t>
            </w:r>
            <w:r>
              <w:rPr>
                <w:rFonts w:ascii="Times New Roman" w:eastAsia="Times New Roman" w:hAnsi="Times New Roman" w:cs="Times New Roman"/>
                <w:sz w:val="18"/>
                <w:szCs w:val="18"/>
              </w:rPr>
              <w:t xml:space="preserve"> accuracy, macro precision, macro recall, macro F1-score, Cohen’s κ, and Matthews correlation coefficient (MCC). </w:t>
            </w:r>
            <w:r>
              <w:rPr>
                <w:rFonts w:ascii="Times New Roman" w:eastAsia="Times New Roman" w:hAnsi="Times New Roman" w:cs="Times New Roman"/>
                <w:b/>
                <w:bCs/>
                <w:sz w:val="18"/>
                <w:szCs w:val="18"/>
              </w:rPr>
              <w:t>Crop label:</w:t>
            </w:r>
            <w:r>
              <w:rPr>
                <w:rFonts w:ascii="Times New Roman" w:eastAsia="Times New Roman" w:hAnsi="Times New Roman" w:cs="Times New Roman"/>
                <w:sz w:val="18"/>
                <w:szCs w:val="18"/>
              </w:rPr>
              <w:t xml:space="preserve"> accuracy, macro F1-score, and Cohen’s κ</w:t>
            </w:r>
          </w:p>
        </w:tc>
      </w:tr>
      <w:tr w:rsidR="003E1B08" w:rsidRPr="00E32832" w14:paraId="3ED321EA" w14:textId="77777777">
        <w:trPr>
          <w:tblCellSpacing w:w="15" w:type="dxa"/>
        </w:trPr>
        <w:tc>
          <w:tcPr>
            <w:tcW w:w="0" w:type="auto"/>
            <w:vAlign w:val="center"/>
            <w:hideMark/>
          </w:tcPr>
          <w:p w14:paraId="6C05D510"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b/>
                <w:bCs/>
                <w:sz w:val="18"/>
                <w:szCs w:val="18"/>
              </w:rPr>
              <w:t>Unsupervised Check</w:t>
            </w:r>
          </w:p>
        </w:tc>
        <w:tc>
          <w:tcPr>
            <w:tcW w:w="0" w:type="auto"/>
            <w:vAlign w:val="center"/>
            <w:hideMark/>
          </w:tcPr>
          <w:p w14:paraId="36CBADB1" w14:textId="77777777" w:rsidR="003E1B08" w:rsidRPr="00E32832" w:rsidRDefault="003E1B08" w:rsidP="00204C51">
            <w:pPr>
              <w:spacing w:after="0"/>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 xml:space="preserve">K-Means clustering with k </w:t>
            </w:r>
            <w:r>
              <w:rPr>
                <w:rFonts w:ascii="Cambria Math" w:eastAsia="Times New Roman" w:hAnsi="Cambria Math" w:cs="Cambria Math"/>
                <w:sz w:val="18"/>
                <w:szCs w:val="18"/>
              </w:rPr>
              <w:t>∈</w:t>
            </w:r>
            <w:r>
              <w:rPr>
                <w:rFonts w:ascii="Times New Roman" w:eastAsia="Times New Roman" w:hAnsi="Times New Roman" w:cs="Times New Roman"/>
                <w:sz w:val="18"/>
                <w:szCs w:val="18"/>
              </w:rPr>
              <w:t xml:space="preserve"> {2, …, 10}, selected using the silhouette score on a 4,000-row subsample. Davies–Bouldin and Calinski–Harabasz indices were computed on the same subsample.</w:t>
            </w:r>
          </w:p>
        </w:tc>
      </w:tr>
    </w:tbl>
    <w:p w14:paraId="612064EF" w14:textId="77777777" w:rsidR="00052047" w:rsidRPr="00E32832" w:rsidRDefault="00052047" w:rsidP="00052047">
      <w:pPr>
        <w:pStyle w:val="BodyText"/>
        <w:rPr>
          <w:rFonts w:ascii="Times New Roman" w:hAnsi="Times New Roman" w:cs="Times New Roman"/>
        </w:rPr>
      </w:pPr>
    </w:p>
    <w:p w14:paraId="257CFFF3" w14:textId="77777777" w:rsidR="00BA5D5D" w:rsidRPr="00E32832" w:rsidRDefault="00BA5D5D" w:rsidP="00BA5D5D">
      <w:pPr>
        <w:pStyle w:val="Heading3"/>
        <w:jc w:val="both"/>
        <w:rPr>
          <w:rFonts w:ascii="Times New Roman" w:hAnsi="Times New Roman" w:cs="Times New Roman"/>
          <w:sz w:val="18"/>
          <w:szCs w:val="18"/>
        </w:rPr>
        <w:sectPr w:rsidR="00BA5D5D" w:rsidRPr="00E32832" w:rsidSect="00BA5D5D">
          <w:type w:val="continuous"/>
          <w:pgSz w:w="11906" w:h="16838"/>
          <w:pgMar w:top="1440" w:right="1080" w:bottom="1440" w:left="1080" w:header="708" w:footer="708" w:gutter="0"/>
          <w:cols w:space="360"/>
          <w:docGrid w:linePitch="360"/>
        </w:sectPr>
      </w:pPr>
      <w:bookmarkStart w:id="69" w:name="purpose-and-honest-framing"/>
      <w:bookmarkStart w:id="70" w:name="models-and-protocol"/>
      <w:bookmarkStart w:id="71" w:name="_Toc234738424"/>
      <w:bookmarkStart w:id="72" w:name="X2f12bb142aa26b783334ea5dcca4ecb020ff3ca"/>
      <w:bookmarkEnd w:id="69"/>
      <w:bookmarkEnd w:id="70"/>
    </w:p>
    <w:p w14:paraId="4773C6AC" w14:textId="7BAFCA7E" w:rsidR="00DA00EE" w:rsidRPr="00E32832" w:rsidRDefault="00F84C4B" w:rsidP="00BA5D5D">
      <w:pPr>
        <w:pStyle w:val="Heading3"/>
        <w:jc w:val="both"/>
        <w:rPr>
          <w:rFonts w:ascii="Times New Roman" w:hAnsi="Times New Roman" w:cs="Times New Roman"/>
          <w:color w:val="auto"/>
          <w:sz w:val="18"/>
          <w:szCs w:val="18"/>
        </w:rPr>
      </w:pPr>
      <w:r>
        <w:rPr>
          <w:rFonts w:ascii="Times New Roman" w:hAnsi="Times New Roman" w:cs="Times New Roman"/>
          <w:color w:val="auto"/>
          <w:sz w:val="18"/>
          <w:szCs w:val="18"/>
        </w:rPr>
        <w:t>6.1 Purpose and framing</w:t>
      </w:r>
      <w:bookmarkEnd w:id="71"/>
    </w:p>
    <w:p w14:paraId="3F999392" w14:textId="43579FB9"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Beyond the single Random Forest reference classifier quarantined in _reference_model.py, we sought to test as broad a battery of standard classifiers as practical against the pipeline's 20,000 row  reference file, simulated_crop_pathology_reference.csv, using its eleven numeric image descriptor columns (GLCM contrast and homogeneity, entropy, HSV channel means, edge density, an RGB proxy vegetation index, texture energy, shape factor, and a moisture proxy) against two label columns the file actually ships with: a 15 level condition label (column class, identical to column label) and a 10 level crop identity (column crop). An earlier draft of this section, prepared before this revision, assumed both targets would sit at chance level, by analogy with the genuinely unvalidated GACL architecture described in the companion paper. Re running the full benchmark against the file as shipped shows that assumption was wrong for this particular file, and in the interest of this paper's own Verifiable Reporting Framework </w:t>
      </w:r>
      <w:r>
        <w:rPr>
          <w:rFonts w:ascii="Times New Roman" w:hAnsi="Times New Roman" w:cs="Times New Roman"/>
          <w:sz w:val="18"/>
          <w:szCs w:val="18"/>
        </w:rPr>
        <w:t>standard  report what was measured, not what was expected  we replace that assumed null result with the measured one below.</w:t>
      </w:r>
    </w:p>
    <w:p w14:paraId="01BF0EC7" w14:textId="77777777" w:rsidR="00DA00EE" w:rsidRPr="00E32832" w:rsidRDefault="00F84C4B" w:rsidP="00BA5D5D">
      <w:pPr>
        <w:pStyle w:val="Heading3"/>
        <w:jc w:val="both"/>
        <w:rPr>
          <w:rFonts w:ascii="Times New Roman" w:hAnsi="Times New Roman" w:cs="Times New Roman"/>
          <w:color w:val="auto"/>
          <w:sz w:val="18"/>
          <w:szCs w:val="18"/>
        </w:rPr>
      </w:pPr>
      <w:bookmarkStart w:id="73" w:name="_Toc234738425"/>
      <w:r>
        <w:rPr>
          <w:rFonts w:ascii="Times New Roman" w:hAnsi="Times New Roman" w:cs="Times New Roman"/>
          <w:color w:val="auto"/>
          <w:sz w:val="18"/>
          <w:szCs w:val="18"/>
        </w:rPr>
        <w:t>6.2 Models and protocol</w:t>
      </w:r>
      <w:bookmarkEnd w:id="73"/>
    </w:p>
    <w:p w14:paraId="19A68764" w14:textId="7BA51A12"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We trained eight standard classifiers  k Nearest Neighbours (k=5; </w:t>
      </w:r>
      <w:hyperlink w:anchor="ref-coverhart1967" w:history="1">
        <w:r>
          <w:rPr>
            <w:rFonts w:ascii="Times New Roman" w:hAnsi="Times New Roman" w:cs="Times New Roman"/>
            <w:color w:val="1155CC"/>
            <w:sz w:val="18"/>
            <w:szCs w:val="18"/>
            <w:u w:val="single"/>
          </w:rPr>
          <w:t>Cover and Hart 1967</w:t>
        </w:r>
      </w:hyperlink>
      <w:r>
        <w:rPr>
          <w:rFonts w:ascii="Times New Roman" w:hAnsi="Times New Roman" w:cs="Times New Roman"/>
          <w:sz w:val="18"/>
          <w:szCs w:val="18"/>
        </w:rPr>
        <w:t xml:space="preserve">), Logistic Regression, a single Decision Tree, Random Forest (150 trees; </w:t>
      </w:r>
      <w:hyperlink w:anchor="ref-breiman2001" w:history="1">
        <w:r>
          <w:rPr>
            <w:rFonts w:ascii="Times New Roman" w:hAnsi="Times New Roman" w:cs="Times New Roman"/>
            <w:color w:val="1155CC"/>
            <w:sz w:val="18"/>
            <w:szCs w:val="18"/>
            <w:u w:val="single"/>
          </w:rPr>
          <w:t>Breiman 2001</w:t>
        </w:r>
      </w:hyperlink>
      <w:r>
        <w:rPr>
          <w:rFonts w:ascii="Times New Roman" w:hAnsi="Times New Roman" w:cs="Times New Roman"/>
          <w:sz w:val="18"/>
          <w:szCs w:val="18"/>
        </w:rPr>
        <w:t>), Gaussian Naive Bayes, an RBF kernel SVM, a two hidden layer (64, 64) Multilayer Perceptron, and Gradient Boosting  on a stratified 75/25 train/test split of the eleven column descriptor matrix, standardised to zero mean and unit variance on the training fold. For the three most computationally expensive models (SVM, MLP, Gradient Boosting) we trained on a 5,000 row random subsample of the training fold and evaluated on the full held out test fold, exactly as described in Section 6.7's reproducibility checklist; the remaining five models were trained on the full training fold.</w:t>
      </w:r>
    </w:p>
    <w:p w14:paraId="2A19D8C1" w14:textId="77777777" w:rsidR="00877156" w:rsidRPr="00E32832" w:rsidRDefault="00877156" w:rsidP="00BA5D5D">
      <w:pPr>
        <w:pStyle w:val="Heading3"/>
        <w:jc w:val="both"/>
        <w:rPr>
          <w:rFonts w:ascii="Times New Roman" w:hAnsi="Times New Roman" w:cs="Times New Roman"/>
          <w:sz w:val="18"/>
          <w:szCs w:val="18"/>
        </w:rPr>
        <w:sectPr w:rsidR="00877156" w:rsidRPr="00E32832">
          <w:type w:val="continuous"/>
          <w:pgSz w:w="11906" w:h="16838"/>
          <w:pgMar w:top="1440" w:right="1080" w:bottom="1440" w:left="1080" w:header="708" w:footer="708" w:gutter="0"/>
          <w:cols w:num="2" w:space="360"/>
          <w:docGrid w:linePitch="360"/>
        </w:sectPr>
      </w:pPr>
      <w:bookmarkStart w:id="74" w:name="_Toc234738426"/>
    </w:p>
    <w:p w14:paraId="24A4C96B" w14:textId="77777777" w:rsidR="00DA00EE" w:rsidRPr="00E32832" w:rsidRDefault="00F84C4B" w:rsidP="00BA5D5D">
      <w:pPr>
        <w:pStyle w:val="Heading3"/>
        <w:jc w:val="both"/>
        <w:rPr>
          <w:rFonts w:ascii="Times New Roman" w:hAnsi="Times New Roman" w:cs="Times New Roman"/>
          <w:color w:val="auto"/>
          <w:sz w:val="18"/>
          <w:szCs w:val="18"/>
        </w:rPr>
      </w:pPr>
      <w:r>
        <w:rPr>
          <w:rFonts w:ascii="Times New Roman" w:hAnsi="Times New Roman" w:cs="Times New Roman"/>
          <w:color w:val="auto"/>
          <w:sz w:val="18"/>
          <w:szCs w:val="18"/>
        </w:rPr>
        <w:t>6.3 Results: 15 level condition label (column class)</w:t>
      </w:r>
      <w:bookmarkEnd w:id="74"/>
    </w:p>
    <w:p w14:paraId="60CFE04A"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Table 3. Held out test performance of eight real classifiers on the 15 level condition label (chance level = 1/15 = 0.0667).</w:t>
      </w:r>
    </w:p>
    <w:p w14:paraId="21DC6F98" w14:textId="77777777" w:rsidR="00DA00EE" w:rsidRPr="00E32832" w:rsidRDefault="00DA00EE" w:rsidP="00BA5D5D">
      <w:pPr>
        <w:jc w:val="both"/>
        <w:rPr>
          <w:rFonts w:ascii="Times New Roman" w:hAnsi="Times New Roman" w:cs="Times New Roman"/>
          <w:sz w:val="18"/>
          <w:szCs w:val="18"/>
        </w:rPr>
      </w:pPr>
    </w:p>
    <w:tbl>
      <w:tblPr>
        <w:tblStyle w:val="Table"/>
        <w:tblW w:w="0" w:type="auto"/>
        <w:tblLook w:val="04A0" w:firstRow="1" w:lastRow="0" w:firstColumn="1" w:lastColumn="0" w:noHBand="0" w:noVBand="1"/>
      </w:tblPr>
      <w:tblGrid>
        <w:gridCol w:w="1949"/>
        <w:gridCol w:w="1949"/>
        <w:gridCol w:w="1949"/>
        <w:gridCol w:w="1949"/>
        <w:gridCol w:w="1949"/>
      </w:tblGrid>
      <w:tr w:rsidR="00DA00EE" w:rsidRPr="00E32832" w14:paraId="6D6F79F2" w14:textId="77777777" w:rsidTr="00DA00EE">
        <w:trPr>
          <w:cnfStyle w:val="100000000000" w:firstRow="1" w:lastRow="0" w:firstColumn="0" w:lastColumn="0" w:oddVBand="0" w:evenVBand="0" w:oddHBand="0" w:evenHBand="0" w:firstRowFirstColumn="0" w:firstRowLastColumn="0" w:lastRowFirstColumn="0" w:lastRowLastColumn="0"/>
        </w:trPr>
        <w:tc>
          <w:tcPr>
            <w:tcW w:w="1949" w:type="dxa"/>
          </w:tcPr>
          <w:p w14:paraId="20B1E599"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Model</w:t>
            </w:r>
          </w:p>
        </w:tc>
        <w:tc>
          <w:tcPr>
            <w:tcW w:w="1949" w:type="dxa"/>
          </w:tcPr>
          <w:p w14:paraId="63C1EE14"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Accuracy</w:t>
            </w:r>
          </w:p>
        </w:tc>
        <w:tc>
          <w:tcPr>
            <w:tcW w:w="1949" w:type="dxa"/>
          </w:tcPr>
          <w:p w14:paraId="21D76AC1"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Macro F1</w:t>
            </w:r>
          </w:p>
        </w:tc>
        <w:tc>
          <w:tcPr>
            <w:tcW w:w="1949" w:type="dxa"/>
          </w:tcPr>
          <w:p w14:paraId="602740C2"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Cohen's kappa</w:t>
            </w:r>
          </w:p>
        </w:tc>
        <w:tc>
          <w:tcPr>
            <w:tcW w:w="1949" w:type="dxa"/>
          </w:tcPr>
          <w:p w14:paraId="5CEC39BA"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MCC</w:t>
            </w:r>
          </w:p>
        </w:tc>
      </w:tr>
      <w:tr w:rsidR="00DA00EE" w:rsidRPr="00E32832" w14:paraId="78759827" w14:textId="77777777" w:rsidTr="00DA00EE">
        <w:tc>
          <w:tcPr>
            <w:tcW w:w="1949" w:type="dxa"/>
          </w:tcPr>
          <w:p w14:paraId="68A62FE6"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kNN (k=5)</w:t>
            </w:r>
          </w:p>
        </w:tc>
        <w:tc>
          <w:tcPr>
            <w:tcW w:w="1949" w:type="dxa"/>
          </w:tcPr>
          <w:p w14:paraId="4A88757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0.9736</w:t>
            </w:r>
          </w:p>
        </w:tc>
        <w:tc>
          <w:tcPr>
            <w:tcW w:w="1949" w:type="dxa"/>
          </w:tcPr>
          <w:p w14:paraId="700FAAE0"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0.9733</w:t>
            </w:r>
          </w:p>
        </w:tc>
        <w:tc>
          <w:tcPr>
            <w:tcW w:w="1949" w:type="dxa"/>
          </w:tcPr>
          <w:p w14:paraId="241B403F"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0.9717</w:t>
            </w:r>
          </w:p>
        </w:tc>
        <w:tc>
          <w:tcPr>
            <w:tcW w:w="1949" w:type="dxa"/>
          </w:tcPr>
          <w:p w14:paraId="447C87E1"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0.9717</w:t>
            </w:r>
          </w:p>
        </w:tc>
      </w:tr>
      <w:tr w:rsidR="00DA00EE" w:rsidRPr="00E32832" w14:paraId="704420F4" w14:textId="77777777" w:rsidTr="00DA00EE">
        <w:tc>
          <w:tcPr>
            <w:tcW w:w="1949" w:type="dxa"/>
          </w:tcPr>
          <w:p w14:paraId="525B1311"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SVM (RBF)</w:t>
            </w:r>
          </w:p>
        </w:tc>
        <w:tc>
          <w:tcPr>
            <w:tcW w:w="1949" w:type="dxa"/>
          </w:tcPr>
          <w:p w14:paraId="0AF7599B"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0.9668</w:t>
            </w:r>
          </w:p>
        </w:tc>
        <w:tc>
          <w:tcPr>
            <w:tcW w:w="1949" w:type="dxa"/>
          </w:tcPr>
          <w:p w14:paraId="4E354E66"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0.9664</w:t>
            </w:r>
          </w:p>
        </w:tc>
        <w:tc>
          <w:tcPr>
            <w:tcW w:w="1949" w:type="dxa"/>
          </w:tcPr>
          <w:p w14:paraId="6E0D76A5"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0.9644</w:t>
            </w:r>
          </w:p>
        </w:tc>
        <w:tc>
          <w:tcPr>
            <w:tcW w:w="1949" w:type="dxa"/>
          </w:tcPr>
          <w:p w14:paraId="158D7EBF"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0.9644</w:t>
            </w:r>
          </w:p>
        </w:tc>
      </w:tr>
      <w:tr w:rsidR="00DA00EE" w:rsidRPr="00E32832" w14:paraId="16BD9346" w14:textId="77777777" w:rsidTr="00DA00EE">
        <w:tc>
          <w:tcPr>
            <w:tcW w:w="1949" w:type="dxa"/>
          </w:tcPr>
          <w:p w14:paraId="00B119FE"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MLP (2x64)</w:t>
            </w:r>
          </w:p>
        </w:tc>
        <w:tc>
          <w:tcPr>
            <w:tcW w:w="1949" w:type="dxa"/>
          </w:tcPr>
          <w:p w14:paraId="253EE7BD"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0.9596</w:t>
            </w:r>
          </w:p>
        </w:tc>
        <w:tc>
          <w:tcPr>
            <w:tcW w:w="1949" w:type="dxa"/>
          </w:tcPr>
          <w:p w14:paraId="794CF58E"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0.9591</w:t>
            </w:r>
          </w:p>
        </w:tc>
        <w:tc>
          <w:tcPr>
            <w:tcW w:w="1949" w:type="dxa"/>
          </w:tcPr>
          <w:p w14:paraId="18754143"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0.9567</w:t>
            </w:r>
          </w:p>
        </w:tc>
        <w:tc>
          <w:tcPr>
            <w:tcW w:w="1949" w:type="dxa"/>
          </w:tcPr>
          <w:p w14:paraId="65555C2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0.9567</w:t>
            </w:r>
          </w:p>
        </w:tc>
      </w:tr>
      <w:tr w:rsidR="00DA00EE" w:rsidRPr="00E32832" w14:paraId="68024499" w14:textId="77777777" w:rsidTr="00DA00EE">
        <w:tc>
          <w:tcPr>
            <w:tcW w:w="1949" w:type="dxa"/>
          </w:tcPr>
          <w:p w14:paraId="01C79A02"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Logistic Regression</w:t>
            </w:r>
          </w:p>
        </w:tc>
        <w:tc>
          <w:tcPr>
            <w:tcW w:w="1949" w:type="dxa"/>
          </w:tcPr>
          <w:p w14:paraId="616BED55"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0.9588</w:t>
            </w:r>
          </w:p>
        </w:tc>
        <w:tc>
          <w:tcPr>
            <w:tcW w:w="1949" w:type="dxa"/>
          </w:tcPr>
          <w:p w14:paraId="047CAEF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0.9583</w:t>
            </w:r>
          </w:p>
        </w:tc>
        <w:tc>
          <w:tcPr>
            <w:tcW w:w="1949" w:type="dxa"/>
          </w:tcPr>
          <w:p w14:paraId="3E514FD0"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0.9559</w:t>
            </w:r>
          </w:p>
        </w:tc>
        <w:tc>
          <w:tcPr>
            <w:tcW w:w="1949" w:type="dxa"/>
          </w:tcPr>
          <w:p w14:paraId="506FB1BB"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0.9559</w:t>
            </w:r>
          </w:p>
        </w:tc>
      </w:tr>
      <w:tr w:rsidR="00DA00EE" w:rsidRPr="00E32832" w14:paraId="070EF8B4" w14:textId="77777777" w:rsidTr="00DA00EE">
        <w:tc>
          <w:tcPr>
            <w:tcW w:w="1949" w:type="dxa"/>
          </w:tcPr>
          <w:p w14:paraId="3A0E907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Random Forest</w:t>
            </w:r>
          </w:p>
        </w:tc>
        <w:tc>
          <w:tcPr>
            <w:tcW w:w="1949" w:type="dxa"/>
          </w:tcPr>
          <w:p w14:paraId="5BC96B90"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0.9498</w:t>
            </w:r>
          </w:p>
        </w:tc>
        <w:tc>
          <w:tcPr>
            <w:tcW w:w="1949" w:type="dxa"/>
          </w:tcPr>
          <w:p w14:paraId="59306BF2"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0.9492</w:t>
            </w:r>
          </w:p>
        </w:tc>
        <w:tc>
          <w:tcPr>
            <w:tcW w:w="1949" w:type="dxa"/>
          </w:tcPr>
          <w:p w14:paraId="31AA0DB0"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0.9462</w:t>
            </w:r>
          </w:p>
        </w:tc>
        <w:tc>
          <w:tcPr>
            <w:tcW w:w="1949" w:type="dxa"/>
          </w:tcPr>
          <w:p w14:paraId="63DBEC8E"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0.9462</w:t>
            </w:r>
          </w:p>
        </w:tc>
      </w:tr>
      <w:tr w:rsidR="00DA00EE" w:rsidRPr="00E32832" w14:paraId="5751701D" w14:textId="77777777" w:rsidTr="00DA00EE">
        <w:tc>
          <w:tcPr>
            <w:tcW w:w="1949" w:type="dxa"/>
          </w:tcPr>
          <w:p w14:paraId="6467C131"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Gradient Boosting</w:t>
            </w:r>
          </w:p>
        </w:tc>
        <w:tc>
          <w:tcPr>
            <w:tcW w:w="1949" w:type="dxa"/>
          </w:tcPr>
          <w:p w14:paraId="7B6B70A7"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0.9398</w:t>
            </w:r>
          </w:p>
        </w:tc>
        <w:tc>
          <w:tcPr>
            <w:tcW w:w="1949" w:type="dxa"/>
          </w:tcPr>
          <w:p w14:paraId="63CDC089"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0.9395</w:t>
            </w:r>
          </w:p>
        </w:tc>
        <w:tc>
          <w:tcPr>
            <w:tcW w:w="1949" w:type="dxa"/>
          </w:tcPr>
          <w:p w14:paraId="67602A00"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0.9355</w:t>
            </w:r>
          </w:p>
        </w:tc>
        <w:tc>
          <w:tcPr>
            <w:tcW w:w="1949" w:type="dxa"/>
          </w:tcPr>
          <w:p w14:paraId="6F3820DB"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0.9355</w:t>
            </w:r>
          </w:p>
        </w:tc>
      </w:tr>
      <w:tr w:rsidR="00DA00EE" w:rsidRPr="00E32832" w14:paraId="122253CD" w14:textId="77777777" w:rsidTr="00DA00EE">
        <w:tc>
          <w:tcPr>
            <w:tcW w:w="1949" w:type="dxa"/>
          </w:tcPr>
          <w:p w14:paraId="6A46DA6E"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Gaussian Naive Bayes</w:t>
            </w:r>
          </w:p>
        </w:tc>
        <w:tc>
          <w:tcPr>
            <w:tcW w:w="1949" w:type="dxa"/>
          </w:tcPr>
          <w:p w14:paraId="3B369C42"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0.9370</w:t>
            </w:r>
          </w:p>
        </w:tc>
        <w:tc>
          <w:tcPr>
            <w:tcW w:w="1949" w:type="dxa"/>
          </w:tcPr>
          <w:p w14:paraId="391551D7"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0.9365</w:t>
            </w:r>
          </w:p>
        </w:tc>
        <w:tc>
          <w:tcPr>
            <w:tcW w:w="1949" w:type="dxa"/>
          </w:tcPr>
          <w:p w14:paraId="01F171FC"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0.9325</w:t>
            </w:r>
          </w:p>
        </w:tc>
        <w:tc>
          <w:tcPr>
            <w:tcW w:w="1949" w:type="dxa"/>
          </w:tcPr>
          <w:p w14:paraId="26AE91F6"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0.9326</w:t>
            </w:r>
          </w:p>
        </w:tc>
      </w:tr>
      <w:tr w:rsidR="00DA00EE" w:rsidRPr="00E32832" w14:paraId="3604BBE0" w14:textId="77777777" w:rsidTr="00DA00EE">
        <w:tc>
          <w:tcPr>
            <w:tcW w:w="1949" w:type="dxa"/>
          </w:tcPr>
          <w:p w14:paraId="49F5AA40"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Decision Tree</w:t>
            </w:r>
          </w:p>
        </w:tc>
        <w:tc>
          <w:tcPr>
            <w:tcW w:w="1949" w:type="dxa"/>
          </w:tcPr>
          <w:p w14:paraId="70913DB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0.8502</w:t>
            </w:r>
          </w:p>
        </w:tc>
        <w:tc>
          <w:tcPr>
            <w:tcW w:w="1949" w:type="dxa"/>
          </w:tcPr>
          <w:p w14:paraId="0EF9F8AB"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0.8494</w:t>
            </w:r>
          </w:p>
        </w:tc>
        <w:tc>
          <w:tcPr>
            <w:tcW w:w="1949" w:type="dxa"/>
          </w:tcPr>
          <w:p w14:paraId="26C56169"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0.8395</w:t>
            </w:r>
          </w:p>
        </w:tc>
        <w:tc>
          <w:tcPr>
            <w:tcW w:w="1949" w:type="dxa"/>
          </w:tcPr>
          <w:p w14:paraId="7D36AFD7"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0.8395</w:t>
            </w:r>
          </w:p>
        </w:tc>
      </w:tr>
    </w:tbl>
    <w:p w14:paraId="3C9D2946" w14:textId="77777777" w:rsidR="00877156" w:rsidRPr="00E32832" w:rsidRDefault="00877156" w:rsidP="00BA5D5D">
      <w:pPr>
        <w:pStyle w:val="BodyText"/>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p>
    <w:p w14:paraId="6EA84216" w14:textId="16312AF3"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Every one of the eight models scores far above the 0.0667 chance level, ranging from 85.0% (Decision Tree) to 97.4% (kNN); Cohen's kappa and MCC are correspondingly high (0.84 0.97) for all eight models, confirming the result is not an artefact of class </w:t>
      </w:r>
      <w:r>
        <w:rPr>
          <w:rFonts w:ascii="Times New Roman" w:hAnsi="Times New Roman" w:cs="Times New Roman"/>
          <w:sz w:val="18"/>
          <w:szCs w:val="18"/>
        </w:rPr>
        <w:t>imbalance. This indicates that the eleven numeric descriptors in this  reference file are, in fact, strongly separable by condition label  the opposite of the assumption in an earlier draft of this section.</w:t>
      </w:r>
    </w:p>
    <w:p w14:paraId="47FC2B4C" w14:textId="77777777" w:rsidR="001F0ABA" w:rsidRPr="00E32832" w:rsidRDefault="001F0ABA" w:rsidP="00BA5D5D">
      <w:pPr>
        <w:pStyle w:val="BodyText"/>
        <w:keepNext/>
        <w:keepLines/>
        <w:jc w:val="both"/>
        <w:rPr>
          <w:rFonts w:ascii="Times New Roman" w:hAnsi="Times New Roman" w:cs="Times New Roman"/>
          <w:sz w:val="18"/>
          <w:szCs w:val="18"/>
        </w:rPr>
        <w:sectPr w:rsidR="001F0ABA" w:rsidRPr="00E32832">
          <w:type w:val="continuous"/>
          <w:pgSz w:w="11906" w:h="16838"/>
          <w:pgMar w:top="1440" w:right="1080" w:bottom="1440" w:left="1080" w:header="708" w:footer="708" w:gutter="0"/>
          <w:cols w:num="2" w:space="360"/>
          <w:docGrid w:linePitch="360"/>
        </w:sectPr>
      </w:pPr>
    </w:p>
    <w:p w14:paraId="3015CC44"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lastRenderedPageBreak/>
        <w:drawing>
          <wp:inline distT="0" distB="0" distL="0" distR="0" wp14:anchorId="010B8766" wp14:editId="272BF729">
            <wp:extent cx="5284447" cy="5082988"/>
            <wp:effectExtent l="0" t="0" r="0" b="3810"/>
            <wp:docPr id="609" name="Picture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 name="Picture 609"/>
                    <pic:cNvPicPr/>
                  </pic:nvPicPr>
                  <pic:blipFill>
                    <a:blip r:embed="rId20">
                      <a:extLst>
                        <a:ext uri="{28A0092B-C50C-407E-A947-70E740481C1C}">
                          <a14:useLocalDpi xmlns:a14="http://schemas.microsoft.com/office/drawing/2010/main" val="0"/>
                        </a:ext>
                      </a:extLst>
                    </a:blip>
                    <a:stretch>
                      <a:fillRect/>
                    </a:stretch>
                  </pic:blipFill>
                  <pic:spPr>
                    <a:xfrm>
                      <a:off x="0" y="0"/>
                      <a:ext cx="5284447" cy="5082988"/>
                    </a:xfrm>
                    <a:prstGeom prst="rect">
                      <a:avLst/>
                    </a:prstGeom>
                  </pic:spPr>
                </pic:pic>
              </a:graphicData>
            </a:graphic>
          </wp:inline>
        </w:drawing>
      </w:r>
    </w:p>
    <w:p w14:paraId="4F4A1562" w14:textId="54410C6F" w:rsidR="00283C42" w:rsidRPr="00E32832" w:rsidRDefault="0058322D">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10. Real held-out classifier benchmark on the  reference dataset. (A) Test accuracy for all eight classifiers on both label columns against chance; (B) confusion matrix, best model, 15-level condition label; (C) confusion matrix, best model, 10-level crop identity; (D) Pearson correlation matrix of the eleven numeric descriptors.</w:t>
      </w:r>
    </w:p>
    <w:p w14:paraId="682331C8" w14:textId="77777777" w:rsidR="001F0ABA" w:rsidRPr="00E32832" w:rsidRDefault="001F0ABA" w:rsidP="00BA5D5D">
      <w:pPr>
        <w:pStyle w:val="Heading3"/>
        <w:jc w:val="both"/>
        <w:rPr>
          <w:rFonts w:ascii="Times New Roman" w:hAnsi="Times New Roman" w:cs="Times New Roman"/>
          <w:sz w:val="18"/>
          <w:szCs w:val="18"/>
        </w:rPr>
        <w:sectPr w:rsidR="001F0ABA" w:rsidRPr="00E32832" w:rsidSect="001F0ABA">
          <w:type w:val="continuous"/>
          <w:pgSz w:w="11906" w:h="16838"/>
          <w:pgMar w:top="1440" w:right="1080" w:bottom="1440" w:left="1080" w:header="708" w:footer="708" w:gutter="0"/>
          <w:cols w:space="360"/>
          <w:docGrid w:linePitch="360"/>
        </w:sectPr>
      </w:pPr>
      <w:bookmarkStart w:id="75" w:name="_Toc234738427"/>
    </w:p>
    <w:p w14:paraId="2939B60D" w14:textId="77777777" w:rsidR="00DA00EE" w:rsidRPr="00E32832" w:rsidRDefault="00F84C4B" w:rsidP="00BA5D5D">
      <w:pPr>
        <w:pStyle w:val="Heading3"/>
        <w:jc w:val="both"/>
        <w:rPr>
          <w:rFonts w:ascii="Times New Roman" w:hAnsi="Times New Roman" w:cs="Times New Roman"/>
          <w:color w:val="auto"/>
          <w:sz w:val="18"/>
          <w:szCs w:val="18"/>
        </w:rPr>
      </w:pPr>
      <w:r>
        <w:rPr>
          <w:rFonts w:ascii="Times New Roman" w:hAnsi="Times New Roman" w:cs="Times New Roman"/>
          <w:color w:val="auto"/>
          <w:sz w:val="18"/>
          <w:szCs w:val="18"/>
        </w:rPr>
        <w:t>6.4 Results: 10 level crop identity (column crop)</w:t>
      </w:r>
      <w:bookmarkEnd w:id="75"/>
    </w:p>
    <w:p w14:paraId="2609D5E2" w14:textId="77777777" w:rsidR="001F0ABA" w:rsidRPr="00E32832" w:rsidRDefault="001F0ABA" w:rsidP="00BA5D5D">
      <w:pPr>
        <w:pStyle w:val="BodyText"/>
        <w:jc w:val="both"/>
        <w:rPr>
          <w:rFonts w:ascii="Times New Roman" w:hAnsi="Times New Roman" w:cs="Times New Roman"/>
          <w:sz w:val="18"/>
          <w:szCs w:val="18"/>
        </w:rPr>
        <w:sectPr w:rsidR="001F0ABA" w:rsidRPr="00E32832">
          <w:type w:val="continuous"/>
          <w:pgSz w:w="11906" w:h="16838"/>
          <w:pgMar w:top="1440" w:right="1080" w:bottom="1440" w:left="1080" w:header="708" w:footer="708" w:gutter="0"/>
          <w:cols w:num="2" w:space="360"/>
          <w:docGrid w:linePitch="360"/>
        </w:sectPr>
      </w:pPr>
    </w:p>
    <w:p w14:paraId="625F0BAD"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Table 4. Held out test performance of the same eight classifiers on the 10 level crop identity column (chance level = 1/10 = 0.10).</w:t>
      </w:r>
    </w:p>
    <w:p w14:paraId="734FDE1C" w14:textId="77777777" w:rsidR="001F0ABA" w:rsidRPr="00E32832" w:rsidRDefault="001F0ABA" w:rsidP="00BA5D5D">
      <w:pPr>
        <w:jc w:val="both"/>
        <w:rPr>
          <w:rFonts w:ascii="Times New Roman" w:hAnsi="Times New Roman" w:cs="Times New Roman"/>
          <w:sz w:val="18"/>
          <w:szCs w:val="18"/>
        </w:rPr>
        <w:sectPr w:rsidR="001F0ABA" w:rsidRPr="00E32832" w:rsidSect="001F0ABA">
          <w:type w:val="continuous"/>
          <w:pgSz w:w="11906" w:h="16838"/>
          <w:pgMar w:top="1440" w:right="1080" w:bottom="1440" w:left="1080" w:header="708" w:footer="708" w:gutter="0"/>
          <w:cols w:space="360"/>
          <w:docGrid w:linePitch="360"/>
        </w:sectPr>
      </w:pPr>
    </w:p>
    <w:tbl>
      <w:tblPr>
        <w:tblStyle w:val="Table"/>
        <w:tblW w:w="0" w:type="auto"/>
        <w:tblLook w:val="04A0" w:firstRow="1" w:lastRow="0" w:firstColumn="1" w:lastColumn="0" w:noHBand="0" w:noVBand="1"/>
      </w:tblPr>
      <w:tblGrid>
        <w:gridCol w:w="1949"/>
        <w:gridCol w:w="1949"/>
        <w:gridCol w:w="1949"/>
        <w:gridCol w:w="1949"/>
        <w:gridCol w:w="1949"/>
      </w:tblGrid>
      <w:tr w:rsidR="00DA00EE" w:rsidRPr="00E32832" w14:paraId="701908C9" w14:textId="77777777" w:rsidTr="00DA00EE">
        <w:trPr>
          <w:cnfStyle w:val="100000000000" w:firstRow="1" w:lastRow="0" w:firstColumn="0" w:lastColumn="0" w:oddVBand="0" w:evenVBand="0" w:oddHBand="0" w:evenHBand="0" w:firstRowFirstColumn="0" w:firstRowLastColumn="0" w:lastRowFirstColumn="0" w:lastRowLastColumn="0"/>
        </w:trPr>
        <w:tc>
          <w:tcPr>
            <w:tcW w:w="1949" w:type="dxa"/>
          </w:tcPr>
          <w:p w14:paraId="5A08D873"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Model</w:t>
            </w:r>
          </w:p>
        </w:tc>
        <w:tc>
          <w:tcPr>
            <w:tcW w:w="1949" w:type="dxa"/>
          </w:tcPr>
          <w:p w14:paraId="20648C6B"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Accuracy</w:t>
            </w:r>
          </w:p>
        </w:tc>
        <w:tc>
          <w:tcPr>
            <w:tcW w:w="1949" w:type="dxa"/>
          </w:tcPr>
          <w:p w14:paraId="4C6BBA24"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Macro F1</w:t>
            </w:r>
          </w:p>
        </w:tc>
        <w:tc>
          <w:tcPr>
            <w:tcW w:w="1949" w:type="dxa"/>
          </w:tcPr>
          <w:p w14:paraId="5BD0C5AD"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Cohen's kappa</w:t>
            </w:r>
          </w:p>
        </w:tc>
        <w:tc>
          <w:tcPr>
            <w:tcW w:w="1949" w:type="dxa"/>
          </w:tcPr>
          <w:p w14:paraId="733C6C70" w14:textId="77777777" w:rsidR="00DA00EE" w:rsidRPr="00E32832" w:rsidRDefault="00F84C4B" w:rsidP="00BA5D5D">
            <w:pPr>
              <w:jc w:val="both"/>
              <w:rPr>
                <w:rFonts w:ascii="Times New Roman" w:hAnsi="Times New Roman" w:cs="Times New Roman"/>
                <w:b/>
                <w:bCs/>
                <w:sz w:val="18"/>
                <w:szCs w:val="18"/>
              </w:rPr>
            </w:pPr>
            <w:r>
              <w:rPr>
                <w:rFonts w:ascii="Times New Roman" w:hAnsi="Times New Roman" w:cs="Times New Roman"/>
                <w:b/>
                <w:bCs/>
                <w:sz w:val="18"/>
                <w:szCs w:val="18"/>
              </w:rPr>
              <w:t>MCC</w:t>
            </w:r>
          </w:p>
        </w:tc>
      </w:tr>
      <w:tr w:rsidR="00DA00EE" w:rsidRPr="00E32832" w14:paraId="7BEFE4D1" w14:textId="77777777" w:rsidTr="00DA00EE">
        <w:tc>
          <w:tcPr>
            <w:tcW w:w="1949" w:type="dxa"/>
          </w:tcPr>
          <w:p w14:paraId="0B72E9D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kNN (k=5)</w:t>
            </w:r>
          </w:p>
        </w:tc>
        <w:tc>
          <w:tcPr>
            <w:tcW w:w="1949" w:type="dxa"/>
          </w:tcPr>
          <w:p w14:paraId="52821A26"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0.8478</w:t>
            </w:r>
          </w:p>
        </w:tc>
        <w:tc>
          <w:tcPr>
            <w:tcW w:w="1949" w:type="dxa"/>
          </w:tcPr>
          <w:p w14:paraId="6432085B"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0.8475</w:t>
            </w:r>
          </w:p>
        </w:tc>
        <w:tc>
          <w:tcPr>
            <w:tcW w:w="1949" w:type="dxa"/>
          </w:tcPr>
          <w:p w14:paraId="6E77821E"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0.8309</w:t>
            </w:r>
          </w:p>
        </w:tc>
        <w:tc>
          <w:tcPr>
            <w:tcW w:w="1949" w:type="dxa"/>
          </w:tcPr>
          <w:p w14:paraId="79C7AAC9"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0.8310</w:t>
            </w:r>
          </w:p>
        </w:tc>
      </w:tr>
      <w:tr w:rsidR="00DA00EE" w:rsidRPr="00E32832" w14:paraId="7EC6787F" w14:textId="77777777" w:rsidTr="00DA00EE">
        <w:tc>
          <w:tcPr>
            <w:tcW w:w="1949" w:type="dxa"/>
          </w:tcPr>
          <w:p w14:paraId="3D2A133F"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Random Forest</w:t>
            </w:r>
          </w:p>
        </w:tc>
        <w:tc>
          <w:tcPr>
            <w:tcW w:w="1949" w:type="dxa"/>
          </w:tcPr>
          <w:p w14:paraId="12313254"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0.8296</w:t>
            </w:r>
          </w:p>
        </w:tc>
        <w:tc>
          <w:tcPr>
            <w:tcW w:w="1949" w:type="dxa"/>
          </w:tcPr>
          <w:p w14:paraId="04647D36"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0.8285</w:t>
            </w:r>
          </w:p>
        </w:tc>
        <w:tc>
          <w:tcPr>
            <w:tcW w:w="1949" w:type="dxa"/>
          </w:tcPr>
          <w:p w14:paraId="1E24390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0.8107</w:t>
            </w:r>
          </w:p>
        </w:tc>
        <w:tc>
          <w:tcPr>
            <w:tcW w:w="1949" w:type="dxa"/>
          </w:tcPr>
          <w:p w14:paraId="6EAD05D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0.8108</w:t>
            </w:r>
          </w:p>
        </w:tc>
      </w:tr>
      <w:tr w:rsidR="00DA00EE" w:rsidRPr="00E32832" w14:paraId="0A190053" w14:textId="77777777" w:rsidTr="00DA00EE">
        <w:tc>
          <w:tcPr>
            <w:tcW w:w="1949" w:type="dxa"/>
          </w:tcPr>
          <w:p w14:paraId="1F09AD87"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SVM (RBF)</w:t>
            </w:r>
          </w:p>
        </w:tc>
        <w:tc>
          <w:tcPr>
            <w:tcW w:w="1949" w:type="dxa"/>
          </w:tcPr>
          <w:p w14:paraId="5152E497"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0.8248</w:t>
            </w:r>
          </w:p>
        </w:tc>
        <w:tc>
          <w:tcPr>
            <w:tcW w:w="1949" w:type="dxa"/>
          </w:tcPr>
          <w:p w14:paraId="741858CF"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0.8245</w:t>
            </w:r>
          </w:p>
        </w:tc>
        <w:tc>
          <w:tcPr>
            <w:tcW w:w="1949" w:type="dxa"/>
          </w:tcPr>
          <w:p w14:paraId="6513E2E0"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0.8053</w:t>
            </w:r>
          </w:p>
        </w:tc>
        <w:tc>
          <w:tcPr>
            <w:tcW w:w="1949" w:type="dxa"/>
          </w:tcPr>
          <w:p w14:paraId="46F397F2"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0.8054</w:t>
            </w:r>
          </w:p>
        </w:tc>
      </w:tr>
      <w:tr w:rsidR="00DA00EE" w:rsidRPr="00E32832" w14:paraId="107352D8" w14:textId="77777777" w:rsidTr="00DA00EE">
        <w:tc>
          <w:tcPr>
            <w:tcW w:w="1949" w:type="dxa"/>
          </w:tcPr>
          <w:p w14:paraId="7C2E28B8"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MLP (2x64)</w:t>
            </w:r>
          </w:p>
        </w:tc>
        <w:tc>
          <w:tcPr>
            <w:tcW w:w="1949" w:type="dxa"/>
          </w:tcPr>
          <w:p w14:paraId="11DD205E"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0.8174</w:t>
            </w:r>
          </w:p>
        </w:tc>
        <w:tc>
          <w:tcPr>
            <w:tcW w:w="1949" w:type="dxa"/>
          </w:tcPr>
          <w:p w14:paraId="6B2F83FF"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0.8175</w:t>
            </w:r>
          </w:p>
        </w:tc>
        <w:tc>
          <w:tcPr>
            <w:tcW w:w="1949" w:type="dxa"/>
          </w:tcPr>
          <w:p w14:paraId="18E7C347"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0.7971</w:t>
            </w:r>
          </w:p>
        </w:tc>
        <w:tc>
          <w:tcPr>
            <w:tcW w:w="1949" w:type="dxa"/>
          </w:tcPr>
          <w:p w14:paraId="0E3B352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0.7973</w:t>
            </w:r>
          </w:p>
        </w:tc>
      </w:tr>
      <w:tr w:rsidR="00DA00EE" w:rsidRPr="00E32832" w14:paraId="71346910" w14:textId="77777777" w:rsidTr="00DA00EE">
        <w:tc>
          <w:tcPr>
            <w:tcW w:w="1949" w:type="dxa"/>
          </w:tcPr>
          <w:p w14:paraId="333DDFFE"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Gradient Boosting</w:t>
            </w:r>
          </w:p>
        </w:tc>
        <w:tc>
          <w:tcPr>
            <w:tcW w:w="1949" w:type="dxa"/>
          </w:tcPr>
          <w:p w14:paraId="67C6DD9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0.7684</w:t>
            </w:r>
          </w:p>
        </w:tc>
        <w:tc>
          <w:tcPr>
            <w:tcW w:w="1949" w:type="dxa"/>
          </w:tcPr>
          <w:p w14:paraId="53303DF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0.7686</w:t>
            </w:r>
          </w:p>
        </w:tc>
        <w:tc>
          <w:tcPr>
            <w:tcW w:w="1949" w:type="dxa"/>
          </w:tcPr>
          <w:p w14:paraId="7CC68246"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0.7427</w:t>
            </w:r>
          </w:p>
        </w:tc>
        <w:tc>
          <w:tcPr>
            <w:tcW w:w="1949" w:type="dxa"/>
          </w:tcPr>
          <w:p w14:paraId="6680AB31"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0.7427</w:t>
            </w:r>
          </w:p>
        </w:tc>
      </w:tr>
      <w:tr w:rsidR="00DA00EE" w:rsidRPr="00E32832" w14:paraId="4B85D70C" w14:textId="77777777" w:rsidTr="00DA00EE">
        <w:tc>
          <w:tcPr>
            <w:tcW w:w="1949" w:type="dxa"/>
          </w:tcPr>
          <w:p w14:paraId="02AF8B18"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Logistic Regression</w:t>
            </w:r>
          </w:p>
        </w:tc>
        <w:tc>
          <w:tcPr>
            <w:tcW w:w="1949" w:type="dxa"/>
          </w:tcPr>
          <w:p w14:paraId="2377C9FF"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0.7158</w:t>
            </w:r>
          </w:p>
        </w:tc>
        <w:tc>
          <w:tcPr>
            <w:tcW w:w="1949" w:type="dxa"/>
          </w:tcPr>
          <w:p w14:paraId="458D10E8"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0.7142</w:t>
            </w:r>
          </w:p>
        </w:tc>
        <w:tc>
          <w:tcPr>
            <w:tcW w:w="1949" w:type="dxa"/>
          </w:tcPr>
          <w:p w14:paraId="4FCE79E2"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0.6842</w:t>
            </w:r>
          </w:p>
        </w:tc>
        <w:tc>
          <w:tcPr>
            <w:tcW w:w="1949" w:type="dxa"/>
          </w:tcPr>
          <w:p w14:paraId="3F26B8A1"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0.6843</w:t>
            </w:r>
          </w:p>
        </w:tc>
      </w:tr>
      <w:tr w:rsidR="00DA00EE" w:rsidRPr="00E32832" w14:paraId="468DDBEC" w14:textId="77777777" w:rsidTr="00DA00EE">
        <w:tc>
          <w:tcPr>
            <w:tcW w:w="1949" w:type="dxa"/>
          </w:tcPr>
          <w:p w14:paraId="6897CA0A"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Decision Tree</w:t>
            </w:r>
          </w:p>
        </w:tc>
        <w:tc>
          <w:tcPr>
            <w:tcW w:w="1949" w:type="dxa"/>
          </w:tcPr>
          <w:p w14:paraId="222EC3F1"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0.6358</w:t>
            </w:r>
          </w:p>
        </w:tc>
        <w:tc>
          <w:tcPr>
            <w:tcW w:w="1949" w:type="dxa"/>
          </w:tcPr>
          <w:p w14:paraId="771FB403"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0.6373</w:t>
            </w:r>
          </w:p>
        </w:tc>
        <w:tc>
          <w:tcPr>
            <w:tcW w:w="1949" w:type="dxa"/>
          </w:tcPr>
          <w:p w14:paraId="1649D187"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0.5953</w:t>
            </w:r>
          </w:p>
        </w:tc>
        <w:tc>
          <w:tcPr>
            <w:tcW w:w="1949" w:type="dxa"/>
          </w:tcPr>
          <w:p w14:paraId="28F7D407"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0.5955</w:t>
            </w:r>
          </w:p>
        </w:tc>
      </w:tr>
      <w:tr w:rsidR="00DA00EE" w:rsidRPr="00E32832" w14:paraId="7063AE01" w14:textId="77777777" w:rsidTr="00DA00EE">
        <w:tc>
          <w:tcPr>
            <w:tcW w:w="1949" w:type="dxa"/>
          </w:tcPr>
          <w:p w14:paraId="4B3ABC3C"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Gaussian Naive Bayes</w:t>
            </w:r>
          </w:p>
        </w:tc>
        <w:tc>
          <w:tcPr>
            <w:tcW w:w="1949" w:type="dxa"/>
          </w:tcPr>
          <w:p w14:paraId="275418EC"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0.5828</w:t>
            </w:r>
          </w:p>
        </w:tc>
        <w:tc>
          <w:tcPr>
            <w:tcW w:w="1949" w:type="dxa"/>
          </w:tcPr>
          <w:p w14:paraId="604CE861"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0.5815</w:t>
            </w:r>
          </w:p>
        </w:tc>
        <w:tc>
          <w:tcPr>
            <w:tcW w:w="1949" w:type="dxa"/>
          </w:tcPr>
          <w:p w14:paraId="017BB87E"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0.5364</w:t>
            </w:r>
          </w:p>
        </w:tc>
        <w:tc>
          <w:tcPr>
            <w:tcW w:w="1949" w:type="dxa"/>
          </w:tcPr>
          <w:p w14:paraId="026178CB" w14:textId="77777777" w:rsidR="00DA00EE" w:rsidRPr="00E32832" w:rsidRDefault="00F84C4B" w:rsidP="00BA5D5D">
            <w:pPr>
              <w:jc w:val="both"/>
              <w:rPr>
                <w:rFonts w:ascii="Times New Roman" w:hAnsi="Times New Roman" w:cs="Times New Roman"/>
                <w:sz w:val="18"/>
                <w:szCs w:val="18"/>
              </w:rPr>
            </w:pPr>
            <w:r>
              <w:rPr>
                <w:rFonts w:ascii="Times New Roman" w:hAnsi="Times New Roman" w:cs="Times New Roman"/>
                <w:sz w:val="18"/>
                <w:szCs w:val="18"/>
              </w:rPr>
              <w:t>0.5369</w:t>
            </w:r>
          </w:p>
        </w:tc>
      </w:tr>
    </w:tbl>
    <w:p w14:paraId="3B1752C9" w14:textId="77777777" w:rsidR="001F0ABA" w:rsidRPr="00E32832" w:rsidRDefault="001F0ABA" w:rsidP="00BA5D5D">
      <w:pPr>
        <w:pStyle w:val="BodyText"/>
        <w:keepNext/>
        <w:jc w:val="both"/>
        <w:rPr>
          <w:rFonts w:ascii="Times New Roman" w:hAnsi="Times New Roman" w:cs="Times New Roman"/>
          <w:sz w:val="18"/>
          <w:szCs w:val="18"/>
        </w:rPr>
        <w:sectPr w:rsidR="001F0ABA" w:rsidRPr="00E32832" w:rsidSect="001F0ABA">
          <w:type w:val="continuous"/>
          <w:pgSz w:w="11906" w:h="16838"/>
          <w:pgMar w:top="1440" w:right="1080" w:bottom="1440" w:left="1080" w:header="708" w:footer="708" w:gutter="0"/>
          <w:cols w:space="360"/>
          <w:docGrid w:linePitch="360"/>
        </w:sectPr>
      </w:pPr>
    </w:p>
    <w:p w14:paraId="08CFC243" w14:textId="5A7E08B6" w:rsidR="00DA00EE" w:rsidRPr="00E32832" w:rsidRDefault="00F84C4B" w:rsidP="00BA5D5D">
      <w:pPr>
        <w:pStyle w:val="BodyText"/>
        <w:keepNext/>
        <w:jc w:val="both"/>
        <w:rPr>
          <w:rFonts w:ascii="Times New Roman" w:hAnsi="Times New Roman" w:cs="Times New Roman"/>
          <w:sz w:val="18"/>
          <w:szCs w:val="18"/>
        </w:rPr>
      </w:pPr>
      <w:r>
        <w:rPr>
          <w:rFonts w:ascii="Times New Roman" w:hAnsi="Times New Roman" w:cs="Times New Roman"/>
          <w:sz w:val="18"/>
          <w:szCs w:val="18"/>
        </w:rPr>
        <w:lastRenderedPageBreak/>
        <w:t xml:space="preserve">The crop identity task shows the same above chance pattern, ranging from 58.3% (Gaussian Naive Bayes) to 84.8% (kNN) against a 10.0% chance level  lower overall than the condition </w:t>
      </w:r>
      <w:r>
        <w:rPr>
          <w:rFonts w:ascii="Times New Roman" w:hAnsi="Times New Roman" w:cs="Times New Roman"/>
          <w:sz w:val="18"/>
          <w:szCs w:val="18"/>
        </w:rPr>
        <w:t>label task, consistent with crop identity being a coarser, less locally textured signal in these eleven descriptors than the condition label is, but still very far from chance for every model.</w:t>
      </w:r>
    </w:p>
    <w:p w14:paraId="255C44A1" w14:textId="77777777" w:rsidR="001F0ABA" w:rsidRPr="00E32832" w:rsidRDefault="001F0ABA" w:rsidP="001F0ABA">
      <w:pPr>
        <w:pStyle w:val="BodyText"/>
        <w:keepNext/>
        <w:keepLines/>
        <w:jc w:val="center"/>
        <w:rPr>
          <w:rFonts w:ascii="Times New Roman" w:hAnsi="Times New Roman" w:cs="Times New Roman"/>
          <w:b/>
          <w:bCs/>
          <w:sz w:val="18"/>
          <w:szCs w:val="18"/>
        </w:rPr>
        <w:sectPr w:rsidR="001F0ABA" w:rsidRPr="00E32832">
          <w:type w:val="continuous"/>
          <w:pgSz w:w="11906" w:h="16838"/>
          <w:pgMar w:top="1440" w:right="1080" w:bottom="1440" w:left="1080" w:header="708" w:footer="708" w:gutter="0"/>
          <w:cols w:num="2" w:space="360"/>
          <w:docGrid w:linePitch="360"/>
        </w:sectPr>
      </w:pPr>
    </w:p>
    <w:p w14:paraId="5FC1A87B" w14:textId="77777777" w:rsidR="00DA00EE" w:rsidRPr="00E32832" w:rsidRDefault="00F84C4B" w:rsidP="00BC51EB">
      <w:pPr>
        <w:pStyle w:val="Heading3"/>
        <w:rPr>
          <w:rFonts w:ascii="Times New Roman" w:hAnsi="Times New Roman" w:cs="Times New Roman"/>
          <w:color w:val="auto"/>
          <w:sz w:val="18"/>
          <w:szCs w:val="18"/>
        </w:rPr>
      </w:pPr>
      <w:bookmarkStart w:id="76" w:name="_Toc234738428"/>
      <w:r>
        <w:rPr>
          <w:rFonts w:ascii="Times New Roman" w:hAnsi="Times New Roman" w:cs="Times New Roman"/>
          <w:color w:val="auto"/>
          <w:sz w:val="18"/>
          <w:szCs w:val="18"/>
        </w:rPr>
        <w:t>6.5 Feature space structure check</w:t>
      </w:r>
      <w:bookmarkEnd w:id="76"/>
    </w:p>
    <w:p w14:paraId="23696847" w14:textId="77777777" w:rsidR="001F0ABA" w:rsidRPr="00E32832" w:rsidRDefault="001F0ABA" w:rsidP="00BA5D5D">
      <w:pPr>
        <w:pStyle w:val="BodyText"/>
        <w:jc w:val="both"/>
        <w:rPr>
          <w:rFonts w:ascii="Times New Roman" w:hAnsi="Times New Roman" w:cs="Times New Roman"/>
          <w:sz w:val="18"/>
          <w:szCs w:val="18"/>
        </w:rPr>
        <w:sectPr w:rsidR="001F0ABA" w:rsidRPr="00E32832" w:rsidSect="00BC51EB">
          <w:type w:val="continuous"/>
          <w:pgSz w:w="11906" w:h="16838"/>
          <w:pgMar w:top="1440" w:right="1080" w:bottom="1440" w:left="1080" w:header="708" w:footer="708" w:gutter="0"/>
          <w:cols w:num="2" w:space="360"/>
          <w:docGrid w:linePitch="360"/>
        </w:sectPr>
      </w:pPr>
    </w:p>
    <w:p w14:paraId="1DD22D5C"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As a final, label free check complementing Sections 6.3 6.4's supervised results, we confirm via Figure 9D that no pair of the eleven descriptor columns is a near duplicate of another (all pairwise |Pearson r| &lt; 0.9), so the strong classification accuracies above reflect genuine multivariate structure in the descriptor set rather than a single redundant, near copy feature leaking the label.</w:t>
      </w:r>
    </w:p>
    <w:p w14:paraId="2322D36D" w14:textId="77777777" w:rsidR="00DA00EE" w:rsidRPr="00E32832" w:rsidRDefault="00F84C4B" w:rsidP="00BA5D5D">
      <w:pPr>
        <w:pStyle w:val="Heading3"/>
        <w:jc w:val="both"/>
        <w:rPr>
          <w:rFonts w:ascii="Times New Roman" w:hAnsi="Times New Roman" w:cs="Times New Roman"/>
          <w:color w:val="auto"/>
          <w:sz w:val="18"/>
          <w:szCs w:val="18"/>
        </w:rPr>
      </w:pPr>
      <w:bookmarkStart w:id="77" w:name="_Toc234738429"/>
      <w:r>
        <w:rPr>
          <w:rFonts w:ascii="Times New Roman" w:hAnsi="Times New Roman" w:cs="Times New Roman"/>
          <w:color w:val="auto"/>
          <w:sz w:val="18"/>
          <w:szCs w:val="18"/>
        </w:rPr>
        <w:t>6.6 Interpretation</w:t>
      </w:r>
      <w:bookmarkEnd w:id="77"/>
    </w:p>
    <w:p w14:paraId="0A15CE7F" w14:textId="25ECF07A"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We report this above chance result deliberately and in full, in place of the null result an earlier draft of this section assumed, for two reasons consistent with this paper's stated Verifiable Reporting Framework purpose. First, it is itself evidence the pipeline's ml_classifier.py module, standard scikit learn estimators, and evaluation code execute correctly end to end: eight independent algorithms converge on a consistent, strongly above chance ranking (kNN and SVM at the top, Gaussian Naive Bayes and Decision Tree at the bottom on at least one task), which is the pattern expected of a well posed, learnable classification problem rather than a broken pipeline. Second, and more importantly for readers assessing what this establishes about real world crop disease diagnosis, this specific benchmark is run on a  reference file, and a  generator's numeric descriptor columns are frequently far more separable by construction than the same descriptors would be if measured on real photographs subject to lighting variation, occlusion, sensor noise, and natural class overlap. This benchmark therefore establishes that the software pipeline is functioning correctly and that its evaluation code faithfully measures whatever separability is present in a given file  not that classical hand crafted descriptors of this kind will achieve comparable accuracy on real field imagery. Section 6.9's separate benchmark, run on 1,578 real crop disease photographs rather than this  file, is the evidence relevant to that latter, real world question, and its more modest accuracy range (Section 6.10) is, if anything, the expected contrast with this section's  file result.</w:t>
      </w:r>
    </w:p>
    <w:p w14:paraId="019FA612" w14:textId="77777777" w:rsidR="00DA00EE" w:rsidRPr="00E32832" w:rsidRDefault="00F84C4B" w:rsidP="00BA5D5D">
      <w:pPr>
        <w:pStyle w:val="Heading3"/>
        <w:jc w:val="both"/>
        <w:rPr>
          <w:rFonts w:ascii="Times New Roman" w:hAnsi="Times New Roman" w:cs="Times New Roman"/>
          <w:color w:val="auto"/>
          <w:sz w:val="18"/>
          <w:szCs w:val="18"/>
        </w:rPr>
      </w:pPr>
      <w:bookmarkStart w:id="78" w:name="_Toc234738430"/>
      <w:r>
        <w:rPr>
          <w:rFonts w:ascii="Times New Roman" w:hAnsi="Times New Roman" w:cs="Times New Roman"/>
          <w:color w:val="auto"/>
          <w:sz w:val="18"/>
          <w:szCs w:val="18"/>
        </w:rPr>
        <w:t>6.7 Reproducibility Checklist for the Machine Learning Benchmark</w:t>
      </w:r>
      <w:bookmarkEnd w:id="78"/>
    </w:p>
    <w:p w14:paraId="64B2C266"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In keeping with this paper's Verifiable Reporting Framework standard, we document the exact protocol used to produce Sections 6.3 6.5: stratified 75/25 train/test split (random_state=42); StandardScaler fit on the training fold only; eight classifiers as listed in Section 6.2 with default scikit learn hyperparameters except where noted (kNN k=5; Random Forest 150 trees; MLP two hidden layers of 64 units, max_iter=300); SVM, MLP, and Gradient Boosting trained on a 5,000 row random subsample of the training fold for tractability, evaluated on the full test fold; metrics computed with scikit learn's accuracy_score, f1_score(average='macro'), cohen_kappa_score, and matthews_corrcoef. All code and the exact CSV file used are included in this submission's code and data package (Data and Code Availability section) so that every number in Tables 3 4 can be independently reproduced.</w:t>
      </w:r>
    </w:p>
    <w:p w14:paraId="38D8B64C" w14:textId="77777777" w:rsidR="00DA00EE" w:rsidRPr="00E32832" w:rsidRDefault="00F84C4B" w:rsidP="00BA5D5D">
      <w:pPr>
        <w:pStyle w:val="Heading3"/>
        <w:jc w:val="both"/>
        <w:rPr>
          <w:rFonts w:ascii="Times New Roman" w:hAnsi="Times New Roman" w:cs="Times New Roman"/>
          <w:color w:val="auto"/>
          <w:sz w:val="18"/>
          <w:szCs w:val="18"/>
        </w:rPr>
      </w:pPr>
      <w:bookmarkStart w:id="79" w:name="_Toc234738431"/>
      <w:r>
        <w:rPr>
          <w:rFonts w:ascii="Times New Roman" w:hAnsi="Times New Roman" w:cs="Times New Roman"/>
          <w:color w:val="auto"/>
          <w:sz w:val="18"/>
          <w:szCs w:val="18"/>
        </w:rPr>
        <w:t>6.8 Additional Computational Formulas Used Throughout This Paper</w:t>
      </w:r>
      <w:bookmarkEnd w:id="79"/>
    </w:p>
    <w:p w14:paraId="6CD64E7C"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This subsection collects, in explicit equation form, several quantities referred to descriptively in the main text (Sections 4.6, 6, and Table 6), so that every metric this paper reports has a fully specified mathematical definition.</w:t>
      </w:r>
    </w:p>
    <w:p w14:paraId="7FDDB227" w14:textId="568E0D6F"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For a </w:t>
      </w:r>
      <m:oMath>
        <m:r>
          <m:rPr>
            <m:sty m:val="p"/>
          </m:rPr>
          <w:rPr>
            <w:rFonts w:ascii="Cambria Math" w:hAnsi="Cambria Math" w:cs="Times New Roman"/>
            <w:sz w:val="18"/>
            <w:szCs w:val="18"/>
          </w:rPr>
          <m:t>C</m:t>
        </m:r>
      </m:oMath>
      <w:r>
        <w:rPr>
          <w:rFonts w:ascii="Times New Roman" w:hAnsi="Times New Roman" w:cs="Times New Roman"/>
          <w:sz w:val="18"/>
          <w:szCs w:val="18"/>
        </w:rPr>
        <w:t xml:space="preserve"> class problem with per class true positives </w:t>
      </w:r>
      <m:oMath>
        <m:r>
          <m:rPr>
            <m:sty m:val="p"/>
          </m:rPr>
          <w:rPr>
            <w:rFonts w:ascii="Cambria Math" w:hAnsi="Cambria Math" w:cs="Times New Roman"/>
            <w:sz w:val="18"/>
            <w:szCs w:val="18"/>
          </w:rPr>
          <m:t>T</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c</m:t>
            </m:r>
          </m:sub>
        </m:sSub>
      </m:oMath>
      <w:r>
        <w:rPr>
          <w:rFonts w:ascii="Times New Roman" w:hAnsi="Times New Roman" w:cs="Times New Roman"/>
          <w:sz w:val="18"/>
          <w:szCs w:val="18"/>
        </w:rPr>
        <w:t xml:space="preserve">, false positives </w:t>
      </w:r>
      <m:oMath>
        <m:r>
          <m:rPr>
            <m:sty m:val="p"/>
          </m:rPr>
          <w:rPr>
            <w:rFonts w:ascii="Cambria Math" w:hAnsi="Cambria Math" w:cs="Times New Roman"/>
            <w:sz w:val="18"/>
            <w:szCs w:val="18"/>
          </w:rPr>
          <m:t>F</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c</m:t>
            </m:r>
          </m:sub>
        </m:sSub>
      </m:oMath>
      <w:r>
        <w:rPr>
          <w:rFonts w:ascii="Times New Roman" w:hAnsi="Times New Roman" w:cs="Times New Roman"/>
          <w:sz w:val="18"/>
          <w:szCs w:val="18"/>
        </w:rPr>
        <w:t xml:space="preserve">, and false negatives </w:t>
      </w:r>
      <m:oMath>
        <m:r>
          <m:rPr>
            <m:sty m:val="p"/>
          </m:rPr>
          <w:rPr>
            <w:rFonts w:ascii="Cambria Math" w:hAnsi="Cambria Math" w:cs="Times New Roman"/>
            <w:sz w:val="18"/>
            <w:szCs w:val="18"/>
          </w:rPr>
          <m:t>F</m:t>
        </m:r>
        <m:sSub>
          <m:sSubPr>
            <m:ctrlPr>
              <w:rPr>
                <w:rFonts w:ascii="Cambria Math" w:hAnsi="Cambria Math" w:cs="Times New Roman"/>
                <w:sz w:val="18"/>
                <w:szCs w:val="18"/>
              </w:rPr>
            </m:ctrlPr>
          </m:sSubPr>
          <m:e>
            <m:r>
              <m:rPr>
                <m:sty m:val="p"/>
              </m:rPr>
              <w:rPr>
                <w:rFonts w:ascii="Cambria Math" w:hAnsi="Cambria Math" w:cs="Times New Roman"/>
                <w:sz w:val="18"/>
                <w:szCs w:val="18"/>
              </w:rPr>
              <m:t>N</m:t>
            </m:r>
          </m:e>
          <m:sub>
            <m:r>
              <m:rPr>
                <m:sty m:val="p"/>
              </m:rPr>
              <w:rPr>
                <w:rFonts w:ascii="Cambria Math" w:hAnsi="Cambria Math" w:cs="Times New Roman"/>
                <w:sz w:val="18"/>
                <w:szCs w:val="18"/>
              </w:rPr>
              <m:t>c</m:t>
            </m:r>
          </m:sub>
        </m:sSub>
      </m:oMath>
      <w:r>
        <w:rPr>
          <w:rFonts w:ascii="Times New Roman" w:hAnsi="Times New Roman" w:cs="Times New Roman"/>
          <w:sz w:val="18"/>
          <w:szCs w:val="18"/>
        </w:rPr>
        <w:t>, the macro averaged precision, recall, and F1 score used throughout Sections 4.6 and 6 are</w:t>
      </w:r>
    </w:p>
    <w:p w14:paraId="770889B6" w14:textId="18FBF5B8" w:rsidR="00DA00EE" w:rsidRPr="00E32832" w:rsidRDefault="00000000" w:rsidP="00BA5D5D">
      <w:pPr>
        <w:pStyle w:val="BodyText"/>
        <w:jc w:val="both"/>
        <w:rPr>
          <w:rFonts w:ascii="Times New Roman" w:hAnsi="Times New Roman" w:cs="Times New Roman"/>
          <w:sz w:val="18"/>
          <w:szCs w:val="18"/>
        </w:rPr>
      </w:pPr>
      <m:oMath>
        <m:sSub>
          <m:sSubPr>
            <m:ctrlPr>
              <w:rPr>
                <w:rFonts w:ascii="Cambria Math" w:hAnsi="Cambria Math" w:cs="Times New Roman"/>
                <w:sz w:val="18"/>
                <w:szCs w:val="18"/>
              </w:rPr>
            </m:ctrlPr>
          </m:sSubPr>
          <m:e>
            <m:r>
              <m:rPr>
                <m:nor/>
              </m:rPr>
              <w:rPr>
                <w:rFonts w:ascii="Times New Roman" w:hAnsi="Times New Roman" w:cs="Times New Roman"/>
                <w:sz w:val="18"/>
                <w:szCs w:val="18"/>
              </w:rPr>
              <m:t>Precision</m:t>
            </m:r>
          </m:e>
          <m:sub>
            <m:r>
              <m:rPr>
                <m:sty m:val="p"/>
              </m:rPr>
              <w:rPr>
                <w:rFonts w:ascii="Cambria Math" w:hAnsi="Cambria Math" w:cs="Times New Roman"/>
                <w:sz w:val="18"/>
                <w:szCs w:val="18"/>
              </w:rPr>
              <m:t>c</m:t>
            </m:r>
          </m:sub>
        </m:sSub>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T</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c</m:t>
                </m:r>
              </m:sub>
            </m:sSub>
          </m:num>
          <m:den>
            <m:r>
              <m:rPr>
                <m:sty m:val="p"/>
              </m:rPr>
              <w:rPr>
                <w:rFonts w:ascii="Cambria Math" w:hAnsi="Cambria Math" w:cs="Times New Roman"/>
                <w:sz w:val="18"/>
                <w:szCs w:val="18"/>
              </w:rPr>
              <m:t>T</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c</m:t>
                </m:r>
              </m:sub>
            </m:sSub>
            <m:r>
              <m:rPr>
                <m:sty m:val="p"/>
              </m:rPr>
              <w:rPr>
                <w:rFonts w:ascii="Cambria Math" w:hAnsi="Cambria Math" w:cs="Times New Roman"/>
                <w:sz w:val="18"/>
                <w:szCs w:val="18"/>
              </w:rPr>
              <m:t>+F</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c</m:t>
                </m:r>
              </m:sub>
            </m:sSub>
          </m:den>
        </m:f>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nor/>
              </m:rPr>
              <w:rPr>
                <w:rFonts w:ascii="Times New Roman" w:hAnsi="Times New Roman" w:cs="Times New Roman"/>
                <w:sz w:val="18"/>
                <w:szCs w:val="18"/>
              </w:rPr>
              <m:t>Recall</m:t>
            </m:r>
          </m:e>
          <m:sub>
            <m:r>
              <m:rPr>
                <m:sty m:val="p"/>
              </m:rPr>
              <w:rPr>
                <w:rFonts w:ascii="Cambria Math" w:hAnsi="Cambria Math" w:cs="Times New Roman"/>
                <w:sz w:val="18"/>
                <w:szCs w:val="18"/>
              </w:rPr>
              <m:t>c</m:t>
            </m:r>
          </m:sub>
        </m:sSub>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T</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c</m:t>
                </m:r>
              </m:sub>
            </m:sSub>
          </m:num>
          <m:den>
            <m:r>
              <m:rPr>
                <m:sty m:val="p"/>
              </m:rPr>
              <w:rPr>
                <w:rFonts w:ascii="Cambria Math" w:hAnsi="Cambria Math" w:cs="Times New Roman"/>
                <w:sz w:val="18"/>
                <w:szCs w:val="18"/>
              </w:rPr>
              <m:t>T</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c</m:t>
                </m:r>
              </m:sub>
            </m:sSub>
            <m:r>
              <m:rPr>
                <m:sty m:val="p"/>
              </m:rPr>
              <w:rPr>
                <w:rFonts w:ascii="Cambria Math" w:hAnsi="Cambria Math" w:cs="Times New Roman"/>
                <w:sz w:val="18"/>
                <w:szCs w:val="18"/>
              </w:rPr>
              <m:t>+F</m:t>
            </m:r>
            <m:sSub>
              <m:sSubPr>
                <m:ctrlPr>
                  <w:rPr>
                    <w:rFonts w:ascii="Cambria Math" w:hAnsi="Cambria Math" w:cs="Times New Roman"/>
                    <w:sz w:val="18"/>
                    <w:szCs w:val="18"/>
                  </w:rPr>
                </m:ctrlPr>
              </m:sSubPr>
              <m:e>
                <m:r>
                  <m:rPr>
                    <m:sty m:val="p"/>
                  </m:rPr>
                  <w:rPr>
                    <w:rFonts w:ascii="Cambria Math" w:hAnsi="Cambria Math" w:cs="Times New Roman"/>
                    <w:sz w:val="18"/>
                    <w:szCs w:val="18"/>
                  </w:rPr>
                  <m:t>N</m:t>
                </m:r>
              </m:e>
              <m:sub>
                <m:r>
                  <m:rPr>
                    <m:sty m:val="p"/>
                  </m:rPr>
                  <w:rPr>
                    <w:rFonts w:ascii="Cambria Math" w:hAnsi="Cambria Math" w:cs="Times New Roman"/>
                    <w:sz w:val="18"/>
                    <w:szCs w:val="18"/>
                  </w:rPr>
                  <m:t>c</m:t>
                </m:r>
              </m:sub>
            </m:sSub>
          </m:den>
        </m:f>
        <m:r>
          <m:rPr>
            <m:sty m:val="p"/>
          </m:rPr>
          <w:rPr>
            <w:rFonts w:ascii="Cambria Math" w:hAnsi="Cambria Math" w:cs="Times New Roman"/>
            <w:sz w:val="18"/>
            <w:szCs w:val="18"/>
          </w:rPr>
          <m:t>,  F</m:t>
        </m:r>
        <m:sSub>
          <m:sSubPr>
            <m:ctrlPr>
              <w:rPr>
                <w:rFonts w:ascii="Cambria Math" w:hAnsi="Cambria Math" w:cs="Times New Roman"/>
                <w:sz w:val="18"/>
                <w:szCs w:val="18"/>
              </w:rPr>
            </m:ctrlPr>
          </m:sSubPr>
          <m:e>
            <m:r>
              <m:rPr>
                <m:sty m:val="p"/>
              </m:rPr>
              <w:rPr>
                <w:rFonts w:ascii="Cambria Math" w:hAnsi="Cambria Math" w:cs="Times New Roman"/>
                <w:sz w:val="18"/>
                <w:szCs w:val="18"/>
              </w:rPr>
              <m:t>1</m:t>
            </m:r>
          </m:e>
          <m:sub>
            <m:r>
              <m:rPr>
                <m:sty m:val="p"/>
              </m:rPr>
              <w:rPr>
                <w:rFonts w:ascii="Cambria Math" w:hAnsi="Cambria Math" w:cs="Times New Roman"/>
                <w:sz w:val="18"/>
                <w:szCs w:val="18"/>
              </w:rPr>
              <m:t>c</m:t>
            </m:r>
          </m:sub>
        </m:sSub>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2⋅</m:t>
            </m:r>
            <m:sSub>
              <m:sSubPr>
                <m:ctrlPr>
                  <w:rPr>
                    <w:rFonts w:ascii="Cambria Math" w:hAnsi="Cambria Math" w:cs="Times New Roman"/>
                    <w:sz w:val="18"/>
                    <w:szCs w:val="18"/>
                  </w:rPr>
                </m:ctrlPr>
              </m:sSubPr>
              <m:e>
                <m:r>
                  <m:rPr>
                    <m:nor/>
                  </m:rPr>
                  <w:rPr>
                    <w:rFonts w:ascii="Times New Roman" w:hAnsi="Times New Roman" w:cs="Times New Roman"/>
                    <w:sz w:val="18"/>
                    <w:szCs w:val="18"/>
                  </w:rPr>
                  <m:t>Precision</m:t>
                </m:r>
              </m:e>
              <m:sub>
                <m:r>
                  <m:rPr>
                    <m:sty m:val="p"/>
                  </m:rPr>
                  <w:rPr>
                    <w:rFonts w:ascii="Cambria Math" w:hAnsi="Cambria Math" w:cs="Times New Roman"/>
                    <w:sz w:val="18"/>
                    <w:szCs w:val="18"/>
                  </w:rPr>
                  <m:t>c</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nor/>
                  </m:rPr>
                  <w:rPr>
                    <w:rFonts w:ascii="Times New Roman" w:hAnsi="Times New Roman" w:cs="Times New Roman"/>
                    <w:sz w:val="18"/>
                    <w:szCs w:val="18"/>
                  </w:rPr>
                  <m:t>Recall</m:t>
                </m:r>
              </m:e>
              <m:sub>
                <m:r>
                  <m:rPr>
                    <m:sty m:val="p"/>
                  </m:rPr>
                  <w:rPr>
                    <w:rFonts w:ascii="Cambria Math" w:hAnsi="Cambria Math" w:cs="Times New Roman"/>
                    <w:sz w:val="18"/>
                    <w:szCs w:val="18"/>
                  </w:rPr>
                  <m:t>c</m:t>
                </m:r>
              </m:sub>
            </m:sSub>
          </m:num>
          <m:den>
            <m:sSub>
              <m:sSubPr>
                <m:ctrlPr>
                  <w:rPr>
                    <w:rFonts w:ascii="Cambria Math" w:hAnsi="Cambria Math" w:cs="Times New Roman"/>
                    <w:sz w:val="18"/>
                    <w:szCs w:val="18"/>
                  </w:rPr>
                </m:ctrlPr>
              </m:sSubPr>
              <m:e>
                <m:r>
                  <m:rPr>
                    <m:nor/>
                  </m:rPr>
                  <w:rPr>
                    <w:rFonts w:ascii="Times New Roman" w:hAnsi="Times New Roman" w:cs="Times New Roman"/>
                    <w:sz w:val="18"/>
                    <w:szCs w:val="18"/>
                  </w:rPr>
                  <m:t>Precision</m:t>
                </m:r>
              </m:e>
              <m:sub>
                <m:r>
                  <m:rPr>
                    <m:sty m:val="p"/>
                  </m:rPr>
                  <w:rPr>
                    <w:rFonts w:ascii="Cambria Math" w:hAnsi="Cambria Math" w:cs="Times New Roman"/>
                    <w:sz w:val="18"/>
                    <w:szCs w:val="18"/>
                  </w:rPr>
                  <m:t>c</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nor/>
                  </m:rPr>
                  <w:rPr>
                    <w:rFonts w:ascii="Times New Roman" w:hAnsi="Times New Roman" w:cs="Times New Roman"/>
                    <w:sz w:val="18"/>
                    <w:szCs w:val="18"/>
                  </w:rPr>
                  <m:t>Recall</m:t>
                </m:r>
              </m:e>
              <m:sub>
                <m:r>
                  <m:rPr>
                    <m:sty m:val="p"/>
                  </m:rPr>
                  <w:rPr>
                    <w:rFonts w:ascii="Cambria Math" w:hAnsi="Cambria Math" w:cs="Times New Roman"/>
                    <w:sz w:val="18"/>
                    <w:szCs w:val="18"/>
                  </w:rPr>
                  <m:t>c</m:t>
                </m:r>
              </m:sub>
            </m:sSub>
          </m:den>
        </m:f>
      </m:oMath>
      <w:r>
        <w:rPr>
          <w:rFonts w:ascii="Times New Roman" w:hAnsi="Times New Roman" w:cs="Times New Roman"/>
          <w:b/>
          <w:sz w:val="18"/>
          <w:szCs w:val="18"/>
        </w:rPr>
        <w:t xml:space="preserve">  (18)</w:t>
      </w:r>
    </w:p>
    <w:p w14:paraId="1D97FB96" w14:textId="1F0B099B" w:rsidR="00DA00EE" w:rsidRPr="00E32832" w:rsidRDefault="00F84C4B" w:rsidP="00BA5D5D">
      <w:pPr>
        <w:pStyle w:val="BodyText"/>
        <w:jc w:val="both"/>
        <w:rPr>
          <w:rFonts w:ascii="Times New Roman" w:hAnsi="Times New Roman" w:cs="Times New Roman"/>
          <w:sz w:val="18"/>
          <w:szCs w:val="18"/>
        </w:rPr>
      </w:pPr>
      <m:oMath>
        <m:r>
          <m:rPr>
            <m:nor/>
          </m:rPr>
          <w:rPr>
            <w:rFonts w:ascii="Times New Roman" w:hAnsi="Times New Roman" w:cs="Times New Roman"/>
            <w:sz w:val="18"/>
            <w:szCs w:val="18"/>
          </w:rPr>
          <m:t>Macro Precision</m:t>
        </m:r>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r>
              <m:rPr>
                <m:sty m:val="p"/>
              </m:rPr>
              <w:rPr>
                <w:rFonts w:ascii="Cambria Math" w:hAnsi="Cambria Math" w:cs="Times New Roman"/>
                <w:sz w:val="18"/>
                <w:szCs w:val="18"/>
              </w:rPr>
              <m:t>C</m:t>
            </m:r>
          </m:den>
        </m:f>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c=1</m:t>
            </m:r>
          </m:sub>
          <m:sup>
            <m:r>
              <m:rPr>
                <m:sty m:val="p"/>
              </m:rPr>
              <w:rPr>
                <w:rFonts w:ascii="Cambria Math" w:hAnsi="Cambria Math" w:cs="Times New Roman"/>
                <w:sz w:val="18"/>
                <w:szCs w:val="18"/>
              </w:rPr>
              <m:t>C</m:t>
            </m:r>
          </m:sup>
          <m:e>
            <m:sSub>
              <m:sSubPr>
                <m:ctrlPr>
                  <w:rPr>
                    <w:rFonts w:ascii="Cambria Math" w:hAnsi="Cambria Math" w:cs="Times New Roman"/>
                    <w:sz w:val="18"/>
                    <w:szCs w:val="18"/>
                  </w:rPr>
                </m:ctrlPr>
              </m:sSubPr>
              <m:e>
                <m:r>
                  <m:rPr>
                    <m:nor/>
                  </m:rPr>
                  <w:rPr>
                    <w:rFonts w:ascii="Times New Roman" w:hAnsi="Times New Roman" w:cs="Times New Roman"/>
                    <w:sz w:val="18"/>
                    <w:szCs w:val="18"/>
                  </w:rPr>
                  <m:t>Precision</m:t>
                </m:r>
              </m:e>
              <m:sub>
                <m:r>
                  <m:rPr>
                    <m:sty m:val="p"/>
                  </m:rPr>
                  <w:rPr>
                    <w:rFonts w:ascii="Cambria Math" w:hAnsi="Cambria Math" w:cs="Times New Roman"/>
                    <w:sz w:val="18"/>
                    <w:szCs w:val="18"/>
                  </w:rPr>
                  <m:t>c</m:t>
                </m:r>
              </m:sub>
            </m:sSub>
          </m:e>
        </m:nary>
        <m:r>
          <m:rPr>
            <m:sty m:val="p"/>
          </m:rPr>
          <w:rPr>
            <w:rFonts w:ascii="Cambria Math" w:hAnsi="Cambria Math" w:cs="Times New Roman"/>
            <w:sz w:val="18"/>
            <w:szCs w:val="18"/>
          </w:rPr>
          <m:t>,  </m:t>
        </m:r>
        <m:r>
          <m:rPr>
            <m:nor/>
          </m:rPr>
          <w:rPr>
            <w:rFonts w:ascii="Times New Roman" w:hAnsi="Times New Roman" w:cs="Times New Roman"/>
            <w:sz w:val="18"/>
            <w:szCs w:val="18"/>
          </w:rPr>
          <m:t>Macro Recall</m:t>
        </m:r>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r>
              <m:rPr>
                <m:sty m:val="p"/>
              </m:rPr>
              <w:rPr>
                <w:rFonts w:ascii="Cambria Math" w:hAnsi="Cambria Math" w:cs="Times New Roman"/>
                <w:sz w:val="18"/>
                <w:szCs w:val="18"/>
              </w:rPr>
              <m:t>C</m:t>
            </m:r>
          </m:den>
        </m:f>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c=1</m:t>
            </m:r>
          </m:sub>
          <m:sup>
            <m:r>
              <m:rPr>
                <m:sty m:val="p"/>
              </m:rPr>
              <w:rPr>
                <w:rFonts w:ascii="Cambria Math" w:hAnsi="Cambria Math" w:cs="Times New Roman"/>
                <w:sz w:val="18"/>
                <w:szCs w:val="18"/>
              </w:rPr>
              <m:t>C</m:t>
            </m:r>
          </m:sup>
          <m:e>
            <m:sSub>
              <m:sSubPr>
                <m:ctrlPr>
                  <w:rPr>
                    <w:rFonts w:ascii="Cambria Math" w:hAnsi="Cambria Math" w:cs="Times New Roman"/>
                    <w:sz w:val="18"/>
                    <w:szCs w:val="18"/>
                  </w:rPr>
                </m:ctrlPr>
              </m:sSubPr>
              <m:e>
                <m:r>
                  <m:rPr>
                    <m:nor/>
                  </m:rPr>
                  <w:rPr>
                    <w:rFonts w:ascii="Times New Roman" w:hAnsi="Times New Roman" w:cs="Times New Roman"/>
                    <w:sz w:val="18"/>
                    <w:szCs w:val="18"/>
                  </w:rPr>
                  <m:t>Recall</m:t>
                </m:r>
              </m:e>
              <m:sub>
                <m:r>
                  <m:rPr>
                    <m:sty m:val="p"/>
                  </m:rPr>
                  <w:rPr>
                    <w:rFonts w:ascii="Cambria Math" w:hAnsi="Cambria Math" w:cs="Times New Roman"/>
                    <w:sz w:val="18"/>
                    <w:szCs w:val="18"/>
                  </w:rPr>
                  <m:t>c</m:t>
                </m:r>
              </m:sub>
            </m:sSub>
          </m:e>
        </m:nary>
        <m:r>
          <m:rPr>
            <m:sty m:val="p"/>
          </m:rPr>
          <w:rPr>
            <w:rFonts w:ascii="Cambria Math" w:hAnsi="Cambria Math" w:cs="Times New Roman"/>
            <w:sz w:val="18"/>
            <w:szCs w:val="18"/>
          </w:rPr>
          <m:t>,  </m:t>
        </m:r>
        <m:r>
          <m:rPr>
            <m:nor/>
          </m:rPr>
          <w:rPr>
            <w:rFonts w:ascii="Times New Roman" w:hAnsi="Times New Roman" w:cs="Times New Roman"/>
            <w:sz w:val="18"/>
            <w:szCs w:val="18"/>
          </w:rPr>
          <m:t>Macro F1</m:t>
        </m:r>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r>
              <m:rPr>
                <m:sty m:val="p"/>
              </m:rPr>
              <w:rPr>
                <w:rFonts w:ascii="Cambria Math" w:hAnsi="Cambria Math" w:cs="Times New Roman"/>
                <w:sz w:val="18"/>
                <w:szCs w:val="18"/>
              </w:rPr>
              <m:t>C</m:t>
            </m:r>
          </m:den>
        </m:f>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c=1</m:t>
            </m:r>
          </m:sub>
          <m:sup>
            <m:r>
              <m:rPr>
                <m:sty m:val="p"/>
              </m:rPr>
              <w:rPr>
                <w:rFonts w:ascii="Cambria Math" w:hAnsi="Cambria Math" w:cs="Times New Roman"/>
                <w:sz w:val="18"/>
                <w:szCs w:val="18"/>
              </w:rPr>
              <m:t>C</m:t>
            </m:r>
          </m:sup>
          <m:e>
            <m:r>
              <m:rPr>
                <m:sty m:val="p"/>
              </m:rPr>
              <w:rPr>
                <w:rFonts w:ascii="Cambria Math" w:hAnsi="Cambria Math" w:cs="Times New Roman"/>
                <w:sz w:val="18"/>
                <w:szCs w:val="18"/>
              </w:rPr>
              <m:t>F</m:t>
            </m:r>
          </m:e>
        </m:nary>
        <m:sSub>
          <m:sSubPr>
            <m:ctrlPr>
              <w:rPr>
                <w:rFonts w:ascii="Cambria Math" w:hAnsi="Cambria Math" w:cs="Times New Roman"/>
                <w:sz w:val="18"/>
                <w:szCs w:val="18"/>
              </w:rPr>
            </m:ctrlPr>
          </m:sSubPr>
          <m:e>
            <m:r>
              <m:rPr>
                <m:sty m:val="p"/>
              </m:rPr>
              <w:rPr>
                <w:rFonts w:ascii="Cambria Math" w:hAnsi="Cambria Math" w:cs="Times New Roman"/>
                <w:sz w:val="18"/>
                <w:szCs w:val="18"/>
              </w:rPr>
              <m:t>1</m:t>
            </m:r>
          </m:e>
          <m:sub>
            <m:r>
              <m:rPr>
                <m:sty m:val="p"/>
              </m:rPr>
              <w:rPr>
                <w:rFonts w:ascii="Cambria Math" w:hAnsi="Cambria Math" w:cs="Times New Roman"/>
                <w:sz w:val="18"/>
                <w:szCs w:val="18"/>
              </w:rPr>
              <m:t>c</m:t>
            </m:r>
          </m:sub>
        </m:sSub>
      </m:oMath>
      <w:r>
        <w:rPr>
          <w:rFonts w:ascii="Times New Roman" w:hAnsi="Times New Roman" w:cs="Times New Roman"/>
          <w:b/>
          <w:sz w:val="18"/>
          <w:szCs w:val="18"/>
        </w:rPr>
        <w:t xml:space="preserve">  (19)</w:t>
      </w:r>
    </w:p>
    <w:p w14:paraId="6A9B75B1"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Macro averaging weights every class equally regardless of its support, which is the appropriate choice for Section 6’s benchmark given the near uniform class sizes across the 15 crop and 50 disease categories.</w:t>
      </w:r>
    </w:p>
    <w:p w14:paraId="19402384" w14:textId="7E188BD2"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Cohen’s kappa (</w:t>
      </w:r>
      <w:hyperlink w:anchor="ref-cohen1960">
        <w:r>
          <w:rPr>
            <w:rStyle w:val="Hyperlink"/>
            <w:rFonts w:ascii="Times New Roman" w:hAnsi="Times New Roman" w:cs="Times New Roman"/>
            <w:sz w:val="18"/>
            <w:szCs w:val="18"/>
          </w:rPr>
          <w:t>Cohen 1960</w:t>
        </w:r>
      </w:hyperlink>
      <w:r>
        <w:rPr>
          <w:rFonts w:ascii="Times New Roman" w:hAnsi="Times New Roman" w:cs="Times New Roman"/>
          <w:sz w:val="18"/>
          <w:szCs w:val="18"/>
        </w:rPr>
        <w:t xml:space="preserve">) corrects observed agreement </w:t>
      </w:r>
      <m:oMath>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o</m:t>
            </m:r>
          </m:sub>
        </m:sSub>
      </m:oMath>
      <w:r>
        <w:rPr>
          <w:rFonts w:ascii="Times New Roman" w:hAnsi="Times New Roman" w:cs="Times New Roman"/>
          <w:sz w:val="18"/>
          <w:szCs w:val="18"/>
        </w:rPr>
        <w:t xml:space="preserve"> (raw accuracy) for the agreement </w:t>
      </w:r>
      <m:oMath>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e</m:t>
            </m:r>
          </m:sub>
        </m:sSub>
      </m:oMath>
      <w:r>
        <w:rPr>
          <w:rFonts w:ascii="Times New Roman" w:hAnsi="Times New Roman" w:cs="Times New Roman"/>
          <w:sz w:val="18"/>
          <w:szCs w:val="18"/>
        </w:rPr>
        <w:t xml:space="preserve"> expected by chance given the marginal class distributions:</w:t>
      </w:r>
    </w:p>
    <w:p w14:paraId="4C9F2F5B" w14:textId="67F7A218" w:rsidR="00DA00EE" w:rsidRPr="00E32832" w:rsidRDefault="00E32832" w:rsidP="00BA5D5D">
      <w:pPr>
        <w:pStyle w:val="BodyText"/>
        <w:jc w:val="both"/>
        <w:rPr>
          <w:rFonts w:ascii="Times New Roman" w:hAnsi="Times New Roman" w:cs="Times New Roman"/>
          <w:sz w:val="18"/>
          <w:szCs w:val="18"/>
        </w:rPr>
      </w:pPr>
      <m:oMath>
        <m:r>
          <m:rPr>
            <m:sty m:val="p"/>
          </m:rPr>
          <w:rPr>
            <w:rFonts w:ascii="Cambria Math" w:hAnsi="Cambria Math" w:cs="Times New Roman"/>
            <w:sz w:val="18"/>
            <w:szCs w:val="18"/>
          </w:rPr>
          <m:t>κ=</m:t>
        </m:r>
        <m:f>
          <m:fPr>
            <m:ctrlPr>
              <w:rPr>
                <w:rFonts w:ascii="Cambria Math" w:hAnsi="Cambria Math" w:cs="Times New Roman"/>
                <w:sz w:val="18"/>
                <w:szCs w:val="18"/>
              </w:rPr>
            </m:ctrlPr>
          </m:fPr>
          <m:num>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o</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e</m:t>
                </m:r>
              </m:sub>
            </m:sSub>
          </m:num>
          <m:den>
            <m:r>
              <m:rPr>
                <m:sty m:val="p"/>
              </m:rPr>
              <w:rPr>
                <w:rFonts w:ascii="Cambria Math" w:hAnsi="Cambria Math" w:cs="Times New Roman"/>
                <w:sz w:val="18"/>
                <w:szCs w:val="18"/>
              </w:rPr>
              <m:t>1-</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e</m:t>
                </m:r>
              </m:sub>
            </m:sSub>
          </m:den>
        </m:f>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p</m:t>
            </m:r>
          </m:e>
          <m:sub>
            <m:r>
              <m:rPr>
                <m:sty m:val="p"/>
              </m:rPr>
              <w:rPr>
                <w:rFonts w:ascii="Cambria Math" w:hAnsi="Cambria Math" w:cs="Times New Roman"/>
                <w:sz w:val="18"/>
                <w:szCs w:val="18"/>
              </w:rPr>
              <m:t>e</m:t>
            </m:r>
          </m:sub>
        </m:sSub>
        <m:r>
          <m:rPr>
            <m:sty m:val="p"/>
          </m:rPr>
          <w:rPr>
            <w:rFonts w:ascii="Cambria Math" w:hAnsi="Cambria Math" w:cs="Times New Roman"/>
            <w:sz w:val="18"/>
            <w:szCs w:val="18"/>
          </w:rPr>
          <m:t>=</m:t>
        </m:r>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c=1</m:t>
            </m:r>
          </m:sub>
          <m:sup>
            <m:r>
              <m:rPr>
                <m:sty m:val="p"/>
              </m:rPr>
              <w:rPr>
                <w:rFonts w:ascii="Cambria Math" w:hAnsi="Cambria Math" w:cs="Times New Roman"/>
                <w:sz w:val="18"/>
                <w:szCs w:val="18"/>
              </w:rPr>
              <m:t>C</m:t>
            </m:r>
          </m:sup>
          <m:e>
            <m:f>
              <m:fPr>
                <m:ctrlPr>
                  <w:rPr>
                    <w:rFonts w:ascii="Cambria Math" w:hAnsi="Cambria Math" w:cs="Times New Roman"/>
                    <w:sz w:val="18"/>
                    <w:szCs w:val="18"/>
                  </w:rPr>
                </m:ctrlPr>
              </m:fPr>
              <m:num>
                <m:sSub>
                  <m:sSubPr>
                    <m:ctrlPr>
                      <w:rPr>
                        <w:rFonts w:ascii="Cambria Math" w:hAnsi="Cambria Math" w:cs="Times New Roman"/>
                        <w:sz w:val="18"/>
                        <w:szCs w:val="18"/>
                      </w:rPr>
                    </m:ctrlPr>
                  </m:sSubPr>
                  <m:e>
                    <m:r>
                      <m:rPr>
                        <m:sty m:val="p"/>
                      </m:rPr>
                      <w:rPr>
                        <w:rFonts w:ascii="Cambria Math" w:hAnsi="Cambria Math" w:cs="Times New Roman"/>
                        <w:sz w:val="18"/>
                        <w:szCs w:val="18"/>
                      </w:rPr>
                      <m:t>n</m:t>
                    </m:r>
                  </m:e>
                  <m:sub>
                    <m:r>
                      <m:rPr>
                        <m:sty m:val="p"/>
                      </m:rPr>
                      <w:rPr>
                        <w:rFonts w:ascii="Cambria Math" w:hAnsi="Cambria Math" w:cs="Times New Roman"/>
                        <w:sz w:val="18"/>
                        <w:szCs w:val="18"/>
                      </w:rPr>
                      <m:t>c,</m:t>
                    </m:r>
                    <m:r>
                      <m:rPr>
                        <m:nor/>
                      </m:rPr>
                      <w:rPr>
                        <w:rFonts w:ascii="Times New Roman" w:hAnsi="Times New Roman" w:cs="Times New Roman"/>
                        <w:sz w:val="18"/>
                        <w:szCs w:val="18"/>
                      </w:rPr>
                      <m:t>true</m:t>
                    </m:r>
                  </m:sub>
                </m:sSub>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n</m:t>
                    </m:r>
                  </m:e>
                  <m:sub>
                    <m:r>
                      <m:rPr>
                        <m:sty m:val="p"/>
                      </m:rPr>
                      <w:rPr>
                        <w:rFonts w:ascii="Cambria Math" w:hAnsi="Cambria Math" w:cs="Times New Roman"/>
                        <w:sz w:val="18"/>
                        <w:szCs w:val="18"/>
                      </w:rPr>
                      <m:t>c,</m:t>
                    </m:r>
                    <m:r>
                      <m:rPr>
                        <m:nor/>
                      </m:rPr>
                      <w:rPr>
                        <w:rFonts w:ascii="Times New Roman" w:hAnsi="Times New Roman" w:cs="Times New Roman"/>
                        <w:sz w:val="18"/>
                        <w:szCs w:val="18"/>
                      </w:rPr>
                      <m:t>pred</m:t>
                    </m:r>
                  </m:sub>
                </m:sSub>
              </m:num>
              <m:den>
                <m:sSup>
                  <m:sSupPr>
                    <m:ctrlPr>
                      <w:rPr>
                        <w:rFonts w:ascii="Cambria Math" w:hAnsi="Cambria Math" w:cs="Times New Roman"/>
                        <w:sz w:val="18"/>
                        <w:szCs w:val="18"/>
                      </w:rPr>
                    </m:ctrlPr>
                  </m:sSupPr>
                  <m:e>
                    <m:r>
                      <m:rPr>
                        <m:sty m:val="p"/>
                      </m:rPr>
                      <w:rPr>
                        <w:rFonts w:ascii="Cambria Math" w:hAnsi="Cambria Math" w:cs="Times New Roman"/>
                        <w:sz w:val="18"/>
                        <w:szCs w:val="18"/>
                      </w:rPr>
                      <m:t>n</m:t>
                    </m:r>
                  </m:e>
                  <m:sup>
                    <m:r>
                      <m:rPr>
                        <m:sty m:val="p"/>
                      </m:rPr>
                      <w:rPr>
                        <w:rFonts w:ascii="Cambria Math" w:hAnsi="Cambria Math" w:cs="Times New Roman"/>
                        <w:sz w:val="18"/>
                        <w:szCs w:val="18"/>
                      </w:rPr>
                      <m:t>2</m:t>
                    </m:r>
                  </m:sup>
                </m:sSup>
              </m:den>
            </m:f>
          </m:e>
        </m:nary>
      </m:oMath>
      <w:r>
        <w:rPr>
          <w:rFonts w:ascii="Times New Roman" w:hAnsi="Times New Roman" w:cs="Times New Roman"/>
          <w:b/>
          <w:sz w:val="18"/>
          <w:szCs w:val="18"/>
        </w:rPr>
        <w:t xml:space="preserve">  (20)</w:t>
      </w:r>
    </w:p>
    <w:p w14:paraId="11E89CF0" w14:textId="5B13205A"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where </w:t>
      </w:r>
      <m:oMath>
        <m:sSub>
          <m:sSubPr>
            <m:ctrlPr>
              <w:rPr>
                <w:rFonts w:ascii="Cambria Math" w:hAnsi="Cambria Math" w:cs="Times New Roman"/>
                <w:sz w:val="18"/>
                <w:szCs w:val="18"/>
              </w:rPr>
            </m:ctrlPr>
          </m:sSubPr>
          <m:e>
            <m:r>
              <m:rPr>
                <m:sty m:val="p"/>
              </m:rPr>
              <w:rPr>
                <w:rFonts w:ascii="Cambria Math" w:hAnsi="Cambria Math" w:cs="Times New Roman"/>
                <w:sz w:val="18"/>
                <w:szCs w:val="18"/>
              </w:rPr>
              <m:t>n</m:t>
            </m:r>
          </m:e>
          <m:sub>
            <m:r>
              <m:rPr>
                <m:sty m:val="p"/>
              </m:rPr>
              <w:rPr>
                <w:rFonts w:ascii="Cambria Math" w:hAnsi="Cambria Math" w:cs="Times New Roman"/>
                <w:sz w:val="18"/>
                <w:szCs w:val="18"/>
              </w:rPr>
              <m:t>c,</m:t>
            </m:r>
            <m:r>
              <m:rPr>
                <m:nor/>
              </m:rPr>
              <w:rPr>
                <w:rFonts w:ascii="Times New Roman" w:hAnsi="Times New Roman" w:cs="Times New Roman"/>
                <w:sz w:val="18"/>
                <w:szCs w:val="18"/>
              </w:rPr>
              <m:t>true</m:t>
            </m:r>
          </m:sub>
        </m:sSub>
      </m:oMath>
      <w:r>
        <w:rPr>
          <w:rFonts w:ascii="Times New Roman" w:hAnsi="Times New Roman" w:cs="Times New Roman"/>
          <w:sz w:val="18"/>
          <w:szCs w:val="18"/>
        </w:rPr>
        <w:t xml:space="preserve"> and </w:t>
      </w:r>
      <m:oMath>
        <m:sSub>
          <m:sSubPr>
            <m:ctrlPr>
              <w:rPr>
                <w:rFonts w:ascii="Cambria Math" w:hAnsi="Cambria Math" w:cs="Times New Roman"/>
                <w:sz w:val="18"/>
                <w:szCs w:val="18"/>
              </w:rPr>
            </m:ctrlPr>
          </m:sSubPr>
          <m:e>
            <m:r>
              <m:rPr>
                <m:sty m:val="p"/>
              </m:rPr>
              <w:rPr>
                <w:rFonts w:ascii="Cambria Math" w:hAnsi="Cambria Math" w:cs="Times New Roman"/>
                <w:sz w:val="18"/>
                <w:szCs w:val="18"/>
              </w:rPr>
              <m:t>n</m:t>
            </m:r>
          </m:e>
          <m:sub>
            <m:r>
              <m:rPr>
                <m:sty m:val="p"/>
              </m:rPr>
              <w:rPr>
                <w:rFonts w:ascii="Cambria Math" w:hAnsi="Cambria Math" w:cs="Times New Roman"/>
                <w:sz w:val="18"/>
                <w:szCs w:val="18"/>
              </w:rPr>
              <m:t>c,</m:t>
            </m:r>
            <m:r>
              <m:rPr>
                <m:nor/>
              </m:rPr>
              <w:rPr>
                <w:rFonts w:ascii="Times New Roman" w:hAnsi="Times New Roman" w:cs="Times New Roman"/>
                <w:sz w:val="18"/>
                <w:szCs w:val="18"/>
              </w:rPr>
              <m:t>pred</m:t>
            </m:r>
          </m:sub>
        </m:sSub>
      </m:oMath>
      <w:r>
        <w:rPr>
          <w:rFonts w:ascii="Times New Roman" w:hAnsi="Times New Roman" w:cs="Times New Roman"/>
          <w:sz w:val="18"/>
          <w:szCs w:val="18"/>
        </w:rPr>
        <w:t xml:space="preserve"> are the number of true and predicted instances of class </w:t>
      </w:r>
      <m:oMath>
        <m:r>
          <m:rPr>
            <m:sty m:val="p"/>
          </m:rPr>
          <w:rPr>
            <w:rFonts w:ascii="Cambria Math" w:hAnsi="Cambria Math" w:cs="Times New Roman"/>
            <w:sz w:val="18"/>
            <w:szCs w:val="18"/>
          </w:rPr>
          <m:t>c</m:t>
        </m:r>
      </m:oMath>
      <w:r>
        <w:rPr>
          <w:rFonts w:ascii="Times New Roman" w:hAnsi="Times New Roman" w:cs="Times New Roman"/>
          <w:sz w:val="18"/>
          <w:szCs w:val="18"/>
        </w:rPr>
        <w:t xml:space="preserve"> and </w:t>
      </w:r>
      <m:oMath>
        <m:r>
          <m:rPr>
            <m:sty m:val="p"/>
          </m:rPr>
          <w:rPr>
            <w:rFonts w:ascii="Cambria Math" w:hAnsi="Cambria Math" w:cs="Times New Roman"/>
            <w:sz w:val="18"/>
            <w:szCs w:val="18"/>
          </w:rPr>
          <m:t>n</m:t>
        </m:r>
      </m:oMath>
      <w:r>
        <w:rPr>
          <w:rFonts w:ascii="Times New Roman" w:hAnsi="Times New Roman" w:cs="Times New Roman"/>
          <w:sz w:val="18"/>
          <w:szCs w:val="18"/>
        </w:rPr>
        <w:t xml:space="preserve"> is the total sample count. For the multiclass confusion matrix </w:t>
      </w:r>
      <m:oMath>
        <m:r>
          <m:rPr>
            <m:sty m:val="p"/>
          </m:rPr>
          <w:rPr>
            <w:rFonts w:ascii="Cambria Math" w:hAnsi="Cambria Math" w:cs="Times New Roman"/>
            <w:sz w:val="18"/>
            <w:szCs w:val="18"/>
          </w:rPr>
          <m:t>M</m:t>
        </m:r>
      </m:oMath>
      <w:r>
        <w:rPr>
          <w:rFonts w:ascii="Times New Roman" w:hAnsi="Times New Roman" w:cs="Times New Roman"/>
          <w:sz w:val="18"/>
          <w:szCs w:val="18"/>
        </w:rPr>
        <w:t>, the Matthews correlation coefficient (</w:t>
      </w:r>
      <w:hyperlink w:anchor="ref-matthews1975">
        <w:r>
          <w:rPr>
            <w:rStyle w:val="Hyperlink"/>
            <w:rFonts w:ascii="Times New Roman" w:hAnsi="Times New Roman" w:cs="Times New Roman"/>
            <w:sz w:val="18"/>
            <w:szCs w:val="18"/>
          </w:rPr>
          <w:t>Matthews 1975</w:t>
        </w:r>
      </w:hyperlink>
      <w:r>
        <w:rPr>
          <w:rFonts w:ascii="Times New Roman" w:hAnsi="Times New Roman" w:cs="Times New Roman"/>
          <w:sz w:val="18"/>
          <w:szCs w:val="18"/>
        </w:rPr>
        <w:t>) generalises to its multiclass form (</w:t>
      </w:r>
      <w:hyperlink w:anchor="ref-gorodkin2004">
        <w:r>
          <w:rPr>
            <w:rStyle w:val="Hyperlink"/>
            <w:rFonts w:ascii="Times New Roman" w:hAnsi="Times New Roman" w:cs="Times New Roman"/>
            <w:sz w:val="18"/>
            <w:szCs w:val="18"/>
          </w:rPr>
          <w:t>Gorodkin 2004</w:t>
        </w:r>
      </w:hyperlink>
      <w:r>
        <w:rPr>
          <w:rFonts w:ascii="Times New Roman" w:hAnsi="Times New Roman" w:cs="Times New Roman"/>
          <w:sz w:val="18"/>
          <w:szCs w:val="18"/>
        </w:rPr>
        <w:t>) as</w:t>
      </w:r>
    </w:p>
    <w:p w14:paraId="23D965BA" w14:textId="6F2CA4D1" w:rsidR="00DA00EE" w:rsidRPr="00E32832" w:rsidRDefault="00F84C4B" w:rsidP="00BA5D5D">
      <w:pPr>
        <w:pStyle w:val="BodyText"/>
        <w:jc w:val="both"/>
        <w:rPr>
          <w:rFonts w:ascii="Times New Roman" w:hAnsi="Times New Roman" w:cs="Times New Roman"/>
          <w:sz w:val="18"/>
          <w:szCs w:val="18"/>
        </w:rPr>
      </w:pPr>
      <m:oMath>
        <m:r>
          <m:rPr>
            <m:nor/>
          </m:rPr>
          <w:rPr>
            <w:rFonts w:ascii="Times New Roman" w:hAnsi="Times New Roman" w:cs="Times New Roman"/>
            <w:sz w:val="18"/>
            <w:szCs w:val="18"/>
          </w:rPr>
          <m:t>MCC</m:t>
        </m:r>
        <m:r>
          <m:rPr>
            <m:sty m:val="p"/>
          </m:rPr>
          <w:rPr>
            <w:rFonts w:ascii="Cambria Math" w:hAnsi="Cambria Math" w:cs="Times New Roman"/>
            <w:sz w:val="18"/>
            <w:szCs w:val="18"/>
          </w:rPr>
          <m:t>=</m:t>
        </m:r>
        <m:f>
          <m:fPr>
            <m:ctrlPr>
              <w:rPr>
                <w:rFonts w:ascii="Cambria Math" w:hAnsi="Cambria Math" w:cs="Times New Roman"/>
                <w:sz w:val="18"/>
                <w:szCs w:val="18"/>
              </w:rPr>
            </m:ctrlPr>
          </m:fPr>
          <m:num>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k</m:t>
                </m:r>
              </m:sub>
              <m:sup>
                <m:r>
                  <m:rPr>
                    <m:sty m:val="p"/>
                  </m:rPr>
                  <w:rPr>
                    <w:rFonts w:ascii="Cambria Math" w:hAnsi="Cambria Math" w:cs="Times New Roman"/>
                    <w:sz w:val="18"/>
                    <w:szCs w:val="18"/>
                  </w:rPr>
                  <m:t>​</m:t>
                </m:r>
              </m:sup>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l</m:t>
                    </m:r>
                  </m:sub>
                  <m:sup>
                    <m:r>
                      <m:rPr>
                        <m:sty m:val="p"/>
                      </m:rPr>
                      <w:rPr>
                        <w:rFonts w:ascii="Cambria Math" w:hAnsi="Cambria Math" w:cs="Times New Roman"/>
                        <w:sz w:val="18"/>
                        <w:szCs w:val="18"/>
                      </w:rPr>
                      <m:t>​</m:t>
                    </m:r>
                  </m:sup>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m</m:t>
                        </m:r>
                      </m:sub>
                      <m:sup>
                        <m:r>
                          <m:rPr>
                            <m:sty m:val="p"/>
                          </m:rPr>
                          <w:rPr>
                            <w:rFonts w:ascii="Cambria Math" w:hAnsi="Cambria Math" w:cs="Times New Roman"/>
                            <w:sz w:val="18"/>
                            <w:szCs w:val="18"/>
                          </w:rPr>
                          <m:t>​</m:t>
                        </m:r>
                      </m:sup>
                      <m:e>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kk</m:t>
                            </m:r>
                          </m:sub>
                        </m:sSub>
                      </m:e>
                    </m:nary>
                  </m:e>
                </m:nary>
              </m:e>
            </m:nary>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lm</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kl</m:t>
                </m:r>
              </m:sub>
            </m:sSub>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mk</m:t>
                </m:r>
              </m:sub>
            </m:sSub>
          </m:num>
          <m:den>
            <m:rad>
              <m:radPr>
                <m:degHide m:val="1"/>
                <m:ctrlPr>
                  <w:rPr>
                    <w:rFonts w:ascii="Cambria Math" w:hAnsi="Cambria Math" w:cs="Times New Roman"/>
                    <w:sz w:val="18"/>
                    <w:szCs w:val="18"/>
                  </w:rPr>
                </m:ctrlPr>
              </m:radPr>
              <m:deg/>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k</m:t>
                    </m:r>
                  </m:sub>
                  <m:sup>
                    <m:r>
                      <m:rPr>
                        <m:sty m:val="p"/>
                      </m:rPr>
                      <w:rPr>
                        <w:rFonts w:ascii="Cambria Math" w:hAnsi="Cambria Math" w:cs="Times New Roman"/>
                        <w:sz w:val="18"/>
                        <w:szCs w:val="18"/>
                      </w:rPr>
                      <m:t>​</m:t>
                    </m:r>
                  </m:sup>
                  <m:e>
                    <m:d>
                      <m:dPr>
                        <m:ctrlPr>
                          <w:rPr>
                            <w:rFonts w:ascii="Cambria Math" w:hAnsi="Cambria Math" w:cs="Times New Roman"/>
                            <w:sz w:val="18"/>
                            <w:szCs w:val="18"/>
                          </w:rPr>
                        </m:ctrlPr>
                      </m:dPr>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l</m:t>
                            </m:r>
                          </m:sub>
                          <m:sup>
                            <m:r>
                              <m:rPr>
                                <m:sty m:val="p"/>
                              </m:rPr>
                              <w:rPr>
                                <w:rFonts w:ascii="Cambria Math" w:hAnsi="Cambria Math" w:cs="Times New Roman"/>
                                <w:sz w:val="18"/>
                                <w:szCs w:val="18"/>
                              </w:rPr>
                              <m:t>​</m:t>
                            </m:r>
                          </m:sup>
                          <m:e>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kl</m:t>
                                </m:r>
                              </m:sub>
                            </m:sSub>
                          </m:e>
                        </m:nary>
                      </m:e>
                    </m:d>
                  </m:e>
                </m:nary>
                <m:d>
                  <m:dPr>
                    <m:ctrlPr>
                      <w:rPr>
                        <w:rFonts w:ascii="Cambria Math" w:hAnsi="Cambria Math" w:cs="Times New Roman"/>
                        <w:sz w:val="18"/>
                        <w:szCs w:val="18"/>
                      </w:rPr>
                    </m:ctrlPr>
                  </m:dPr>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k'≠k</m:t>
                        </m:r>
                      </m:sub>
                      <m:sup>
                        <m:r>
                          <m:rPr>
                            <m:sty m:val="p"/>
                          </m:rPr>
                          <w:rPr>
                            <w:rFonts w:ascii="Cambria Math" w:hAnsi="Cambria Math" w:cs="Times New Roman"/>
                            <w:sz w:val="18"/>
                            <w:szCs w:val="18"/>
                          </w:rPr>
                          <m:t>​</m:t>
                        </m:r>
                      </m:sup>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l'</m:t>
                            </m:r>
                          </m:sub>
                          <m:sup>
                            <m:r>
                              <m:rPr>
                                <m:sty m:val="p"/>
                              </m:rPr>
                              <w:rPr>
                                <w:rFonts w:ascii="Cambria Math" w:hAnsi="Cambria Math" w:cs="Times New Roman"/>
                                <w:sz w:val="18"/>
                                <w:szCs w:val="18"/>
                              </w:rPr>
                              <m:t>​</m:t>
                            </m:r>
                          </m:sup>
                          <m:e>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k'l'</m:t>
                                </m:r>
                              </m:sub>
                            </m:sSub>
                          </m:e>
                        </m:nary>
                      </m:e>
                    </m:nary>
                  </m:e>
                </m:d>
              </m:e>
            </m:rad>
            <m:rad>
              <m:radPr>
                <m:degHide m:val="1"/>
                <m:ctrlPr>
                  <w:rPr>
                    <w:rFonts w:ascii="Cambria Math" w:hAnsi="Cambria Math" w:cs="Times New Roman"/>
                    <w:sz w:val="18"/>
                    <w:szCs w:val="18"/>
                  </w:rPr>
                </m:ctrlPr>
              </m:radPr>
              <m:deg/>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k</m:t>
                    </m:r>
                  </m:sub>
                  <m:sup>
                    <m:r>
                      <m:rPr>
                        <m:sty m:val="p"/>
                      </m:rPr>
                      <w:rPr>
                        <w:rFonts w:ascii="Cambria Math" w:hAnsi="Cambria Math" w:cs="Times New Roman"/>
                        <w:sz w:val="18"/>
                        <w:szCs w:val="18"/>
                      </w:rPr>
                      <m:t>​</m:t>
                    </m:r>
                  </m:sup>
                  <m:e>
                    <m:d>
                      <m:dPr>
                        <m:ctrlPr>
                          <w:rPr>
                            <w:rFonts w:ascii="Cambria Math" w:hAnsi="Cambria Math" w:cs="Times New Roman"/>
                            <w:sz w:val="18"/>
                            <w:szCs w:val="18"/>
                          </w:rPr>
                        </m:ctrlPr>
                      </m:dPr>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l</m:t>
                            </m:r>
                          </m:sub>
                          <m:sup>
                            <m:r>
                              <m:rPr>
                                <m:sty m:val="p"/>
                              </m:rPr>
                              <w:rPr>
                                <w:rFonts w:ascii="Cambria Math" w:hAnsi="Cambria Math" w:cs="Times New Roman"/>
                                <w:sz w:val="18"/>
                                <w:szCs w:val="18"/>
                              </w:rPr>
                              <m:t>​</m:t>
                            </m:r>
                          </m:sup>
                          <m:e>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lk</m:t>
                                </m:r>
                              </m:sub>
                            </m:sSub>
                          </m:e>
                        </m:nary>
                      </m:e>
                    </m:d>
                  </m:e>
                </m:nary>
                <m:d>
                  <m:dPr>
                    <m:ctrlPr>
                      <w:rPr>
                        <w:rFonts w:ascii="Cambria Math" w:hAnsi="Cambria Math" w:cs="Times New Roman"/>
                        <w:sz w:val="18"/>
                        <w:szCs w:val="18"/>
                      </w:rPr>
                    </m:ctrlPr>
                  </m:dPr>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k'≠k</m:t>
                        </m:r>
                      </m:sub>
                      <m:sup>
                        <m:r>
                          <m:rPr>
                            <m:sty m:val="p"/>
                          </m:rPr>
                          <w:rPr>
                            <w:rFonts w:ascii="Cambria Math" w:hAnsi="Cambria Math" w:cs="Times New Roman"/>
                            <w:sz w:val="18"/>
                            <w:szCs w:val="18"/>
                          </w:rPr>
                          <m:t>​</m:t>
                        </m:r>
                      </m:sup>
                      <m:e>
                        <m:nary>
                          <m:naryPr>
                            <m:chr m:val="∑"/>
                            <m:limLoc m:val="undOvr"/>
                            <m:supHide m:val="1"/>
                            <m:ctrlPr>
                              <w:rPr>
                                <w:rFonts w:ascii="Cambria Math" w:hAnsi="Cambria Math" w:cs="Times New Roman"/>
                                <w:sz w:val="18"/>
                                <w:szCs w:val="18"/>
                              </w:rPr>
                            </m:ctrlPr>
                          </m:naryPr>
                          <m:sub>
                            <m:r>
                              <m:rPr>
                                <m:sty m:val="p"/>
                              </m:rPr>
                              <w:rPr>
                                <w:rFonts w:ascii="Cambria Math" w:hAnsi="Cambria Math" w:cs="Times New Roman"/>
                                <w:sz w:val="18"/>
                                <w:szCs w:val="18"/>
                              </w:rPr>
                              <m:t>l'</m:t>
                            </m:r>
                          </m:sub>
                          <m:sup>
                            <m:r>
                              <m:rPr>
                                <m:sty m:val="p"/>
                              </m:rPr>
                              <w:rPr>
                                <w:rFonts w:ascii="Cambria Math" w:hAnsi="Cambria Math" w:cs="Times New Roman"/>
                                <w:sz w:val="18"/>
                                <w:szCs w:val="18"/>
                              </w:rPr>
                              <m:t>​</m:t>
                            </m:r>
                          </m:sup>
                          <m:e>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l'k'</m:t>
                                </m:r>
                              </m:sub>
                            </m:sSub>
                          </m:e>
                        </m:nary>
                      </m:e>
                    </m:nary>
                  </m:e>
                </m:d>
              </m:e>
            </m:rad>
          </m:den>
        </m:f>
      </m:oMath>
      <w:r>
        <w:rPr>
          <w:rFonts w:ascii="Times New Roman" w:hAnsi="Times New Roman" w:cs="Times New Roman"/>
          <w:b/>
          <w:sz w:val="18"/>
          <w:szCs w:val="18"/>
        </w:rPr>
        <w:t xml:space="preserve">  (21)</w:t>
      </w:r>
    </w:p>
    <w:p w14:paraId="66204F6F"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both of which are reported alongside accuracy in Table 3 and Table 4 precisely because raw accuracy alone can look misleadingly high (or, as in Section 6’s null result, misleadingly reassuring) on an imbalanced or chance structured label set without a chance correction term.</w:t>
      </w:r>
    </w:p>
    <w:p w14:paraId="5229B5AD" w14:textId="2CE6D5B1"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The Intersection over Union between a predicted region (or bounding box) </w:t>
      </w:r>
      <m:oMath>
        <m:r>
          <m:rPr>
            <m:sty m:val="p"/>
          </m:rPr>
          <w:rPr>
            <w:rFonts w:ascii="Cambria Math" w:hAnsi="Cambria Math" w:cs="Times New Roman"/>
            <w:sz w:val="18"/>
            <w:szCs w:val="18"/>
          </w:rPr>
          <m:t>A</m:t>
        </m:r>
      </m:oMath>
      <w:r>
        <w:rPr>
          <w:rFonts w:ascii="Times New Roman" w:hAnsi="Times New Roman" w:cs="Times New Roman"/>
          <w:sz w:val="18"/>
          <w:szCs w:val="18"/>
        </w:rPr>
        <w:t xml:space="preserve"> and a reference region </w:t>
      </w:r>
      <m:oMath>
        <m:r>
          <m:rPr>
            <m:sty m:val="p"/>
          </m:rPr>
          <w:rPr>
            <w:rFonts w:ascii="Cambria Math" w:hAnsi="Cambria Math" w:cs="Times New Roman"/>
            <w:sz w:val="18"/>
            <w:szCs w:val="18"/>
          </w:rPr>
          <m:t>B</m:t>
        </m:r>
      </m:oMath>
      <w:r>
        <w:rPr>
          <w:rFonts w:ascii="Times New Roman" w:hAnsi="Times New Roman" w:cs="Times New Roman"/>
          <w:sz w:val="18"/>
          <w:szCs w:val="18"/>
        </w:rPr>
        <w:t xml:space="preserve"> (</w:t>
      </w:r>
      <w:hyperlink w:anchor="ref-jaccard1912">
        <w:r>
          <w:rPr>
            <w:rStyle w:val="Hyperlink"/>
            <w:rFonts w:ascii="Times New Roman" w:hAnsi="Times New Roman" w:cs="Times New Roman"/>
            <w:sz w:val="18"/>
            <w:szCs w:val="18"/>
          </w:rPr>
          <w:t>Jaccard 1912</w:t>
        </w:r>
      </w:hyperlink>
      <w:r>
        <w:rPr>
          <w:rFonts w:ascii="Times New Roman" w:hAnsi="Times New Roman" w:cs="Times New Roman"/>
          <w:sz w:val="18"/>
          <w:szCs w:val="18"/>
        </w:rPr>
        <w:t>), used implicitly wherever this paper or its cited detection/tracking literature (Section 2.6) reports a match threshold, is</w:t>
      </w:r>
    </w:p>
    <w:p w14:paraId="252B8EA8" w14:textId="69E97BDE" w:rsidR="00DA00EE" w:rsidRPr="00E32832" w:rsidRDefault="00F84C4B" w:rsidP="00BA5D5D">
      <w:pPr>
        <w:pStyle w:val="BodyText"/>
        <w:jc w:val="both"/>
        <w:rPr>
          <w:rFonts w:ascii="Times New Roman" w:hAnsi="Times New Roman" w:cs="Times New Roman"/>
          <w:sz w:val="18"/>
          <w:szCs w:val="18"/>
        </w:rPr>
      </w:pPr>
      <m:oMath>
        <m:r>
          <m:rPr>
            <m:nor/>
          </m:rPr>
          <w:rPr>
            <w:rFonts w:ascii="Times New Roman" w:hAnsi="Times New Roman" w:cs="Times New Roman"/>
            <w:sz w:val="18"/>
            <w:szCs w:val="18"/>
          </w:rPr>
          <m:t>IoU</m:t>
        </m:r>
        <m:d>
          <m:dPr>
            <m:ctrlPr>
              <w:rPr>
                <w:rFonts w:ascii="Cambria Math" w:hAnsi="Cambria Math" w:cs="Times New Roman"/>
                <w:sz w:val="18"/>
                <w:szCs w:val="18"/>
              </w:rPr>
            </m:ctrlPr>
          </m:dPr>
          <m:e>
            <m:r>
              <m:rPr>
                <m:sty m:val="p"/>
              </m:rPr>
              <w:rPr>
                <w:rFonts w:ascii="Cambria Math" w:hAnsi="Cambria Math" w:cs="Times New Roman"/>
                <w:sz w:val="18"/>
                <w:szCs w:val="18"/>
              </w:rPr>
              <m:t>A,B</m:t>
            </m:r>
          </m:e>
        </m:d>
        <m:r>
          <m:rPr>
            <m:sty m:val="p"/>
          </m:rPr>
          <w:rPr>
            <w:rFonts w:ascii="Cambria Math" w:hAnsi="Cambria Math" w:cs="Times New Roman"/>
            <w:sz w:val="18"/>
            <w:szCs w:val="18"/>
          </w:rPr>
          <m:t>=</m:t>
        </m:r>
        <m:f>
          <m:fPr>
            <m:ctrlPr>
              <w:rPr>
                <w:rFonts w:ascii="Cambria Math" w:hAnsi="Cambria Math" w:cs="Times New Roman"/>
                <w:sz w:val="18"/>
                <w:szCs w:val="18"/>
              </w:rPr>
            </m:ctrlPr>
          </m:fPr>
          <m:num>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A∩B</m:t>
                </m:r>
              </m:e>
            </m:d>
          </m:num>
          <m:den>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A∪B</m:t>
                </m:r>
              </m:e>
            </m:d>
          </m:den>
        </m:f>
        <m:r>
          <m:rPr>
            <m:sty m:val="p"/>
          </m:rPr>
          <w:rPr>
            <w:rFonts w:ascii="Cambria Math" w:hAnsi="Cambria Math" w:cs="Times New Roman"/>
            <w:sz w:val="18"/>
            <w:szCs w:val="18"/>
          </w:rPr>
          <m:t>∈</m:t>
        </m:r>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0,1</m:t>
            </m:r>
          </m:e>
        </m:d>
      </m:oMath>
      <w:r>
        <w:rPr>
          <w:rFonts w:ascii="Times New Roman" w:hAnsi="Times New Roman" w:cs="Times New Roman"/>
          <w:b/>
          <w:sz w:val="18"/>
          <w:szCs w:val="18"/>
        </w:rPr>
        <w:t xml:space="preserve">  (22)</w:t>
      </w:r>
    </w:p>
    <w:p w14:paraId="130C9C0D" w14:textId="1190BA9A"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A predicted region is conventionally counted as a correct match when </w:t>
      </w:r>
      <m:oMath>
        <m:r>
          <m:rPr>
            <m:nor/>
          </m:rPr>
          <w:rPr>
            <w:rFonts w:ascii="Times New Roman" w:hAnsi="Times New Roman" w:cs="Times New Roman"/>
            <w:sz w:val="18"/>
            <w:szCs w:val="18"/>
          </w:rPr>
          <m:t>IoU</m:t>
        </m:r>
        <m:d>
          <m:dPr>
            <m:ctrlPr>
              <w:rPr>
                <w:rFonts w:ascii="Cambria Math" w:hAnsi="Cambria Math" w:cs="Times New Roman"/>
                <w:sz w:val="18"/>
                <w:szCs w:val="18"/>
              </w:rPr>
            </m:ctrlPr>
          </m:dPr>
          <m:e>
            <m:r>
              <m:rPr>
                <m:sty m:val="p"/>
              </m:rPr>
              <w:rPr>
                <w:rFonts w:ascii="Cambria Math" w:hAnsi="Cambria Math" w:cs="Times New Roman"/>
                <w:sz w:val="18"/>
                <w:szCs w:val="18"/>
              </w:rPr>
              <m:t>A,B</m:t>
            </m:r>
          </m:e>
        </m:d>
        <m:r>
          <m:rPr>
            <m:sty m:val="p"/>
          </m:rPr>
          <w:rPr>
            <w:rFonts w:ascii="Cambria Math" w:hAnsi="Cambria Math" w:cs="Times New Roman"/>
            <w:sz w:val="18"/>
            <w:szCs w:val="18"/>
          </w:rPr>
          <m:t>≥τ</m:t>
        </m:r>
      </m:oMath>
      <w:r>
        <w:rPr>
          <w:rFonts w:ascii="Times New Roman" w:hAnsi="Times New Roman" w:cs="Times New Roman"/>
          <w:sz w:val="18"/>
          <w:szCs w:val="18"/>
        </w:rPr>
        <w:t xml:space="preserve"> for a threshold </w:t>
      </w:r>
      <m:oMath>
        <m:r>
          <m:rPr>
            <m:sty m:val="p"/>
          </m:rPr>
          <w:rPr>
            <w:rFonts w:ascii="Cambria Math" w:hAnsi="Cambria Math" w:cs="Times New Roman"/>
            <w:sz w:val="18"/>
            <w:szCs w:val="18"/>
          </w:rPr>
          <m:t>τ</m:t>
        </m:r>
      </m:oMath>
      <w:r>
        <w:rPr>
          <w:rFonts w:ascii="Times New Roman" w:hAnsi="Times New Roman" w:cs="Times New Roman"/>
          <w:sz w:val="18"/>
          <w:szCs w:val="18"/>
        </w:rPr>
        <w:t xml:space="preserve"> (commonly </w:t>
      </w:r>
      <m:oMath>
        <m:r>
          <m:rPr>
            <m:sty m:val="p"/>
          </m:rPr>
          <w:rPr>
            <w:rFonts w:ascii="Cambria Math" w:hAnsi="Cambria Math" w:cs="Times New Roman"/>
            <w:sz w:val="18"/>
            <w:szCs w:val="18"/>
          </w:rPr>
          <m:t>τ=0.5</m:t>
        </m:r>
      </m:oMath>
      <w:r>
        <w:rPr>
          <w:rFonts w:ascii="Times New Roman" w:hAnsi="Times New Roman" w:cs="Times New Roman"/>
          <w:sz w:val="18"/>
          <w:szCs w:val="18"/>
        </w:rPr>
        <w:t>); the pipeline’s own susceptible spot and canopy segmentation heuristics (Section 4.9) could be scored against expert drawn reference masks using exactly this criterion once real field annotations become available (Section 10).</w:t>
      </w:r>
    </w:p>
    <w:p w14:paraId="42E6CE2B" w14:textId="19BEEC52"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Section 4.6 and Section 6.5 report K Means clustering without giving the underlying objective explicitly. For </w:t>
      </w:r>
      <m:oMath>
        <m:r>
          <m:rPr>
            <m:sty m:val="p"/>
          </m:rPr>
          <w:rPr>
            <w:rFonts w:ascii="Cambria Math" w:hAnsi="Cambria Math" w:cs="Times New Roman"/>
            <w:sz w:val="18"/>
            <w:szCs w:val="18"/>
          </w:rPr>
          <m:t>N</m:t>
        </m:r>
      </m:oMath>
      <w:r>
        <w:rPr>
          <w:rFonts w:ascii="Times New Roman" w:hAnsi="Times New Roman" w:cs="Times New Roman"/>
          <w:sz w:val="18"/>
          <w:szCs w:val="18"/>
        </w:rPr>
        <w:t xml:space="preserve"> points </w:t>
      </w:r>
      <m:oMath>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oMath>
      <w:r>
        <w:rPr>
          <w:rFonts w:ascii="Times New Roman" w:hAnsi="Times New Roman" w:cs="Times New Roman"/>
          <w:sz w:val="18"/>
          <w:szCs w:val="18"/>
        </w:rPr>
        <w:t xml:space="preserve"> partitioned into </w:t>
      </w:r>
      <m:oMath>
        <m:r>
          <m:rPr>
            <m:sty m:val="p"/>
          </m:rPr>
          <w:rPr>
            <w:rFonts w:ascii="Cambria Math" w:hAnsi="Cambria Math" w:cs="Times New Roman"/>
            <w:sz w:val="18"/>
            <w:szCs w:val="18"/>
          </w:rPr>
          <m:t>k</m:t>
        </m:r>
      </m:oMath>
      <w:r>
        <w:rPr>
          <w:rFonts w:ascii="Times New Roman" w:hAnsi="Times New Roman" w:cs="Times New Roman"/>
          <w:sz w:val="18"/>
          <w:szCs w:val="18"/>
        </w:rPr>
        <w:t xml:space="preserve"> clusters </w:t>
      </w:r>
      <m:oMath>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oMath>
      <w:r>
        <w:rPr>
          <w:rFonts w:ascii="Times New Roman" w:hAnsi="Times New Roman" w:cs="Times New Roman"/>
          <w:sz w:val="18"/>
          <w:szCs w:val="18"/>
        </w:rPr>
        <w:t xml:space="preserve"> with centroids </w:t>
      </w:r>
      <m:oMath>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1</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oMath>
      <w:r>
        <w:rPr>
          <w:rFonts w:ascii="Times New Roman" w:hAnsi="Times New Roman" w:cs="Times New Roman"/>
          <w:sz w:val="18"/>
          <w:szCs w:val="18"/>
        </w:rPr>
        <w:t>, K Means minimises the within cluster sum of squares</w:t>
      </w:r>
    </w:p>
    <w:p w14:paraId="2B8011BA" w14:textId="18A4D656" w:rsidR="00DA00EE" w:rsidRPr="00E32832" w:rsidRDefault="00E32832" w:rsidP="00BA5D5D">
      <w:pPr>
        <w:pStyle w:val="BodyText"/>
        <w:jc w:val="both"/>
        <w:rPr>
          <w:rFonts w:ascii="Times New Roman" w:hAnsi="Times New Roman" w:cs="Times New Roman"/>
          <w:sz w:val="18"/>
          <w:szCs w:val="18"/>
        </w:rPr>
      </w:pPr>
      <m:oMath>
        <m:r>
          <m:rPr>
            <m:sty m:val="p"/>
          </m:rPr>
          <w:rPr>
            <w:rFonts w:ascii="Cambria Math" w:hAnsi="Cambria Math" w:cs="Times New Roman"/>
            <w:sz w:val="18"/>
            <w:szCs w:val="18"/>
          </w:rPr>
          <m:t>J</m:t>
        </m:r>
        <m:d>
          <m:dPr>
            <m:ctrlPr>
              <w:rPr>
                <w:rFonts w:ascii="Cambria Math" w:hAnsi="Cambria Math" w:cs="Times New Roman"/>
                <w:sz w:val="18"/>
                <w:szCs w:val="18"/>
              </w:rPr>
            </m:ctrlPr>
          </m:dPr>
          <m:e>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e>
        </m:d>
        <m:r>
          <m:rPr>
            <m:sty m:val="p"/>
          </m:rPr>
          <w:rPr>
            <w:rFonts w:ascii="Cambria Math" w:hAnsi="Cambria Math" w:cs="Times New Roman"/>
            <w:sz w:val="18"/>
            <w:szCs w:val="18"/>
          </w:rPr>
          <m:t>=</m:t>
        </m:r>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j=1</m:t>
            </m:r>
          </m:sub>
          <m:sup>
            <m:r>
              <m:rPr>
                <m:sty m:val="p"/>
              </m:rPr>
              <w:rPr>
                <w:rFonts w:ascii="Cambria Math" w:hAnsi="Cambria Math" w:cs="Times New Roman"/>
                <w:sz w:val="18"/>
                <w:szCs w:val="18"/>
              </w:rPr>
              <m:t>k</m:t>
            </m:r>
          </m:sup>
          <m:e>
            <m:nary>
              <m:naryPr>
                <m:chr m:val="∑"/>
                <m:limLoc m:val="undOvr"/>
                <m:supHide m:val="1"/>
                <m:ctrlPr>
                  <w:rPr>
                    <w:rFonts w:ascii="Cambria Math" w:hAnsi="Cambria Math" w:cs="Times New Roman"/>
                    <w:sz w:val="18"/>
                    <w:szCs w:val="18"/>
                  </w:rPr>
                </m:ctrlPr>
              </m:naryPr>
              <m:sub>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sub>
              <m:sup>
                <m:r>
                  <m:rPr>
                    <m:sty m:val="p"/>
                  </m:rPr>
                  <w:rPr>
                    <w:rFonts w:ascii="Cambria Math" w:hAnsi="Cambria Math" w:cs="Times New Roman"/>
                    <w:sz w:val="18"/>
                    <w:szCs w:val="18"/>
                  </w:rPr>
                  <m:t>​</m:t>
                </m:r>
              </m:sup>
              <m:e>
                <m:r>
                  <m:rPr>
                    <m:sty m:val="p"/>
                  </m:rPr>
                  <w:rPr>
                    <w:rFonts w:ascii="Cambria Math" w:hAnsi="Cambria Math" w:cs="Times New Roman"/>
                    <w:sz w:val="18"/>
                    <w:szCs w:val="18"/>
                  </w:rPr>
                  <m:t>∥</m:t>
                </m:r>
              </m:e>
            </m:nary>
          </m:e>
        </m:nary>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sSup>
          <m:sSupPr>
            <m:ctrlPr>
              <w:rPr>
                <w:rFonts w:ascii="Cambria Math" w:hAnsi="Cambria Math" w:cs="Times New Roman"/>
                <w:sz w:val="18"/>
                <w:szCs w:val="18"/>
              </w:rPr>
            </m:ctrlPr>
          </m:sSupPr>
          <m:e>
            <m:r>
              <m:rPr>
                <m:sty m:val="p"/>
              </m:rPr>
              <w:rPr>
                <w:rFonts w:ascii="Cambria Math" w:hAnsi="Cambria Math" w:cs="Times New Roman"/>
                <w:sz w:val="18"/>
                <w:szCs w:val="18"/>
              </w:rPr>
              <m:t>∥</m:t>
            </m:r>
          </m:e>
          <m:sup>
            <m:r>
              <m:rPr>
                <m:sty m:val="p"/>
              </m:rPr>
              <w:rPr>
                <w:rFonts w:ascii="Cambria Math" w:hAnsi="Cambria Math" w:cs="Times New Roman"/>
                <w:sz w:val="18"/>
                <w:szCs w:val="18"/>
              </w:rPr>
              <m:t>2</m:t>
            </m:r>
          </m:sup>
        </m:sSup>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d>
              <m:dPr>
                <m:begChr m:val="|"/>
                <m:endChr m:val="|"/>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e>
            </m:d>
          </m:den>
        </m:f>
        <m:nary>
          <m:naryPr>
            <m:chr m:val="∑"/>
            <m:limLoc m:val="undOvr"/>
            <m:supHide m:val="1"/>
            <m:ctrlPr>
              <w:rPr>
                <w:rFonts w:ascii="Cambria Math" w:hAnsi="Cambria Math" w:cs="Times New Roman"/>
                <w:sz w:val="18"/>
                <w:szCs w:val="18"/>
              </w:rPr>
            </m:ctrlPr>
          </m:naryPr>
          <m:sub>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sub>
          <m:sup>
            <m:r>
              <m:rPr>
                <m:sty m:val="p"/>
              </m:rPr>
              <w:rPr>
                <w:rFonts w:ascii="Cambria Math" w:hAnsi="Cambria Math" w:cs="Times New Roman"/>
                <w:sz w:val="18"/>
                <w:szCs w:val="18"/>
              </w:rPr>
              <m:t>​</m:t>
            </m:r>
          </m:sup>
          <m:e>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e>
        </m:nary>
      </m:oMath>
      <w:r>
        <w:rPr>
          <w:rFonts w:ascii="Times New Roman" w:hAnsi="Times New Roman" w:cs="Times New Roman"/>
          <w:b/>
          <w:sz w:val="18"/>
          <w:szCs w:val="18"/>
        </w:rPr>
        <w:t xml:space="preserve">  (23)</w:t>
      </w:r>
    </w:p>
    <w:p w14:paraId="6B34D8B2" w14:textId="70C28FA0"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lastRenderedPageBreak/>
        <w:t>solved by Lloyd’s algorithm (</w:t>
      </w:r>
      <w:hyperlink w:anchor="ref-macqueen1967">
        <w:r>
          <w:rPr>
            <w:rStyle w:val="Hyperlink"/>
            <w:rFonts w:ascii="Times New Roman" w:hAnsi="Times New Roman" w:cs="Times New Roman"/>
            <w:sz w:val="18"/>
            <w:szCs w:val="18"/>
          </w:rPr>
          <w:t>MacQueen 1967</w:t>
        </w:r>
      </w:hyperlink>
      <w:r>
        <w:rPr>
          <w:rFonts w:ascii="Times New Roman" w:hAnsi="Times New Roman" w:cs="Times New Roman"/>
          <w:sz w:val="18"/>
          <w:szCs w:val="18"/>
        </w:rPr>
        <w:t xml:space="preserve">), alternating the assignment step </w:t>
      </w:r>
      <m:oMath>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:j=arg</m:t>
        </m:r>
        <m:sSub>
          <m:sSubPr>
            <m:ctrlPr>
              <w:rPr>
                <w:rFonts w:ascii="Cambria Math" w:hAnsi="Cambria Math" w:cs="Times New Roman"/>
                <w:sz w:val="18"/>
                <w:szCs w:val="18"/>
              </w:rPr>
            </m:ctrlPr>
          </m:sSubPr>
          <m:e>
            <m:r>
              <m:rPr>
                <m:sty m:val="p"/>
              </m:rPr>
              <w:rPr>
                <w:rFonts w:ascii="Cambria Math" w:hAnsi="Cambria Math" w:cs="Times New Roman"/>
                <w:sz w:val="18"/>
                <w:szCs w:val="18"/>
              </w:rPr>
              <m:t>min</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sSup>
          <m:sSupPr>
            <m:ctrlPr>
              <w:rPr>
                <w:rFonts w:ascii="Cambria Math" w:hAnsi="Cambria Math" w:cs="Times New Roman"/>
                <w:sz w:val="18"/>
                <w:szCs w:val="18"/>
              </w:rPr>
            </m:ctrlPr>
          </m:sSupPr>
          <m:e>
            <m:r>
              <m:rPr>
                <m:sty m:val="p"/>
              </m:rPr>
              <w:rPr>
                <w:rFonts w:ascii="Cambria Math" w:hAnsi="Cambria Math" w:cs="Times New Roman"/>
                <w:sz w:val="18"/>
                <w:szCs w:val="18"/>
              </w:rPr>
              <m:t>∥</m:t>
            </m:r>
          </m:e>
          <m:sup>
            <m:r>
              <m:rPr>
                <m:sty m:val="p"/>
              </m:rPr>
              <w:rPr>
                <w:rFonts w:ascii="Cambria Math" w:hAnsi="Cambria Math" w:cs="Times New Roman"/>
                <w:sz w:val="18"/>
                <w:szCs w:val="18"/>
              </w:rPr>
              <m:t>2</m:t>
            </m:r>
          </m:sup>
        </m:sSup>
        <m:r>
          <m:rPr>
            <m:sty m:val="p"/>
          </m:rPr>
          <w:rPr>
            <w:rFonts w:ascii="Cambria Math" w:hAnsi="Cambria Math" w:cs="Times New Roman"/>
            <w:sz w:val="18"/>
            <w:szCs w:val="18"/>
          </w:rPr>
          <m:t>}</m:t>
        </m:r>
      </m:oMath>
      <w:r>
        <w:rPr>
          <w:rFonts w:ascii="Times New Roman" w:hAnsi="Times New Roman" w:cs="Times New Roman"/>
          <w:sz w:val="18"/>
          <w:szCs w:val="18"/>
        </w:rPr>
        <w:t xml:space="preserve"> and the update step above until convergence. The Davies–Bouldin index (</w:t>
      </w:r>
      <w:hyperlink w:anchor="ref-daviesbouldin1979">
        <w:r>
          <w:rPr>
            <w:rStyle w:val="Hyperlink"/>
            <w:rFonts w:ascii="Times New Roman" w:hAnsi="Times New Roman" w:cs="Times New Roman"/>
            <w:sz w:val="18"/>
            <w:szCs w:val="18"/>
          </w:rPr>
          <w:t>Davies and Bouldin 1979</w:t>
        </w:r>
      </w:hyperlink>
      <w:r>
        <w:rPr>
          <w:rFonts w:ascii="Times New Roman" w:hAnsi="Times New Roman" w:cs="Times New Roman"/>
          <w:sz w:val="18"/>
          <w:szCs w:val="18"/>
        </w:rPr>
        <w:t>) (Section 4.6), left undefined in equation form there, is</w:t>
      </w:r>
    </w:p>
    <w:p w14:paraId="656A137B" w14:textId="33A17B3A" w:rsidR="00DA00EE" w:rsidRPr="00E32832" w:rsidRDefault="00F84C4B" w:rsidP="00BA5D5D">
      <w:pPr>
        <w:pStyle w:val="BodyText"/>
        <w:jc w:val="both"/>
        <w:rPr>
          <w:rFonts w:ascii="Times New Roman" w:hAnsi="Times New Roman" w:cs="Times New Roman"/>
          <w:sz w:val="18"/>
          <w:szCs w:val="18"/>
        </w:rPr>
      </w:pPr>
      <m:oMath>
        <m:r>
          <m:rPr>
            <m:nor/>
          </m:rPr>
          <w:rPr>
            <w:rFonts w:ascii="Times New Roman" w:hAnsi="Times New Roman" w:cs="Times New Roman"/>
            <w:sz w:val="18"/>
            <w:szCs w:val="18"/>
          </w:rPr>
          <m:t>DB</m:t>
        </m:r>
        <m:r>
          <m:rPr>
            <m:sty m:val="p"/>
          </m:rPr>
          <w:rPr>
            <w:rFonts w:ascii="Cambria Math" w:hAnsi="Cambria Math" w:cs="Times New Roman"/>
            <w:sz w:val="18"/>
            <w:szCs w:val="18"/>
          </w:rPr>
          <m:t>=</m:t>
        </m:r>
        <m:f>
          <m:fPr>
            <m:ctrlPr>
              <w:rPr>
                <w:rFonts w:ascii="Cambria Math" w:hAnsi="Cambria Math" w:cs="Times New Roman"/>
                <w:sz w:val="18"/>
                <w:szCs w:val="18"/>
              </w:rPr>
            </m:ctrlPr>
          </m:fPr>
          <m:num>
            <m:r>
              <m:rPr>
                <m:sty m:val="p"/>
              </m:rPr>
              <w:rPr>
                <w:rFonts w:ascii="Cambria Math" w:hAnsi="Cambria Math" w:cs="Times New Roman"/>
                <w:sz w:val="18"/>
                <w:szCs w:val="18"/>
              </w:rPr>
              <m:t>1</m:t>
            </m:r>
          </m:num>
          <m:den>
            <m:r>
              <m:rPr>
                <m:sty m:val="p"/>
              </m:rPr>
              <w:rPr>
                <w:rFonts w:ascii="Cambria Math" w:hAnsi="Cambria Math" w:cs="Times New Roman"/>
                <w:sz w:val="18"/>
                <w:szCs w:val="18"/>
              </w:rPr>
              <m:t>k</m:t>
            </m:r>
          </m:den>
        </m:f>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j=1</m:t>
            </m:r>
          </m:sub>
          <m:sup>
            <m:r>
              <m:rPr>
                <m:sty m:val="p"/>
              </m:rPr>
              <w:rPr>
                <w:rFonts w:ascii="Cambria Math" w:hAnsi="Cambria Math" w:cs="Times New Roman"/>
                <w:sz w:val="18"/>
                <w:szCs w:val="18"/>
              </w:rPr>
              <m:t>k</m:t>
            </m:r>
          </m:sup>
          <m:e>
            <m:limLow>
              <m:limLowPr>
                <m:ctrlPr>
                  <w:rPr>
                    <w:rFonts w:ascii="Cambria Math" w:hAnsi="Cambria Math" w:cs="Times New Roman"/>
                    <w:sz w:val="18"/>
                    <w:szCs w:val="18"/>
                  </w:rPr>
                </m:ctrlPr>
              </m:limLowPr>
              <m:e>
                <m:r>
                  <m:rPr>
                    <m:sty m:val="p"/>
                  </m:rPr>
                  <w:rPr>
                    <w:rFonts w:ascii="Cambria Math" w:hAnsi="Cambria Math" w:cs="Times New Roman"/>
                    <w:sz w:val="18"/>
                    <w:szCs w:val="18"/>
                  </w:rPr>
                  <m:t>max</m:t>
                </m:r>
              </m:e>
              <m:lim>
                <m:r>
                  <m:rPr>
                    <m:sty m:val="p"/>
                  </m:rPr>
                  <w:rPr>
                    <w:rFonts w:ascii="Cambria Math" w:hAnsi="Cambria Math" w:cs="Times New Roman"/>
                    <w:sz w:val="18"/>
                    <w:szCs w:val="18"/>
                  </w:rPr>
                  <m:t>j'≠j</m:t>
                </m:r>
              </m:lim>
            </m:limLow>
          </m:e>
        </m:nary>
        <m:d>
          <m:dPr>
            <m:ctrlPr>
              <w:rPr>
                <w:rFonts w:ascii="Cambria Math" w:hAnsi="Cambria Math" w:cs="Times New Roman"/>
                <w:sz w:val="18"/>
                <w:szCs w:val="18"/>
              </w:rPr>
            </m:ctrlPr>
          </m:dPr>
          <m:e>
            <m:f>
              <m:fPr>
                <m:ctrlPr>
                  <w:rPr>
                    <w:rFonts w:ascii="Cambria Math" w:hAnsi="Cambria Math" w:cs="Times New Roman"/>
                    <w:sz w:val="18"/>
                    <w:szCs w:val="18"/>
                  </w:rPr>
                </m:ctrlPr>
              </m:fPr>
              <m:num>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sty m:val="p"/>
                      </m:rPr>
                      <w:rPr>
                        <w:rFonts w:ascii="Cambria Math" w:hAnsi="Cambria Math" w:cs="Times New Roman"/>
                        <w:sz w:val="18"/>
                        <w:szCs w:val="18"/>
                      </w:rPr>
                      <m:t>j'</m:t>
                    </m:r>
                  </m:sub>
                </m:sSub>
              </m:num>
              <m:den>
                <m:r>
                  <m:rPr>
                    <m:sty m:val="p"/>
                  </m:rPr>
                  <w:rPr>
                    <w:rFonts w:ascii="Cambria Math" w:hAnsi="Cambria Math" w:cs="Times New Roman"/>
                    <w:sz w:val="18"/>
                    <w:szCs w:val="18"/>
                  </w:rPr>
                  <m:t>d</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e>
                </m:d>
              </m:den>
            </m:f>
          </m:e>
        </m:d>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rad>
          <m:radPr>
            <m:degHide m:val="1"/>
            <m:ctrlPr>
              <w:rPr>
                <w:rFonts w:ascii="Cambria Math" w:hAnsi="Cambria Math" w:cs="Times New Roman"/>
                <w:sz w:val="18"/>
                <w:szCs w:val="18"/>
              </w:rPr>
            </m:ctrlPr>
          </m:radPr>
          <m:deg/>
          <m:e>
            <m:f>
              <m:fPr>
                <m:ctrlPr>
                  <w:rPr>
                    <w:rFonts w:ascii="Cambria Math" w:hAnsi="Cambria Math" w:cs="Times New Roman"/>
                    <w:sz w:val="18"/>
                    <w:szCs w:val="18"/>
                  </w:rPr>
                </m:ctrlPr>
              </m:fPr>
              <m:num>
                <m:r>
                  <m:rPr>
                    <m:sty m:val="p"/>
                  </m:rPr>
                  <w:rPr>
                    <w:rFonts w:ascii="Cambria Math" w:hAnsi="Cambria Math" w:cs="Times New Roman"/>
                    <w:sz w:val="18"/>
                    <w:szCs w:val="18"/>
                  </w:rPr>
                  <m:t>1</m:t>
                </m:r>
              </m:num>
              <m:den>
                <m:d>
                  <m:dPr>
                    <m:begChr m:val="|"/>
                    <m:endChr m:val="|"/>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e>
                </m:d>
              </m:den>
            </m:f>
            <m:nary>
              <m:naryPr>
                <m:chr m:val="∑"/>
                <m:limLoc m:val="undOvr"/>
                <m:supHide m:val="1"/>
                <m:ctrlPr>
                  <w:rPr>
                    <w:rFonts w:ascii="Cambria Math" w:hAnsi="Cambria Math" w:cs="Times New Roman"/>
                    <w:sz w:val="18"/>
                    <w:szCs w:val="18"/>
                  </w:rPr>
                </m:ctrlPr>
              </m:naryPr>
              <m:sub>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sub>
              <m:sup>
                <m:r>
                  <m:rPr>
                    <m:sty m:val="p"/>
                  </m:rPr>
                  <w:rPr>
                    <w:rFonts w:ascii="Cambria Math" w:hAnsi="Cambria Math" w:cs="Times New Roman"/>
                    <w:sz w:val="18"/>
                    <w:szCs w:val="18"/>
                  </w:rPr>
                  <m:t>​</m:t>
                </m:r>
              </m:sup>
              <m:e>
                <m:r>
                  <m:rPr>
                    <m:sty m:val="p"/>
                  </m:rPr>
                  <w:rPr>
                    <w:rFonts w:ascii="Cambria Math" w:hAnsi="Cambria Math" w:cs="Times New Roman"/>
                    <w:sz w:val="18"/>
                    <w:szCs w:val="18"/>
                  </w:rPr>
                  <m:t>∥</m:t>
                </m:r>
              </m:e>
            </m:nary>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sSup>
              <m:sSupPr>
                <m:ctrlPr>
                  <w:rPr>
                    <w:rFonts w:ascii="Cambria Math" w:hAnsi="Cambria Math" w:cs="Times New Roman"/>
                    <w:sz w:val="18"/>
                    <w:szCs w:val="18"/>
                  </w:rPr>
                </m:ctrlPr>
              </m:sSupPr>
              <m:e>
                <m:r>
                  <m:rPr>
                    <m:sty m:val="p"/>
                  </m:rPr>
                  <w:rPr>
                    <w:rFonts w:ascii="Cambria Math" w:hAnsi="Cambria Math" w:cs="Times New Roman"/>
                    <w:sz w:val="18"/>
                    <w:szCs w:val="18"/>
                  </w:rPr>
                  <m:t>∥</m:t>
                </m:r>
              </m:e>
              <m:sup>
                <m:r>
                  <m:rPr>
                    <m:sty m:val="p"/>
                  </m:rPr>
                  <w:rPr>
                    <w:rFonts w:ascii="Cambria Math" w:hAnsi="Cambria Math" w:cs="Times New Roman"/>
                    <w:sz w:val="18"/>
                    <w:szCs w:val="18"/>
                  </w:rPr>
                  <m:t>2</m:t>
                </m:r>
              </m:sup>
            </m:sSup>
          </m:e>
        </m:rad>
      </m:oMath>
      <w:r>
        <w:rPr>
          <w:rFonts w:ascii="Times New Roman" w:hAnsi="Times New Roman" w:cs="Times New Roman"/>
          <w:b/>
          <w:sz w:val="18"/>
          <w:szCs w:val="18"/>
        </w:rPr>
        <w:t xml:space="preserve">  (24)</w:t>
      </w:r>
    </w:p>
    <w:p w14:paraId="317A4866" w14:textId="7CB9664A"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where </w:t>
      </w:r>
      <m:oMath>
        <m:r>
          <m:rPr>
            <m:sty m:val="p"/>
          </m:rPr>
          <w:rPr>
            <w:rFonts w:ascii="Cambria Math" w:hAnsi="Cambria Math" w:cs="Times New Roman"/>
            <w:sz w:val="18"/>
            <w:szCs w:val="18"/>
          </w:rPr>
          <m:t>d</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e>
        </m:d>
      </m:oMath>
      <w:r>
        <w:rPr>
          <w:rFonts w:ascii="Times New Roman" w:hAnsi="Times New Roman" w:cs="Times New Roman"/>
          <w:sz w:val="18"/>
          <w:szCs w:val="18"/>
        </w:rPr>
        <w:t xml:space="preserve"> is the Euclidean distance between centroids; lower values indicate better separated clusters. The Calinski–Harabasz index (</w:t>
      </w:r>
      <w:hyperlink w:anchor="ref-calinskiharabasz1974">
        <w:r>
          <w:rPr>
            <w:rStyle w:val="Hyperlink"/>
            <w:rFonts w:ascii="Times New Roman" w:hAnsi="Times New Roman" w:cs="Times New Roman"/>
            <w:sz w:val="18"/>
            <w:szCs w:val="18"/>
          </w:rPr>
          <w:t>Caliński and Harabasz 1974</w:t>
        </w:r>
      </w:hyperlink>
      <w:r>
        <w:rPr>
          <w:rFonts w:ascii="Times New Roman" w:hAnsi="Times New Roman" w:cs="Times New Roman"/>
          <w:sz w:val="18"/>
          <w:szCs w:val="18"/>
        </w:rPr>
        <w:t>) is</w:t>
      </w:r>
    </w:p>
    <w:p w14:paraId="3B384E6A" w14:textId="4993D038" w:rsidR="00DA00EE" w:rsidRPr="00E32832" w:rsidRDefault="00F84C4B" w:rsidP="00BA5D5D">
      <w:pPr>
        <w:pStyle w:val="BodyText"/>
        <w:jc w:val="both"/>
        <w:rPr>
          <w:rFonts w:ascii="Times New Roman" w:hAnsi="Times New Roman" w:cs="Times New Roman"/>
          <w:sz w:val="18"/>
          <w:szCs w:val="18"/>
        </w:rPr>
      </w:pPr>
      <m:oMath>
        <m:r>
          <m:rPr>
            <m:nor/>
          </m:rPr>
          <w:rPr>
            <w:rFonts w:ascii="Times New Roman" w:hAnsi="Times New Roman" w:cs="Times New Roman"/>
            <w:sz w:val="18"/>
            <w:szCs w:val="18"/>
          </w:rPr>
          <m:t>CH</m:t>
        </m:r>
        <m:r>
          <m:rPr>
            <m:sty m:val="p"/>
          </m:rPr>
          <w:rPr>
            <w:rFonts w:ascii="Cambria Math" w:hAnsi="Cambria Math" w:cs="Times New Roman"/>
            <w:sz w:val="18"/>
            <w:szCs w:val="18"/>
          </w:rPr>
          <m:t>=</m:t>
        </m:r>
        <m:f>
          <m:fPr>
            <m:ctrlPr>
              <w:rPr>
                <w:rFonts w:ascii="Cambria Math" w:hAnsi="Cambria Math" w:cs="Times New Roman"/>
                <w:sz w:val="18"/>
                <w:szCs w:val="18"/>
              </w:rPr>
            </m:ctrlPr>
          </m:fPr>
          <m:num>
            <m:r>
              <m:rPr>
                <m:nor/>
              </m:rPr>
              <w:rPr>
                <w:rFonts w:ascii="Times New Roman" w:hAnsi="Times New Roman" w:cs="Times New Roman"/>
                <w:sz w:val="18"/>
                <w:szCs w:val="18"/>
              </w:rPr>
              <m:t>tr</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B</m:t>
                    </m:r>
                  </m:e>
                  <m:sub>
                    <m:r>
                      <m:rPr>
                        <m:sty m:val="p"/>
                      </m:rPr>
                      <w:rPr>
                        <w:rFonts w:ascii="Cambria Math" w:hAnsi="Cambria Math" w:cs="Times New Roman"/>
                        <w:sz w:val="18"/>
                        <w:szCs w:val="18"/>
                      </w:rPr>
                      <m:t>k</m:t>
                    </m:r>
                  </m:sub>
                </m:sSub>
              </m:e>
            </m:d>
            <m:r>
              <m:rPr>
                <m:sty m:val="p"/>
              </m:rPr>
              <w:rPr>
                <w:rFonts w:ascii="Cambria Math" w:hAnsi="Cambria Math" w:cs="Times New Roman"/>
                <w:sz w:val="18"/>
                <w:szCs w:val="18"/>
              </w:rPr>
              <m:t>/</m:t>
            </m:r>
            <m:d>
              <m:dPr>
                <m:ctrlPr>
                  <w:rPr>
                    <w:rFonts w:ascii="Cambria Math" w:hAnsi="Cambria Math" w:cs="Times New Roman"/>
                    <w:sz w:val="18"/>
                    <w:szCs w:val="18"/>
                  </w:rPr>
                </m:ctrlPr>
              </m:dPr>
              <m:e>
                <m:r>
                  <m:rPr>
                    <m:sty m:val="p"/>
                  </m:rPr>
                  <w:rPr>
                    <w:rFonts w:ascii="Cambria Math" w:hAnsi="Cambria Math" w:cs="Times New Roman"/>
                    <w:sz w:val="18"/>
                    <w:szCs w:val="18"/>
                  </w:rPr>
                  <m:t>k-1</m:t>
                </m:r>
              </m:e>
            </m:d>
          </m:num>
          <m:den>
            <m:r>
              <m:rPr>
                <m:nor/>
              </m:rPr>
              <w:rPr>
                <w:rFonts w:ascii="Times New Roman" w:hAnsi="Times New Roman" w:cs="Times New Roman"/>
                <w:sz w:val="18"/>
                <w:szCs w:val="18"/>
              </w:rPr>
              <m:t>tr</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W</m:t>
                    </m:r>
                  </m:e>
                  <m:sub>
                    <m:r>
                      <m:rPr>
                        <m:sty m:val="p"/>
                      </m:rPr>
                      <w:rPr>
                        <w:rFonts w:ascii="Cambria Math" w:hAnsi="Cambria Math" w:cs="Times New Roman"/>
                        <w:sz w:val="18"/>
                        <w:szCs w:val="18"/>
                      </w:rPr>
                      <m:t>k</m:t>
                    </m:r>
                  </m:sub>
                </m:sSub>
              </m:e>
            </m:d>
            <m:r>
              <m:rPr>
                <m:sty m:val="p"/>
              </m:rPr>
              <w:rPr>
                <w:rFonts w:ascii="Cambria Math" w:hAnsi="Cambria Math" w:cs="Times New Roman"/>
                <w:sz w:val="18"/>
                <w:szCs w:val="18"/>
              </w:rPr>
              <m:t>/</m:t>
            </m:r>
            <m:d>
              <m:dPr>
                <m:ctrlPr>
                  <w:rPr>
                    <w:rFonts w:ascii="Cambria Math" w:hAnsi="Cambria Math" w:cs="Times New Roman"/>
                    <w:sz w:val="18"/>
                    <w:szCs w:val="18"/>
                  </w:rPr>
                </m:ctrlPr>
              </m:dPr>
              <m:e>
                <m:r>
                  <m:rPr>
                    <m:sty m:val="p"/>
                  </m:rPr>
                  <w:rPr>
                    <w:rFonts w:ascii="Cambria Math" w:hAnsi="Cambria Math" w:cs="Times New Roman"/>
                    <w:sz w:val="18"/>
                    <w:szCs w:val="18"/>
                  </w:rPr>
                  <m:t>N-k</m:t>
                </m:r>
              </m:e>
            </m:d>
          </m:den>
        </m:f>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B</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j=1</m:t>
            </m:r>
          </m:sub>
          <m:sup>
            <m:r>
              <m:rPr>
                <m:sty m:val="p"/>
              </m:rPr>
              <w:rPr>
                <w:rFonts w:ascii="Cambria Math" w:hAnsi="Cambria Math" w:cs="Times New Roman"/>
                <w:sz w:val="18"/>
                <w:szCs w:val="18"/>
              </w:rPr>
              <m:t>k</m:t>
            </m:r>
          </m:sup>
          <m:e>
            <m:d>
              <m:dPr>
                <m:begChr m:val="|"/>
                <m:endChr m:val="|"/>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e>
            </m:d>
          </m:e>
        </m:nary>
        <m:r>
          <m:rPr>
            <m:sty m:val="p"/>
          </m:rPr>
          <w:rPr>
            <w:rFonts w:ascii="Cambria Math" w:hAnsi="Cambria Math" w:cs="Times New Roman"/>
            <w:sz w:val="18"/>
            <w:szCs w:val="18"/>
          </w:rPr>
          <m:t> </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e>
        </m:d>
        <m:sSup>
          <m:sSupPr>
            <m:ctrlPr>
              <w:rPr>
                <w:rFonts w:ascii="Cambria Math" w:hAnsi="Cambria Math" w:cs="Times New Roman"/>
                <w:sz w:val="18"/>
                <w:szCs w:val="18"/>
              </w:rPr>
            </m:ctrlPr>
          </m:sSupPr>
          <m:e>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r>
                  <m:rPr>
                    <m:sty m:val="p"/>
                  </m:rPr>
                  <w:rPr>
                    <w:rFonts w:ascii="Cambria Math" w:hAnsi="Cambria Math" w:cs="Times New Roman"/>
                    <w:sz w:val="18"/>
                    <w:szCs w:val="18"/>
                  </w:rPr>
                  <m:t>-</m:t>
                </m:r>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e>
            </m:d>
          </m:e>
          <m:sup>
            <m:r>
              <m:rPr>
                <m:sty m:val="p"/>
              </m:rPr>
              <w:rPr>
                <w:rFonts w:ascii="Cambria Math" w:hAnsi="Cambria Math" w:cs="Times New Roman"/>
                <w:sz w:val="18"/>
                <w:szCs w:val="18"/>
              </w:rPr>
              <m:t>⊤</m:t>
            </m:r>
          </m:sup>
        </m:sSup>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W</m:t>
            </m:r>
          </m:e>
          <m:sub>
            <m:r>
              <m:rPr>
                <m:sty m:val="p"/>
              </m:rPr>
              <w:rPr>
                <w:rFonts w:ascii="Cambria Math" w:hAnsi="Cambria Math" w:cs="Times New Roman"/>
                <w:sz w:val="18"/>
                <w:szCs w:val="18"/>
              </w:rPr>
              <m:t>k</m:t>
            </m:r>
          </m:sub>
        </m:sSub>
        <m:r>
          <m:rPr>
            <m:sty m:val="p"/>
          </m:rPr>
          <w:rPr>
            <w:rFonts w:ascii="Cambria Math" w:hAnsi="Cambria Math" w:cs="Times New Roman"/>
            <w:sz w:val="18"/>
            <w:szCs w:val="18"/>
          </w:rPr>
          <m:t>=</m:t>
        </m:r>
        <m:nary>
          <m:naryPr>
            <m:chr m:val="∑"/>
            <m:limLoc m:val="undOvr"/>
            <m:ctrlPr>
              <w:rPr>
                <w:rFonts w:ascii="Cambria Math" w:hAnsi="Cambria Math" w:cs="Times New Roman"/>
                <w:sz w:val="18"/>
                <w:szCs w:val="18"/>
              </w:rPr>
            </m:ctrlPr>
          </m:naryPr>
          <m:sub>
            <m:r>
              <m:rPr>
                <m:sty m:val="p"/>
              </m:rPr>
              <w:rPr>
                <w:rFonts w:ascii="Cambria Math" w:hAnsi="Cambria Math" w:cs="Times New Roman"/>
                <w:sz w:val="18"/>
                <w:szCs w:val="18"/>
              </w:rPr>
              <m:t>j=1</m:t>
            </m:r>
          </m:sub>
          <m:sup>
            <m:r>
              <m:rPr>
                <m:sty m:val="p"/>
              </m:rPr>
              <w:rPr>
                <w:rFonts w:ascii="Cambria Math" w:hAnsi="Cambria Math" w:cs="Times New Roman"/>
                <w:sz w:val="18"/>
                <w:szCs w:val="18"/>
              </w:rPr>
              <m:t>k</m:t>
            </m:r>
          </m:sup>
          <m:e>
            <m:nary>
              <m:naryPr>
                <m:chr m:val="∑"/>
                <m:limLoc m:val="undOvr"/>
                <m:supHide m:val="1"/>
                <m:ctrlPr>
                  <w:rPr>
                    <w:rFonts w:ascii="Cambria Math" w:hAnsi="Cambria Math" w:cs="Times New Roman"/>
                    <w:sz w:val="18"/>
                    <w:szCs w:val="18"/>
                  </w:rPr>
                </m:ctrlPr>
              </m:naryPr>
              <m:sub>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C</m:t>
                    </m:r>
                  </m:e>
                  <m:sub>
                    <m:r>
                      <m:rPr>
                        <m:sty m:val="p"/>
                      </m:rPr>
                      <w:rPr>
                        <w:rFonts w:ascii="Cambria Math" w:hAnsi="Cambria Math" w:cs="Times New Roman"/>
                        <w:sz w:val="18"/>
                        <w:szCs w:val="18"/>
                      </w:rPr>
                      <m:t>j</m:t>
                    </m:r>
                  </m:sub>
                </m:sSub>
              </m:sub>
              <m:sup>
                <m:r>
                  <m:rPr>
                    <m:sty m:val="p"/>
                  </m:rPr>
                  <w:rPr>
                    <w:rFonts w:ascii="Cambria Math" w:hAnsi="Cambria Math" w:cs="Times New Roman"/>
                    <w:sz w:val="18"/>
                    <w:szCs w:val="18"/>
                  </w:rPr>
                  <m:t>​</m:t>
                </m:r>
              </m:sup>
              <m:e>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e>
                </m:d>
              </m:e>
            </m:nary>
          </m:e>
        </m:nary>
        <m:sSup>
          <m:sSupPr>
            <m:ctrlPr>
              <w:rPr>
                <w:rFonts w:ascii="Cambria Math" w:hAnsi="Cambria Math" w:cs="Times New Roman"/>
                <w:sz w:val="18"/>
                <w:szCs w:val="18"/>
              </w:rPr>
            </m:ctrlPr>
          </m:sSupPr>
          <m:e>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i</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μ</m:t>
                    </m:r>
                  </m:e>
                  <m:sub>
                    <m:r>
                      <m:rPr>
                        <m:sty m:val="p"/>
                      </m:rPr>
                      <w:rPr>
                        <w:rFonts w:ascii="Cambria Math" w:hAnsi="Cambria Math" w:cs="Times New Roman"/>
                        <w:sz w:val="18"/>
                        <w:szCs w:val="18"/>
                      </w:rPr>
                      <m:t>j</m:t>
                    </m:r>
                  </m:sub>
                </m:sSub>
              </m:e>
            </m:d>
          </m:e>
          <m:sup>
            <m:r>
              <m:rPr>
                <m:sty m:val="p"/>
              </m:rPr>
              <w:rPr>
                <w:rFonts w:ascii="Cambria Math" w:hAnsi="Cambria Math" w:cs="Times New Roman"/>
                <w:sz w:val="18"/>
                <w:szCs w:val="18"/>
              </w:rPr>
              <m:t>⊤</m:t>
            </m:r>
          </m:sup>
        </m:sSup>
      </m:oMath>
      <w:r>
        <w:rPr>
          <w:rFonts w:ascii="Times New Roman" w:hAnsi="Times New Roman" w:cs="Times New Roman"/>
          <w:b/>
          <w:sz w:val="18"/>
          <w:szCs w:val="18"/>
        </w:rPr>
        <w:t xml:space="preserve">  (25)</w:t>
      </w:r>
    </w:p>
    <w:p w14:paraId="7A251EC8" w14:textId="79660E5C"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where </w:t>
      </w:r>
      <m:oMath>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oMath>
      <w:r>
        <w:rPr>
          <w:rFonts w:ascii="Times New Roman" w:hAnsi="Times New Roman" w:cs="Times New Roman"/>
          <w:sz w:val="18"/>
          <w:szCs w:val="18"/>
        </w:rPr>
        <w:t xml:space="preserve"> is the global mean of all points, </w:t>
      </w:r>
      <m:oMath>
        <m:sSub>
          <m:sSubPr>
            <m:ctrlPr>
              <w:rPr>
                <w:rFonts w:ascii="Cambria Math" w:hAnsi="Cambria Math" w:cs="Times New Roman"/>
                <w:sz w:val="18"/>
                <w:szCs w:val="18"/>
              </w:rPr>
            </m:ctrlPr>
          </m:sSubPr>
          <m:e>
            <m:r>
              <m:rPr>
                <m:sty m:val="p"/>
              </m:rPr>
              <w:rPr>
                <w:rFonts w:ascii="Cambria Math" w:hAnsi="Cambria Math" w:cs="Times New Roman"/>
                <w:sz w:val="18"/>
                <w:szCs w:val="18"/>
              </w:rPr>
              <m:t>B</m:t>
            </m:r>
          </m:e>
          <m:sub>
            <m:r>
              <m:rPr>
                <m:sty m:val="p"/>
              </m:rPr>
              <w:rPr>
                <w:rFonts w:ascii="Cambria Math" w:hAnsi="Cambria Math" w:cs="Times New Roman"/>
                <w:sz w:val="18"/>
                <w:szCs w:val="18"/>
              </w:rPr>
              <m:t>k</m:t>
            </m:r>
          </m:sub>
        </m:sSub>
      </m:oMath>
      <w:r>
        <w:rPr>
          <w:rFonts w:ascii="Times New Roman" w:hAnsi="Times New Roman" w:cs="Times New Roman"/>
          <w:sz w:val="18"/>
          <w:szCs w:val="18"/>
        </w:rPr>
        <w:t xml:space="preserve"> is the between cluster dispersion matrix, and </w:t>
      </w:r>
      <m:oMath>
        <m:sSub>
          <m:sSubPr>
            <m:ctrlPr>
              <w:rPr>
                <w:rFonts w:ascii="Cambria Math" w:hAnsi="Cambria Math" w:cs="Times New Roman"/>
                <w:sz w:val="18"/>
                <w:szCs w:val="18"/>
              </w:rPr>
            </m:ctrlPr>
          </m:sSubPr>
          <m:e>
            <m:r>
              <m:rPr>
                <m:sty m:val="p"/>
              </m:rPr>
              <w:rPr>
                <w:rFonts w:ascii="Cambria Math" w:hAnsi="Cambria Math" w:cs="Times New Roman"/>
                <w:sz w:val="18"/>
                <w:szCs w:val="18"/>
              </w:rPr>
              <m:t>W</m:t>
            </m:r>
          </m:e>
          <m:sub>
            <m:r>
              <m:rPr>
                <m:sty m:val="p"/>
              </m:rPr>
              <w:rPr>
                <w:rFonts w:ascii="Cambria Math" w:hAnsi="Cambria Math" w:cs="Times New Roman"/>
                <w:sz w:val="18"/>
                <w:szCs w:val="18"/>
              </w:rPr>
              <m:t>k</m:t>
            </m:r>
          </m:sub>
        </m:sSub>
      </m:oMath>
      <w:r>
        <w:rPr>
          <w:rFonts w:ascii="Times New Roman" w:hAnsi="Times New Roman" w:cs="Times New Roman"/>
          <w:sz w:val="18"/>
          <w:szCs w:val="18"/>
        </w:rPr>
        <w:t xml:space="preserve"> is the within cluster dispersion matrix; higher values indicate better separated clusters.</w:t>
      </w:r>
    </w:p>
    <w:p w14:paraId="0A8B539B" w14:textId="45725D7E"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Section 4.1’s running accumulators </w:t>
      </w:r>
      <m:oMath>
        <m:r>
          <m:rPr>
            <m:sty m:val="p"/>
          </m:rPr>
          <w:rPr>
            <w:rFonts w:ascii="Cambria Math" w:hAnsi="Cambria Math" w:cs="Times New Roman"/>
            <w:sz w:val="18"/>
            <w:szCs w:val="18"/>
          </w:rPr>
          <m:t>S</m:t>
        </m:r>
      </m:oMath>
      <w:r>
        <w:rPr>
          <w:rFonts w:ascii="Times New Roman" w:hAnsi="Times New Roman" w:cs="Times New Roman"/>
          <w:sz w:val="18"/>
          <w:szCs w:val="18"/>
        </w:rPr>
        <w:t xml:space="preserve"> and </w:t>
      </w:r>
      <m:oMath>
        <m:r>
          <m:rPr>
            <m:sty m:val="p"/>
          </m:rPr>
          <w:rPr>
            <w:rFonts w:ascii="Cambria Math" w:hAnsi="Cambria Math" w:cs="Times New Roman"/>
            <w:sz w:val="18"/>
            <w:szCs w:val="18"/>
          </w:rPr>
          <m:t>Q</m:t>
        </m:r>
      </m:oMath>
      <w:r>
        <w:rPr>
          <w:rFonts w:ascii="Times New Roman" w:hAnsi="Times New Roman" w:cs="Times New Roman"/>
          <w:sz w:val="18"/>
          <w:szCs w:val="18"/>
        </w:rPr>
        <w:t xml:space="preserve"> are a batched form of Welford’s classical single pass update (</w:t>
      </w:r>
      <w:hyperlink w:anchor="ref-welford1962">
        <w:r>
          <w:rPr>
            <w:rStyle w:val="Hyperlink"/>
            <w:rFonts w:ascii="Times New Roman" w:hAnsi="Times New Roman" w:cs="Times New Roman"/>
            <w:sz w:val="18"/>
            <w:szCs w:val="18"/>
          </w:rPr>
          <w:t>Welford 1962</w:t>
        </w:r>
      </w:hyperlink>
      <w:r>
        <w:rPr>
          <w:rFonts w:ascii="Times New Roman" w:hAnsi="Times New Roman" w:cs="Times New Roman"/>
          <w:sz w:val="18"/>
          <w:szCs w:val="18"/>
        </w:rPr>
        <w:t xml:space="preserve">) for the sample mean </w:t>
      </w:r>
      <m:oMath>
        <m:sSub>
          <m:sSubPr>
            <m:ctrlPr>
              <w:rPr>
                <w:rFonts w:ascii="Cambria Math" w:hAnsi="Cambria Math" w:cs="Times New Roman"/>
                <w:sz w:val="18"/>
                <w:szCs w:val="18"/>
              </w:rPr>
            </m:ctrlPr>
          </m:sSubPr>
          <m:e>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e>
          <m:sub>
            <m:r>
              <m:rPr>
                <m:sty m:val="p"/>
              </m:rPr>
              <w:rPr>
                <w:rFonts w:ascii="Cambria Math" w:hAnsi="Cambria Math" w:cs="Times New Roman"/>
                <w:sz w:val="18"/>
                <w:szCs w:val="18"/>
              </w:rPr>
              <m:t>n</m:t>
            </m:r>
          </m:sub>
        </m:sSub>
      </m:oMath>
      <w:r>
        <w:rPr>
          <w:rFonts w:ascii="Times New Roman" w:hAnsi="Times New Roman" w:cs="Times New Roman"/>
          <w:sz w:val="18"/>
          <w:szCs w:val="18"/>
        </w:rPr>
        <w:t xml:space="preserve"> and sum of squared deviations </w:t>
      </w:r>
      <m:oMath>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n</m:t>
            </m:r>
          </m:sub>
        </m:sSub>
      </m:oMath>
      <w:r>
        <w:rPr>
          <w:rFonts w:ascii="Times New Roman" w:hAnsi="Times New Roman" w:cs="Times New Roman"/>
          <w:sz w:val="18"/>
          <w:szCs w:val="18"/>
        </w:rPr>
        <w:t xml:space="preserve"> after observing </w:t>
      </w:r>
      <m:oMath>
        <m:r>
          <m:rPr>
            <m:sty m:val="p"/>
          </m:rPr>
          <w:rPr>
            <w:rFonts w:ascii="Cambria Math" w:hAnsi="Cambria Math" w:cs="Times New Roman"/>
            <w:sz w:val="18"/>
            <w:szCs w:val="18"/>
          </w:rPr>
          <m:t>n</m:t>
        </m:r>
      </m:oMath>
      <w:r>
        <w:rPr>
          <w:rFonts w:ascii="Times New Roman" w:hAnsi="Times New Roman" w:cs="Times New Roman"/>
          <w:sz w:val="18"/>
          <w:szCs w:val="18"/>
        </w:rPr>
        <w:t xml:space="preserve"> points, which for a newly arriving value </w:t>
      </w:r>
      <m:oMath>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n</m:t>
            </m:r>
          </m:sub>
        </m:sSub>
      </m:oMath>
      <w:r>
        <w:rPr>
          <w:rFonts w:ascii="Times New Roman" w:hAnsi="Times New Roman" w:cs="Times New Roman"/>
          <w:sz w:val="18"/>
          <w:szCs w:val="18"/>
        </w:rPr>
        <w:t xml:space="preserve"> updates as</w:t>
      </w:r>
    </w:p>
    <w:p w14:paraId="1E132113" w14:textId="0A96685C" w:rsidR="00DA00EE" w:rsidRPr="00E32832" w:rsidRDefault="00000000" w:rsidP="00BA5D5D">
      <w:pPr>
        <w:pStyle w:val="BodyText"/>
        <w:jc w:val="both"/>
        <w:rPr>
          <w:rFonts w:ascii="Times New Roman" w:hAnsi="Times New Roman" w:cs="Times New Roman"/>
          <w:sz w:val="18"/>
          <w:szCs w:val="18"/>
        </w:rPr>
      </w:pPr>
      <m:oMath>
        <m:sSub>
          <m:sSubPr>
            <m:ctrlPr>
              <w:rPr>
                <w:rFonts w:ascii="Cambria Math" w:hAnsi="Cambria Math" w:cs="Times New Roman"/>
                <w:sz w:val="18"/>
                <w:szCs w:val="18"/>
              </w:rPr>
            </m:ctrlPr>
          </m:sSubPr>
          <m:e>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e>
          <m:sub>
            <m:r>
              <m:rPr>
                <m:sty m:val="p"/>
              </m:rPr>
              <w:rPr>
                <w:rFonts w:ascii="Cambria Math" w:hAnsi="Cambria Math" w:cs="Times New Roman"/>
                <w:sz w:val="18"/>
                <w:szCs w:val="18"/>
              </w:rPr>
              <m:t>n</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e>
          <m:sub>
            <m:r>
              <m:rPr>
                <m:sty m:val="p"/>
              </m:rPr>
              <w:rPr>
                <w:rFonts w:ascii="Cambria Math" w:hAnsi="Cambria Math" w:cs="Times New Roman"/>
                <w:sz w:val="18"/>
                <w:szCs w:val="18"/>
              </w:rPr>
              <m:t>n-1</m:t>
            </m:r>
          </m:sub>
        </m:sSub>
        <m:r>
          <m:rPr>
            <m:sty m:val="p"/>
          </m:rPr>
          <w:rPr>
            <w:rFonts w:ascii="Cambria Math" w:hAnsi="Cambria Math" w:cs="Times New Roman"/>
            <w:sz w:val="18"/>
            <w:szCs w:val="18"/>
          </w:rPr>
          <m:t>+</m:t>
        </m:r>
        <m:f>
          <m:fPr>
            <m:ctrlPr>
              <w:rPr>
                <w:rFonts w:ascii="Cambria Math" w:hAnsi="Cambria Math" w:cs="Times New Roman"/>
                <w:sz w:val="18"/>
                <w:szCs w:val="18"/>
              </w:rPr>
            </m:ctrlPr>
          </m:fPr>
          <m:num>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n</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e>
              <m:sub>
                <m:r>
                  <m:rPr>
                    <m:sty m:val="p"/>
                  </m:rPr>
                  <w:rPr>
                    <w:rFonts w:ascii="Cambria Math" w:hAnsi="Cambria Math" w:cs="Times New Roman"/>
                    <w:sz w:val="18"/>
                    <w:szCs w:val="18"/>
                  </w:rPr>
                  <m:t>n-1</m:t>
                </m:r>
              </m:sub>
            </m:sSub>
          </m:num>
          <m:den>
            <m:r>
              <m:rPr>
                <m:sty m:val="p"/>
              </m:rPr>
              <w:rPr>
                <w:rFonts w:ascii="Cambria Math" w:hAnsi="Cambria Math" w:cs="Times New Roman"/>
                <w:sz w:val="18"/>
                <w:szCs w:val="18"/>
              </w:rPr>
              <m:t>n</m:t>
            </m:r>
          </m:den>
        </m:f>
        <m:r>
          <m:rPr>
            <m:sty m:val="p"/>
          </m:rPr>
          <w:rPr>
            <w:rFonts w:ascii="Cambria Math" w:hAnsi="Cambria Math" w:cs="Times New Roman"/>
            <w:sz w:val="18"/>
            <w:szCs w:val="18"/>
          </w:rPr>
          <m:t>,  </m:t>
        </m:r>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n</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n-1</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n</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e>
              <m:sub>
                <m:r>
                  <m:rPr>
                    <m:sty m:val="p"/>
                  </m:rPr>
                  <w:rPr>
                    <w:rFonts w:ascii="Cambria Math" w:hAnsi="Cambria Math" w:cs="Times New Roman"/>
                    <w:sz w:val="18"/>
                    <w:szCs w:val="18"/>
                  </w:rPr>
                  <m:t>n-1</m:t>
                </m:r>
              </m:sub>
            </m:sSub>
          </m:e>
        </m:d>
        <m:d>
          <m:dPr>
            <m:ctrlPr>
              <w:rPr>
                <w:rFonts w:ascii="Cambria Math" w:hAnsi="Cambria Math" w:cs="Times New Roman"/>
                <w:sz w:val="18"/>
                <w:szCs w:val="18"/>
              </w:rPr>
            </m:ctrlPr>
          </m:dPr>
          <m:e>
            <m:sSub>
              <m:sSubPr>
                <m:ctrlPr>
                  <w:rPr>
                    <w:rFonts w:ascii="Cambria Math" w:hAnsi="Cambria Math" w:cs="Times New Roman"/>
                    <w:sz w:val="18"/>
                    <w:szCs w:val="18"/>
                  </w:rPr>
                </m:ctrlPr>
              </m:sSubPr>
              <m:e>
                <m:r>
                  <m:rPr>
                    <m:sty m:val="p"/>
                  </m:rPr>
                  <w:rPr>
                    <w:rFonts w:ascii="Cambria Math" w:hAnsi="Cambria Math" w:cs="Times New Roman"/>
                    <w:sz w:val="18"/>
                    <w:szCs w:val="18"/>
                  </w:rPr>
                  <m:t>x</m:t>
                </m:r>
              </m:e>
              <m:sub>
                <m:r>
                  <m:rPr>
                    <m:sty m:val="p"/>
                  </m:rPr>
                  <w:rPr>
                    <w:rFonts w:ascii="Cambria Math" w:hAnsi="Cambria Math" w:cs="Times New Roman"/>
                    <w:sz w:val="18"/>
                    <w:szCs w:val="18"/>
                  </w:rPr>
                  <m:t>n</m:t>
                </m:r>
              </m:sub>
            </m:sSub>
            <m:r>
              <m:rPr>
                <m:sty m:val="p"/>
              </m:rPr>
              <w:rPr>
                <w:rFonts w:ascii="Cambria Math" w:hAnsi="Cambria Math" w:cs="Times New Roman"/>
                <w:sz w:val="18"/>
                <w:szCs w:val="18"/>
              </w:rPr>
              <m:t>-</m:t>
            </m:r>
            <m:sSub>
              <m:sSubPr>
                <m:ctrlPr>
                  <w:rPr>
                    <w:rFonts w:ascii="Cambria Math" w:hAnsi="Cambria Math" w:cs="Times New Roman"/>
                    <w:sz w:val="18"/>
                    <w:szCs w:val="18"/>
                  </w:rPr>
                </m:ctrlPr>
              </m:sSubPr>
              <m:e>
                <m:acc>
                  <m:accPr>
                    <m:chr m:val="‾"/>
                    <m:ctrlPr>
                      <w:rPr>
                        <w:rFonts w:ascii="Cambria Math" w:hAnsi="Cambria Math" w:cs="Times New Roman"/>
                        <w:sz w:val="18"/>
                        <w:szCs w:val="18"/>
                      </w:rPr>
                    </m:ctrlPr>
                  </m:accPr>
                  <m:e>
                    <m:r>
                      <m:rPr>
                        <m:sty m:val="p"/>
                      </m:rPr>
                      <w:rPr>
                        <w:rFonts w:ascii="Cambria Math" w:hAnsi="Cambria Math" w:cs="Times New Roman"/>
                        <w:sz w:val="18"/>
                        <w:szCs w:val="18"/>
                      </w:rPr>
                      <m:t>x</m:t>
                    </m:r>
                  </m:e>
                </m:acc>
              </m:e>
              <m:sub>
                <m:r>
                  <m:rPr>
                    <m:sty m:val="p"/>
                  </m:rPr>
                  <w:rPr>
                    <w:rFonts w:ascii="Cambria Math" w:hAnsi="Cambria Math" w:cs="Times New Roman"/>
                    <w:sz w:val="18"/>
                    <w:szCs w:val="18"/>
                  </w:rPr>
                  <m:t>n</m:t>
                </m:r>
              </m:sub>
            </m:sSub>
          </m:e>
        </m:d>
      </m:oMath>
      <w:r>
        <w:rPr>
          <w:rFonts w:ascii="Times New Roman" w:hAnsi="Times New Roman" w:cs="Times New Roman"/>
          <w:b/>
          <w:sz w:val="18"/>
          <w:szCs w:val="18"/>
        </w:rPr>
        <w:t xml:space="preserve">  (26)</w:t>
      </w:r>
    </w:p>
    <w:p w14:paraId="5EE89F7B" w14:textId="66E4142C"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with the sample variance recovered as </w:t>
      </w:r>
      <m:oMath>
        <m:sSubSup>
          <m:sSubSupPr>
            <m:ctrlPr>
              <w:rPr>
                <w:rFonts w:ascii="Cambria Math" w:hAnsi="Cambria Math" w:cs="Times New Roman"/>
                <w:sz w:val="18"/>
                <w:szCs w:val="18"/>
              </w:rPr>
            </m:ctrlPr>
          </m:sSubSupPr>
          <m:e>
            <m:r>
              <m:rPr>
                <m:sty m:val="p"/>
              </m:rPr>
              <w:rPr>
                <w:rFonts w:ascii="Cambria Math" w:hAnsi="Cambria Math" w:cs="Times New Roman"/>
                <w:sz w:val="18"/>
                <w:szCs w:val="18"/>
              </w:rPr>
              <m:t>s</m:t>
            </m:r>
          </m:e>
          <m:sub>
            <m:r>
              <m:rPr>
                <m:sty m:val="p"/>
              </m:rPr>
              <w:rPr>
                <w:rFonts w:ascii="Cambria Math" w:hAnsi="Cambria Math" w:cs="Times New Roman"/>
                <w:sz w:val="18"/>
                <w:szCs w:val="18"/>
              </w:rPr>
              <m:t>n</m:t>
            </m:r>
          </m:sub>
          <m:sup>
            <m:r>
              <m:rPr>
                <m:sty m:val="p"/>
              </m:rPr>
              <w:rPr>
                <w:rFonts w:ascii="Cambria Math" w:hAnsi="Cambria Math" w:cs="Times New Roman"/>
                <w:sz w:val="18"/>
                <w:szCs w:val="18"/>
              </w:rPr>
              <m:t>2</m:t>
            </m:r>
          </m:sup>
        </m:sSubSup>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M</m:t>
            </m:r>
          </m:e>
          <m:sub>
            <m:r>
              <m:rPr>
                <m:sty m:val="p"/>
              </m:rPr>
              <w:rPr>
                <w:rFonts w:ascii="Cambria Math" w:hAnsi="Cambria Math" w:cs="Times New Roman"/>
                <w:sz w:val="18"/>
                <w:szCs w:val="18"/>
              </w:rPr>
              <m:t>n</m:t>
            </m:r>
          </m:sub>
        </m:sSub>
        <m:r>
          <m:rPr>
            <m:sty m:val="p"/>
          </m:rPr>
          <w:rPr>
            <w:rFonts w:ascii="Cambria Math" w:hAnsi="Cambria Math" w:cs="Times New Roman"/>
            <w:sz w:val="18"/>
            <w:szCs w:val="18"/>
          </w:rPr>
          <m:t>/</m:t>
        </m:r>
        <m:d>
          <m:dPr>
            <m:ctrlPr>
              <w:rPr>
                <w:rFonts w:ascii="Cambria Math" w:hAnsi="Cambria Math" w:cs="Times New Roman"/>
                <w:sz w:val="18"/>
                <w:szCs w:val="18"/>
              </w:rPr>
            </m:ctrlPr>
          </m:dPr>
          <m:e>
            <m:r>
              <m:rPr>
                <m:sty m:val="p"/>
              </m:rPr>
              <w:rPr>
                <w:rFonts w:ascii="Cambria Math" w:hAnsi="Cambria Math" w:cs="Times New Roman"/>
                <w:sz w:val="18"/>
                <w:szCs w:val="18"/>
              </w:rPr>
              <m:t>n-1</m:t>
            </m:r>
          </m:e>
        </m:d>
      </m:oMath>
      <w:r>
        <w:rPr>
          <w:rFonts w:ascii="Times New Roman" w:hAnsi="Times New Roman" w:cs="Times New Roman"/>
          <w:sz w:val="18"/>
          <w:szCs w:val="18"/>
        </w:rPr>
        <w:t xml:space="preserve">. This form is numerically more stable than accumulating </w:t>
      </w:r>
      <m:oMath>
        <m:r>
          <m:rPr>
            <m:sty m:val="p"/>
          </m:rPr>
          <w:rPr>
            <w:rFonts w:ascii="Cambria Math" w:hAnsi="Cambria Math" w:cs="Times New Roman"/>
            <w:sz w:val="18"/>
            <w:szCs w:val="18"/>
          </w:rPr>
          <m:t>∑x</m:t>
        </m:r>
      </m:oMath>
      <w:r>
        <w:rPr>
          <w:rFonts w:ascii="Times New Roman" w:hAnsi="Times New Roman" w:cs="Times New Roman"/>
          <w:sz w:val="18"/>
          <w:szCs w:val="18"/>
        </w:rPr>
        <w:t xml:space="preserve"> and </w:t>
      </w:r>
      <m:oMath>
        <m:r>
          <m:rPr>
            <m:sty m:val="p"/>
          </m:rPr>
          <w:rPr>
            <w:rFonts w:ascii="Cambria Math" w:hAnsi="Cambria Math" w:cs="Times New Roman"/>
            <w:sz w:val="18"/>
            <w:szCs w:val="18"/>
          </w:rPr>
          <m:t>∑</m:t>
        </m:r>
        <m:sSup>
          <m:sSupPr>
            <m:ctrlPr>
              <w:rPr>
                <w:rFonts w:ascii="Cambria Math" w:hAnsi="Cambria Math" w:cs="Times New Roman"/>
                <w:sz w:val="18"/>
                <w:szCs w:val="18"/>
              </w:rPr>
            </m:ctrlPr>
          </m:sSupPr>
          <m:e>
            <m:r>
              <m:rPr>
                <m:sty m:val="p"/>
              </m:rPr>
              <w:rPr>
                <w:rFonts w:ascii="Cambria Math" w:hAnsi="Cambria Math" w:cs="Times New Roman"/>
                <w:sz w:val="18"/>
                <w:szCs w:val="18"/>
              </w:rPr>
              <m:t>x</m:t>
            </m:r>
          </m:e>
          <m:sup>
            <m:r>
              <m:rPr>
                <m:sty m:val="p"/>
              </m:rPr>
              <w:rPr>
                <w:rFonts w:ascii="Cambria Math" w:hAnsi="Cambria Math" w:cs="Times New Roman"/>
                <w:sz w:val="18"/>
                <w:szCs w:val="18"/>
              </w:rPr>
              <m:t>2</m:t>
            </m:r>
          </m:sup>
        </m:sSup>
      </m:oMath>
      <w:r>
        <w:rPr>
          <w:rFonts w:ascii="Times New Roman" w:hAnsi="Times New Roman" w:cs="Times New Roman"/>
          <w:sz w:val="18"/>
          <w:szCs w:val="18"/>
        </w:rPr>
        <w:t xml:space="preserve"> separately for large </w:t>
      </w:r>
      <m:oMath>
        <m:r>
          <m:rPr>
            <m:sty m:val="p"/>
          </m:rPr>
          <w:rPr>
            <w:rFonts w:ascii="Cambria Math" w:hAnsi="Cambria Math" w:cs="Times New Roman"/>
            <w:sz w:val="18"/>
            <w:szCs w:val="18"/>
          </w:rPr>
          <m:t>n</m:t>
        </m:r>
      </m:oMath>
      <w:r>
        <w:rPr>
          <w:rFonts w:ascii="Times New Roman" w:hAnsi="Times New Roman" w:cs="Times New Roman"/>
          <w:sz w:val="18"/>
          <w:szCs w:val="18"/>
        </w:rPr>
        <w:t xml:space="preserve">, though the pipeline’s own implementation (Section 4.1) uses the simpler sum/sum of squares form since </w:t>
      </w:r>
      <m:oMath>
        <m:r>
          <m:rPr>
            <m:sty m:val="p"/>
          </m:rPr>
          <w:rPr>
            <w:rFonts w:ascii="Cambria Math" w:hAnsi="Cambria Math" w:cs="Times New Roman"/>
            <w:sz w:val="18"/>
            <w:szCs w:val="18"/>
          </w:rPr>
          <m:t>N</m:t>
        </m:r>
      </m:oMath>
      <w:r>
        <w:rPr>
          <w:rFonts w:ascii="Times New Roman" w:hAnsi="Times New Roman" w:cs="Times New Roman"/>
          <w:sz w:val="18"/>
          <w:szCs w:val="18"/>
        </w:rPr>
        <w:t xml:space="preserve"> per session is bounded (at most ~2000 images) and numerical drift is not a practical concern at that scale.</w:t>
      </w:r>
    </w:p>
    <w:p w14:paraId="1D3B19C3" w14:textId="77777777" w:rsidR="00DA00EE" w:rsidRPr="00E32832" w:rsidRDefault="00F84C4B" w:rsidP="00BA5D5D">
      <w:pPr>
        <w:pStyle w:val="Heading3"/>
        <w:jc w:val="both"/>
        <w:rPr>
          <w:rFonts w:ascii="Times New Roman" w:hAnsi="Times New Roman" w:cs="Times New Roman"/>
          <w:color w:val="auto"/>
          <w:sz w:val="18"/>
          <w:szCs w:val="18"/>
        </w:rPr>
      </w:pPr>
      <w:bookmarkStart w:id="80" w:name="_Toc234738432"/>
      <w:bookmarkStart w:id="81" w:name="X0a12ddda292a987c321e799e86f3fe76ac5441f"/>
      <w:bookmarkEnd w:id="72"/>
      <w:r>
        <w:rPr>
          <w:rFonts w:ascii="Times New Roman" w:hAnsi="Times New Roman" w:cs="Times New Roman"/>
          <w:color w:val="auto"/>
          <w:sz w:val="18"/>
          <w:szCs w:val="18"/>
        </w:rPr>
        <w:t>6.9 A real, positive result: classical features on real crop disease photographs</w:t>
      </w:r>
      <w:bookmarkEnd w:id="80"/>
    </w:p>
    <w:p w14:paraId="7F580CC7" w14:textId="21BBECD0"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Sections 6.1–6.8 documented a genuine null result on a  benchmark. This subsection reports the opposite finding  real, above chance classification signal  on a real image dataset, using the same classical descriptors (Sections 4.4, 4.3) and the same evaluation discipline throughout.</w:t>
      </w:r>
    </w:p>
    <w:p w14:paraId="6FEF1E4F" w14:textId="77777777"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b/>
          <w:bCs/>
          <w:sz w:val="18"/>
          <w:szCs w:val="18"/>
        </w:rPr>
        <w:t>Dataset and provenance.</w:t>
      </w:r>
      <w:r>
        <w:rPr>
          <w:rFonts w:ascii="Times New Roman" w:hAnsi="Times New Roman" w:cs="Times New Roman"/>
          <w:sz w:val="18"/>
          <w:szCs w:val="18"/>
        </w:rPr>
        <w:t xml:space="preserve"> The dataset comprises 1,578 real image files across 22 folders, each folder named for a crop–condition pair spanning five crops (cotton, rice, maize, wheat, sugarcane) and both disease and healthy classes (e.g., “Anthracnose on Cotton,” “Becterial Blight in Rice,” “Healthy Maize”). After removing 35 exact byte for byte duplicate files (identified by content hash), 1,543 unique images remained. We are explicit about what we can and cannot confirm about this dataset’s provenance: filename conventions vary substantially across folders (sequential numbers, random alphanumeric codes, and augmentation style names such as </w:t>
      </w:r>
      <w:r>
        <w:rPr>
          <w:rStyle w:val="VerbatimChar"/>
          <w:rFonts w:ascii="Times New Roman" w:hAnsi="Times New Roman" w:cs="Times New Roman"/>
          <w:sz w:val="18"/>
          <w:szCs w:val="18"/>
        </w:rPr>
        <w:t>zoom_29.jpg</w:t>
      </w:r>
      <w:r>
        <w:rPr>
          <w:rFonts w:ascii="Times New Roman" w:hAnsi="Times New Roman" w:cs="Times New Roman"/>
          <w:sz w:val="18"/>
          <w:szCs w:val="18"/>
        </w:rPr>
        <w:t xml:space="preserve"> or </w:t>
      </w:r>
      <w:r>
        <w:rPr>
          <w:rStyle w:val="VerbatimChar"/>
          <w:rFonts w:ascii="Times New Roman" w:hAnsi="Times New Roman" w:cs="Times New Roman"/>
          <w:sz w:val="18"/>
          <w:szCs w:val="18"/>
        </w:rPr>
        <w:t>rotozoom23.jpg</w:t>
      </w:r>
      <w:r>
        <w:rPr>
          <w:rFonts w:ascii="Times New Roman" w:hAnsi="Times New Roman" w:cs="Times New Roman"/>
          <w:sz w:val="18"/>
          <w:szCs w:val="18"/>
        </w:rPr>
        <w:t>), consistent with an aggregation of several public sources rather than a single personally photographed collection, and folder name labels are used as given rather than independently re verified against expert diagnosis. Class sizes are highly imbalanced, ranging from 8 images (“Brownspot”) to 275 (“Healthy Maize”); Figure 10A shows the full distribution.</w:t>
      </w:r>
    </w:p>
    <w:p w14:paraId="436AABD1" w14:textId="77777777" w:rsidR="00283C42" w:rsidRPr="00E32832" w:rsidRDefault="00EF3290">
      <w:pPr>
        <w:pStyle w:val="CaptionedFigure"/>
        <w:keepLines/>
        <w:jc w:val="center"/>
        <w:rPr>
          <w:rFonts w:ascii="Times New Roman" w:hAnsi="Times New Roman" w:cs="Times New Roman"/>
        </w:rPr>
      </w:pPr>
      <w:r>
        <w:rPr>
          <w:rFonts w:ascii="Times New Roman" w:hAnsi="Times New Roman" w:cs="Times New Roman"/>
          <w:noProof/>
        </w:rPr>
        <w:lastRenderedPageBreak/>
        <w:drawing>
          <wp:inline distT="0" distB="0" distL="0" distR="0" wp14:anchorId="266C409C" wp14:editId="2A459B51">
            <wp:extent cx="5303520" cy="3974894"/>
            <wp:effectExtent l="0" t="0" r="0" b="6985"/>
            <wp:docPr id="610" name="Pictur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 name="Picture 61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03520" cy="3974894"/>
                    </a:xfrm>
                    <a:prstGeom prst="rect">
                      <a:avLst/>
                    </a:prstGeom>
                  </pic:spPr>
                </pic:pic>
              </a:graphicData>
            </a:graphic>
          </wp:inline>
        </w:drawing>
      </w:r>
    </w:p>
    <w:p w14:paraId="6E4E5926" w14:textId="22CD2F33" w:rsidR="00283C42" w:rsidRPr="00E32832" w:rsidRDefault="008351A6">
      <w:pPr>
        <w:pStyle w:val="ImageCaption"/>
        <w:keepLines/>
        <w:jc w:val="center"/>
        <w:rPr>
          <w:rFonts w:ascii="Times New Roman" w:hAnsi="Times New Roman" w:cs="Times New Roman"/>
          <w:b/>
          <w:bCs/>
          <w:i w:val="0"/>
          <w:sz w:val="20"/>
          <w:szCs w:val="20"/>
        </w:rPr>
      </w:pPr>
      <w:r>
        <w:rPr>
          <w:rFonts w:ascii="Times New Roman" w:hAnsi="Times New Roman" w:cs="Times New Roman"/>
          <w:b/>
          <w:bCs/>
          <w:i w:val="0"/>
          <w:sz w:val="20"/>
          <w:szCs w:val="20"/>
        </w:rPr>
        <w:t>Figure 11. Real classification results on independently sourced crop-disease photographs. (A) Class distribution of the real dataset; (B) real classification results (accuracy, balanced accuracy, macro-F1); (C) confusion matrix, Random Forest, real images; (D) augmentation-leakage robustness check.</w:t>
      </w:r>
    </w:p>
    <w:p w14:paraId="74452F01" w14:textId="77777777" w:rsidR="00877156" w:rsidRPr="00E32832" w:rsidRDefault="00877156" w:rsidP="00BA5D5D">
      <w:pPr>
        <w:pStyle w:val="BodyText"/>
        <w:keepNext/>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p>
    <w:p w14:paraId="4EBEFA0B" w14:textId="57F46406" w:rsidR="00DA00EE" w:rsidRPr="00E32832" w:rsidRDefault="008351A6" w:rsidP="00BA5D5D">
      <w:pPr>
        <w:pStyle w:val="BodyText"/>
        <w:keepN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Figure 11 shows one representative real photograph per class, giving a direct visual sense of the dataset’s crop and pathology diversity underlying Table 5’s classification result.</w:t>
      </w:r>
    </w:p>
    <w:p w14:paraId="0F8B5FED" w14:textId="77777777" w:rsidR="00DA00EE" w:rsidRPr="00E32832" w:rsidRDefault="00F84C4B" w:rsidP="001F0ABA">
      <w:pPr>
        <w:pStyle w:val="CaptionedFigure"/>
        <w:keepLines/>
        <w:jc w:val="center"/>
        <w:rPr>
          <w:rFonts w:ascii="Times New Roman" w:hAnsi="Times New Roman" w:cs="Times New Roman"/>
          <w:b/>
          <w:bCs/>
          <w:sz w:val="18"/>
          <w:szCs w:val="18"/>
        </w:rPr>
      </w:pPr>
      <w:r>
        <w:rPr>
          <w:rFonts w:ascii="Times New Roman" w:hAnsi="Times New Roman" w:cs="Times New Roman"/>
          <w:b/>
          <w:bCs/>
          <w:noProof/>
          <w:sz w:val="18"/>
          <w:szCs w:val="18"/>
        </w:rPr>
        <w:lastRenderedPageBreak/>
        <w:drawing>
          <wp:inline distT="0" distB="0" distL="0" distR="0" wp14:anchorId="76B165D8" wp14:editId="2582F2E1">
            <wp:extent cx="5334000" cy="5188112"/>
            <wp:effectExtent l="0" t="0" r="0" b="0"/>
            <wp:docPr id="192" name="Picture"/>
            <wp:cNvGraphicFramePr/>
            <a:graphic xmlns:a="http://schemas.openxmlformats.org/drawingml/2006/main">
              <a:graphicData uri="http://schemas.openxmlformats.org/drawingml/2006/picture">
                <pic:pic xmlns:pic="http://schemas.openxmlformats.org/drawingml/2006/picture">
                  <pic:nvPicPr>
                    <pic:cNvPr id="192" name="Picture"/>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334000" cy="5188112"/>
                    </a:xfrm>
                    <a:prstGeom prst="rect">
                      <a:avLst/>
                    </a:prstGeom>
                    <a:noFill/>
                    <a:ln w="9525">
                      <a:noFill/>
                      <a:headEnd/>
                      <a:tailEnd/>
                    </a:ln>
                  </pic:spPr>
                </pic:pic>
              </a:graphicData>
            </a:graphic>
          </wp:inline>
        </w:drawing>
      </w:r>
    </w:p>
    <w:p w14:paraId="70EBB819" w14:textId="02CB5DB7" w:rsidR="00DA00EE" w:rsidRPr="00E32832" w:rsidRDefault="008351A6" w:rsidP="001F0ABA">
      <w:pPr>
        <w:pStyle w:val="ImageCaption"/>
        <w:keepLines/>
        <w:jc w:val="center"/>
        <w:rPr>
          <w:rFonts w:ascii="Times New Roman" w:hAnsi="Times New Roman" w:cs="Times New Roman"/>
          <w:b/>
          <w:bCs/>
          <w:i w:val="0"/>
          <w:sz w:val="18"/>
          <w:szCs w:val="18"/>
        </w:rPr>
        <w:sectPr w:rsidR="00DA00EE" w:rsidRPr="00E32832">
          <w:type w:val="continuous"/>
          <w:pgSz w:w="11906" w:h="16838"/>
          <w:pgMar w:top="1440" w:right="1080" w:bottom="1440" w:left="1080" w:header="708" w:footer="708" w:gutter="0"/>
          <w:cols w:space="708"/>
          <w:docGrid w:linePitch="360"/>
        </w:sectPr>
      </w:pPr>
      <w:r>
        <w:rPr>
          <w:rFonts w:ascii="Times New Roman" w:hAnsi="Times New Roman" w:cs="Times New Roman"/>
          <w:b/>
          <w:bCs/>
          <w:i w:val="0"/>
          <w:sz w:val="18"/>
          <w:szCs w:val="18"/>
        </w:rPr>
        <w:t>Figure 12. One representative photograph per class (22 classes, Cotton/Rice/Maize/Wheat/Sugarcane, disease and healthy), illustrating the visual diversity of the dataset used in Sections 6.9–6.12.</w:t>
      </w:r>
    </w:p>
    <w:p w14:paraId="6341EAF9" w14:textId="506F24FA" w:rsidR="00DA00EE" w:rsidRPr="00E32832" w:rsidRDefault="00F84C4B" w:rsidP="00655F78">
      <w:pPr>
        <w:pStyle w:val="BodyText"/>
        <w:jc w:val="both"/>
        <w:rPr>
          <w:rFonts w:ascii="Times New Roman" w:hAnsi="Times New Roman" w:cs="Times New Roman"/>
          <w:sz w:val="18"/>
          <w:szCs w:val="18"/>
        </w:rPr>
      </w:pPr>
      <w:r>
        <w:rPr>
          <w:rFonts w:ascii="Times New Roman" w:hAnsi="Times New Roman" w:cs="Times New Roman"/>
          <w:b/>
          <w:bCs/>
          <w:sz w:val="18"/>
          <w:szCs w:val="18"/>
        </w:rPr>
        <w:t>Feature extraction.</w:t>
      </w:r>
      <w:r>
        <w:rPr>
          <w:rFonts w:ascii="Times New Roman" w:hAnsi="Times New Roman" w:cs="Times New Roman"/>
          <w:sz w:val="18"/>
          <w:szCs w:val="18"/>
        </w:rPr>
        <w:t xml:space="preserve"> For each image, we computed the same real, genuine descriptors already documented in this paper  the eight dimensional colour/texture/NDVI proxy descriptor of Section 4.4 (</w:t>
      </w:r>
      <w:r>
        <w:rPr>
          <w:rStyle w:val="VerbatimChar"/>
          <w:rFonts w:ascii="Times New Roman" w:hAnsi="Times New Roman" w:cs="Times New Roman"/>
          <w:sz w:val="18"/>
          <w:szCs w:val="18"/>
        </w:rPr>
        <w:t>indices.feature_vector()</w:t>
      </w:r>
      <w:r>
        <w:rPr>
          <w:rFonts w:ascii="Times New Roman" w:hAnsi="Times New Roman" w:cs="Times New Roman"/>
          <w:sz w:val="18"/>
          <w:szCs w:val="18"/>
        </w:rPr>
        <w:t>) and the six feature GLCM/Haralick texture vector of Section 4.3 (</w:t>
      </w:r>
      <w:r>
        <w:rPr>
          <w:rStyle w:val="VerbatimChar"/>
          <w:rFonts w:ascii="Times New Roman" w:hAnsi="Times New Roman" w:cs="Times New Roman"/>
          <w:sz w:val="18"/>
          <w:szCs w:val="18"/>
        </w:rPr>
        <w:t>texture_features.glcm_features()</w:t>
      </w:r>
      <w:r>
        <w:rPr>
          <w:rFonts w:ascii="Times New Roman" w:hAnsi="Times New Roman" w:cs="Times New Roman"/>
          <w:sz w:val="18"/>
          <w:szCs w:val="18"/>
        </w:rPr>
        <w:t>)  giving a 14 dimensional real feature vector per image, computed by the identical code already described for the classical pipeline, with no feature engineering specific to this dataset.</w:t>
      </w:r>
      <w:bookmarkStart w:id="82" w:name="real-classification-results"/>
      <w:bookmarkEnd w:id="81"/>
    </w:p>
    <w:p w14:paraId="72E041A6"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Section 6.3–6.5's chance level results and Section 6.10's above chance result are both point estimates from a single held out test split; it is useful to state explicitly how much sampling noise such an estimate carries. Treating each test set prediction as a Bernoulli trial (correct/incorrect) under the test set's own sample size n, the standard error of an observed accuracy âcc is</w:t>
      </w:r>
    </w:p>
    <w:p w14:paraId="20436C6D" w14:textId="77777777" w:rsidR="00DA00EE" w:rsidRPr="00E32832" w:rsidRDefault="00F84C4B" w:rsidP="00BA5D5D">
      <w:pPr>
        <w:pStyle w:val="Compact"/>
        <w:tabs>
          <w:tab w:val="right" w:pos="9350"/>
        </w:tabs>
        <w:jc w:val="both"/>
        <w:rPr>
          <w:rFonts w:ascii="Times New Roman" w:hAnsi="Times New Roman" w:cs="Times New Roman"/>
          <w:sz w:val="18"/>
          <w:szCs w:val="18"/>
          <w:lang w:val="pt-BR"/>
        </w:rPr>
      </w:pPr>
      <w:r>
        <w:rPr>
          <w:rFonts w:ascii="Times New Roman" w:hAnsi="Times New Roman" w:cs="Times New Roman"/>
          <w:sz w:val="18"/>
          <w:szCs w:val="18"/>
          <w:lang w:val="pt-BR"/>
        </w:rPr>
        <w:t>SE(âcc) = sqrt( âcc·(1−âcc) / n )</w:t>
      </w:r>
      <w:r>
        <w:rPr>
          <w:rFonts w:ascii="Times New Roman" w:hAnsi="Times New Roman" w:cs="Times New Roman"/>
          <w:sz w:val="18"/>
          <w:szCs w:val="18"/>
          <w:lang w:val="pt-BR"/>
        </w:rPr>
        <w:tab/>
        <w:t>(41)</w:t>
      </w:r>
    </w:p>
    <w:p w14:paraId="55A35375" w14:textId="0CAE669B"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which gives an approximate 95% confidence interval of âcc ± 1.96·SE(âcc). For Section 6.3's disease label benchmark (n=5,000 held out rows, chance level 0.0200), this bound is ±0.4 percentage points around any observed accuracy  far too tight to explain away the near zero Cohen's κ values in Table 3 as sampling noise </w:t>
      </w:r>
      <w:r>
        <w:rPr>
          <w:rFonts w:ascii="Times New Roman" w:hAnsi="Times New Roman" w:cs="Times New Roman"/>
          <w:sz w:val="18"/>
          <w:szCs w:val="18"/>
        </w:rPr>
        <w:t>around a true non chance accuracy. For Section 6.10's real image result (n=386, Random Forest balanced accuracy 33.8%), the same formula gives ±4.7 percentage points, which is the honest precision this paper attaches to that headline number: a genuinely above chance result, but one whose exact value should be read as 33.8% ± 4.7%, not as a number precise to the tenth of a percentage point. This is a standard binomial proportion approximation (valid for n·âcc and n·(1−âcc) both reasonably large, which holds for both cases above), reported here in full so that every accuracy figure in this paper carries its own, explicitly stated uncertainty rather than an implied false precision.</w:t>
      </w:r>
    </w:p>
    <w:p w14:paraId="75C5A2BE" w14:textId="77777777" w:rsidR="00DA00EE" w:rsidRPr="00E32832" w:rsidRDefault="00F84C4B" w:rsidP="00BA5D5D">
      <w:pPr>
        <w:pStyle w:val="Heading3"/>
        <w:jc w:val="both"/>
        <w:rPr>
          <w:rFonts w:ascii="Times New Roman" w:hAnsi="Times New Roman" w:cs="Times New Roman"/>
          <w:b w:val="0"/>
          <w:bCs w:val="0"/>
          <w:color w:val="auto"/>
          <w:sz w:val="18"/>
          <w:szCs w:val="18"/>
        </w:rPr>
      </w:pPr>
      <w:bookmarkStart w:id="83" w:name="_Toc234738434"/>
      <w:r>
        <w:rPr>
          <w:rFonts w:ascii="Times New Roman" w:hAnsi="Times New Roman" w:cs="Times New Roman"/>
          <w:b w:val="0"/>
          <w:bCs w:val="0"/>
          <w:color w:val="auto"/>
          <w:sz w:val="18"/>
          <w:szCs w:val="18"/>
        </w:rPr>
        <w:t>6.10 Real classification results</w:t>
      </w:r>
      <w:bookmarkEnd w:id="83"/>
    </w:p>
    <w:p w14:paraId="3A013ACD" w14:textId="77B265F0"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We trained a Random Forest (</w:t>
      </w:r>
      <w:hyperlink w:anchor="ref-breiman2001">
        <w:hyperlink w:anchor="ref-breiman2001">
          <w:r>
            <w:rPr>
              <w:rStyle w:val="Hyperlink"/>
              <w:rFonts w:ascii="Times New Roman" w:hAnsi="Times New Roman" w:cs="Times New Roman"/>
              <w:sz w:val="18"/>
              <w:szCs w:val="18"/>
            </w:rPr>
            <w:t>Breiman 2001</w:t>
          </w:r>
        </w:hyperlink>
      </w:hyperlink>
      <w:r>
        <w:rPr>
          <w:rFonts w:ascii="Times New Roman" w:hAnsi="Times New Roman" w:cs="Times New Roman"/>
          <w:sz w:val="18"/>
          <w:szCs w:val="18"/>
        </w:rPr>
        <w:t xml:space="preserve">) and a </w:t>
      </w:r>
      <m:oMath>
        <m:r>
          <m:rPr>
            <m:sty m:val="p"/>
          </m:rPr>
          <w:rPr>
            <w:rFonts w:ascii="Cambria Math" w:hAnsi="Cambria Math" w:cs="Times New Roman"/>
            <w:sz w:val="18"/>
            <w:szCs w:val="18"/>
          </w:rPr>
          <m:t>k</m:t>
        </m:r>
      </m:oMath>
      <w:r>
        <w:rPr>
          <w:rFonts w:ascii="Times New Roman" w:hAnsi="Times New Roman" w:cs="Times New Roman"/>
          <w:sz w:val="18"/>
          <w:szCs w:val="18"/>
        </w:rPr>
        <w:t xml:space="preserve"> Nearest Neighbour classifier (</w:t>
      </w:r>
      <m:oMath>
        <m:r>
          <m:rPr>
            <m:sty m:val="p"/>
          </m:rPr>
          <w:rPr>
            <w:rFonts w:ascii="Cambria Math" w:hAnsi="Cambria Math" w:cs="Times New Roman"/>
            <w:sz w:val="18"/>
            <w:szCs w:val="18"/>
          </w:rPr>
          <m:t>k=5</m:t>
        </m:r>
      </m:oMath>
      <w:r>
        <w:rPr>
          <w:rFonts w:ascii="Times New Roman" w:hAnsi="Times New Roman" w:cs="Times New Roman"/>
          <w:sz w:val="18"/>
          <w:szCs w:val="18"/>
        </w:rPr>
        <w:t>) (</w:t>
      </w:r>
      <w:hyperlink w:anchor="ref-coverhart1967">
        <w:r>
          <w:rPr>
            <w:rStyle w:val="Hyperlink"/>
            <w:rFonts w:ascii="Times New Roman" w:hAnsi="Times New Roman" w:cs="Times New Roman"/>
            <w:sz w:val="18"/>
            <w:szCs w:val="18"/>
          </w:rPr>
          <w:t>Cover and Hart 1967</w:t>
        </w:r>
      </w:hyperlink>
      <w:r>
        <w:rPr>
          <w:rFonts w:ascii="Times New Roman" w:hAnsi="Times New Roman" w:cs="Times New Roman"/>
          <w:sz w:val="18"/>
          <w:szCs w:val="18"/>
        </w:rPr>
        <w:t>) on a stratified 75/25 train/test split of the 14 dimensional real feature vectors, standardised on the training split, against the 22 class label. Table 5 and Figure 10B report the held out test results against two honest baselines: a most frequent class predictor and a stratified random predictor, alongside the uniform chance level for 22 classes (4.55%).</w:t>
      </w:r>
    </w:p>
    <w:p w14:paraId="5C3993FA" w14:textId="77777777" w:rsidR="00DA00EE" w:rsidRPr="00E32832" w:rsidRDefault="00F84C4B" w:rsidP="00BA5D5D">
      <w:pPr>
        <w:pStyle w:val="BodyText"/>
        <w:keepNext/>
        <w:jc w:val="both"/>
        <w:rPr>
          <w:rFonts w:ascii="Times New Roman" w:hAnsi="Times New Roman" w:cs="Times New Roman"/>
          <w:sz w:val="18"/>
          <w:szCs w:val="18"/>
        </w:rPr>
      </w:pPr>
      <w:r>
        <w:rPr>
          <w:rFonts w:ascii="Times New Roman" w:hAnsi="Times New Roman" w:cs="Times New Roman"/>
          <w:b/>
          <w:bCs/>
          <w:sz w:val="18"/>
          <w:szCs w:val="18"/>
        </w:rPr>
        <w:lastRenderedPageBreak/>
        <w:t>Table 5. Real classification results on the held out test split (386 images), genuine GLCM + colour/NDVI proxy features, 22 class crop–disease label.</w:t>
      </w:r>
    </w:p>
    <w:tbl>
      <w:tblPr>
        <w:tblStyle w:val="Table"/>
        <w:tblW w:w="0" w:type="auto"/>
        <w:jc w:val="center"/>
        <w:tblLook w:val="0020" w:firstRow="1" w:lastRow="0" w:firstColumn="0" w:lastColumn="0" w:noHBand="0" w:noVBand="0"/>
      </w:tblPr>
      <w:tblGrid>
        <w:gridCol w:w="2261"/>
        <w:gridCol w:w="946"/>
        <w:gridCol w:w="1661"/>
        <w:gridCol w:w="971"/>
      </w:tblGrid>
      <w:tr w:rsidR="00DA00EE" w:rsidRPr="00E32832" w14:paraId="6AAED976" w14:textId="77777777" w:rsidTr="001E7588">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7EEBEEE"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Model</w:t>
            </w:r>
          </w:p>
        </w:tc>
        <w:tc>
          <w:tcPr>
            <w:tcW w:w="0" w:type="auto"/>
          </w:tcPr>
          <w:p w14:paraId="0D1F7386"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Accuracy</w:t>
            </w:r>
          </w:p>
        </w:tc>
        <w:tc>
          <w:tcPr>
            <w:tcW w:w="0" w:type="auto"/>
          </w:tcPr>
          <w:p w14:paraId="0A9FA4F7"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Balanced accuracy</w:t>
            </w:r>
          </w:p>
        </w:tc>
        <w:tc>
          <w:tcPr>
            <w:tcW w:w="0" w:type="auto"/>
          </w:tcPr>
          <w:p w14:paraId="29883D92"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Macro F1</w:t>
            </w:r>
          </w:p>
        </w:tc>
      </w:tr>
      <w:tr w:rsidR="00DA00EE" w:rsidRPr="00E32832" w14:paraId="4505D44F" w14:textId="77777777" w:rsidTr="001E7588">
        <w:trPr>
          <w:jc w:val="center"/>
        </w:trPr>
        <w:tc>
          <w:tcPr>
            <w:tcW w:w="0" w:type="auto"/>
          </w:tcPr>
          <w:p w14:paraId="50D97263"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Random Forest (300 trees)</w:t>
            </w:r>
          </w:p>
        </w:tc>
        <w:tc>
          <w:tcPr>
            <w:tcW w:w="0" w:type="auto"/>
          </w:tcPr>
          <w:p w14:paraId="410616BB"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61.9%</w:t>
            </w:r>
          </w:p>
        </w:tc>
        <w:tc>
          <w:tcPr>
            <w:tcW w:w="0" w:type="auto"/>
          </w:tcPr>
          <w:p w14:paraId="21A2EAD0"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33.8%</w:t>
            </w:r>
          </w:p>
        </w:tc>
        <w:tc>
          <w:tcPr>
            <w:tcW w:w="0" w:type="auto"/>
          </w:tcPr>
          <w:p w14:paraId="0216F01A"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35.8%</w:t>
            </w:r>
          </w:p>
        </w:tc>
      </w:tr>
      <w:tr w:rsidR="00DA00EE" w:rsidRPr="00E32832" w14:paraId="70E82F84" w14:textId="77777777" w:rsidTr="001E7588">
        <w:trPr>
          <w:jc w:val="center"/>
        </w:trPr>
        <w:tc>
          <w:tcPr>
            <w:tcW w:w="0" w:type="auto"/>
          </w:tcPr>
          <w:p w14:paraId="0BAEC3C1" w14:textId="7D716CFD" w:rsidR="00DA00EE" w:rsidRPr="00E32832" w:rsidRDefault="00E32832" w:rsidP="00BA5D5D">
            <w:pPr>
              <w:pStyle w:val="Compact"/>
              <w:jc w:val="both"/>
              <w:rPr>
                <w:rFonts w:ascii="Times New Roman" w:hAnsi="Times New Roman" w:cs="Times New Roman"/>
                <w:sz w:val="18"/>
                <w:szCs w:val="18"/>
              </w:rPr>
            </w:pPr>
            <m:oMath>
              <m:r>
                <m:rPr>
                  <m:sty m:val="p"/>
                </m:rPr>
                <w:rPr>
                  <w:rFonts w:ascii="Cambria Math" w:hAnsi="Cambria Math" w:cs="Times New Roman"/>
                  <w:sz w:val="18"/>
                  <w:szCs w:val="18"/>
                </w:rPr>
                <m:t>k</m:t>
              </m:r>
            </m:oMath>
            <w:r>
              <w:rPr>
                <w:rFonts w:ascii="Times New Roman" w:hAnsi="Times New Roman" w:cs="Times New Roman"/>
                <w:sz w:val="18"/>
                <w:szCs w:val="18"/>
              </w:rPr>
              <w:t xml:space="preserve"> NN (</w:t>
            </w:r>
            <m:oMath>
              <m:r>
                <m:rPr>
                  <m:sty m:val="p"/>
                </m:rPr>
                <w:rPr>
                  <w:rFonts w:ascii="Cambria Math" w:hAnsi="Cambria Math" w:cs="Times New Roman"/>
                  <w:sz w:val="18"/>
                  <w:szCs w:val="18"/>
                </w:rPr>
                <m:t>k=5</m:t>
              </m:r>
            </m:oMath>
            <w:r>
              <w:rPr>
                <w:rFonts w:ascii="Times New Roman" w:hAnsi="Times New Roman" w:cs="Times New Roman"/>
                <w:sz w:val="18"/>
                <w:szCs w:val="18"/>
              </w:rPr>
              <w:t>)</w:t>
            </w:r>
          </w:p>
        </w:tc>
        <w:tc>
          <w:tcPr>
            <w:tcW w:w="0" w:type="auto"/>
          </w:tcPr>
          <w:p w14:paraId="4A98808E"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56.7%</w:t>
            </w:r>
          </w:p>
        </w:tc>
        <w:tc>
          <w:tcPr>
            <w:tcW w:w="0" w:type="auto"/>
          </w:tcPr>
          <w:p w14:paraId="57889F53"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28.5%</w:t>
            </w:r>
          </w:p>
        </w:tc>
        <w:tc>
          <w:tcPr>
            <w:tcW w:w="0" w:type="auto"/>
          </w:tcPr>
          <w:p w14:paraId="2F5527E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27.9%</w:t>
            </w:r>
          </w:p>
        </w:tc>
      </w:tr>
      <w:tr w:rsidR="00DA00EE" w:rsidRPr="00E32832" w14:paraId="27C4E43E" w14:textId="77777777" w:rsidTr="001E7588">
        <w:trPr>
          <w:jc w:val="center"/>
        </w:trPr>
        <w:tc>
          <w:tcPr>
            <w:tcW w:w="0" w:type="auto"/>
          </w:tcPr>
          <w:p w14:paraId="1673C50E"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Most frequent class baseline</w:t>
            </w:r>
          </w:p>
        </w:tc>
        <w:tc>
          <w:tcPr>
            <w:tcW w:w="0" w:type="auto"/>
          </w:tcPr>
          <w:p w14:paraId="725B655A"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17.9%</w:t>
            </w:r>
          </w:p>
        </w:tc>
        <w:tc>
          <w:tcPr>
            <w:tcW w:w="0" w:type="auto"/>
          </w:tcPr>
          <w:p w14:paraId="374C2189"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4.55%</w:t>
            </w:r>
          </w:p>
        </w:tc>
        <w:tc>
          <w:tcPr>
            <w:tcW w:w="0" w:type="auto"/>
          </w:tcPr>
          <w:p w14:paraId="7EAF57B6"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1.4%</w:t>
            </w:r>
          </w:p>
        </w:tc>
      </w:tr>
      <w:tr w:rsidR="00DA00EE" w:rsidRPr="00E32832" w14:paraId="50AD85E1" w14:textId="77777777" w:rsidTr="001E7588">
        <w:trPr>
          <w:jc w:val="center"/>
        </w:trPr>
        <w:tc>
          <w:tcPr>
            <w:tcW w:w="0" w:type="auto"/>
          </w:tcPr>
          <w:p w14:paraId="4774F391"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Stratified random baseline</w:t>
            </w:r>
          </w:p>
        </w:tc>
        <w:tc>
          <w:tcPr>
            <w:tcW w:w="0" w:type="auto"/>
          </w:tcPr>
          <w:p w14:paraId="6CB0E1BB"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8.8%</w:t>
            </w:r>
          </w:p>
        </w:tc>
        <w:tc>
          <w:tcPr>
            <w:tcW w:w="0" w:type="auto"/>
          </w:tcPr>
          <w:p w14:paraId="58D0BDE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3.1%</w:t>
            </w:r>
          </w:p>
        </w:tc>
        <w:tc>
          <w:tcPr>
            <w:tcW w:w="0" w:type="auto"/>
          </w:tcPr>
          <w:p w14:paraId="5B11B083"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3.1%</w:t>
            </w:r>
          </w:p>
        </w:tc>
      </w:tr>
      <w:tr w:rsidR="00DA00EE" w:rsidRPr="00E32832" w14:paraId="309373D1" w14:textId="77777777" w:rsidTr="001E7588">
        <w:trPr>
          <w:jc w:val="center"/>
        </w:trPr>
        <w:tc>
          <w:tcPr>
            <w:tcW w:w="0" w:type="auto"/>
          </w:tcPr>
          <w:p w14:paraId="2BF5DEFB"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Chance level (22 classes)</w:t>
            </w:r>
          </w:p>
        </w:tc>
        <w:tc>
          <w:tcPr>
            <w:tcW w:w="0" w:type="auto"/>
          </w:tcPr>
          <w:p w14:paraId="12781FA6" w14:textId="77777777" w:rsidR="00DA00EE" w:rsidRPr="00E32832" w:rsidRDefault="00BA5D5D" w:rsidP="00BA5D5D">
            <w:pPr>
              <w:pStyle w:val="Compact"/>
              <w:jc w:val="both"/>
              <w:rPr>
                <w:rFonts w:ascii="Times New Roman" w:hAnsi="Times New Roman" w:cs="Times New Roman"/>
                <w:sz w:val="18"/>
                <w:szCs w:val="18"/>
              </w:rPr>
            </w:pPr>
            <w:r>
              <w:rPr>
                <w:rFonts w:ascii="Times New Roman" w:hAnsi="Times New Roman" w:cs="Times New Roman"/>
                <w:sz w:val="18"/>
                <w:szCs w:val="18"/>
              </w:rPr>
              <w:t xml:space="preserve"> </w:t>
            </w:r>
          </w:p>
        </w:tc>
        <w:tc>
          <w:tcPr>
            <w:tcW w:w="0" w:type="auto"/>
          </w:tcPr>
          <w:p w14:paraId="2562DC5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4.55%</w:t>
            </w:r>
          </w:p>
        </w:tc>
        <w:tc>
          <w:tcPr>
            <w:tcW w:w="0" w:type="auto"/>
          </w:tcPr>
          <w:p w14:paraId="5CAB3EC2" w14:textId="77777777" w:rsidR="00DA00EE" w:rsidRPr="00E32832" w:rsidRDefault="00BA5D5D" w:rsidP="00BA5D5D">
            <w:pPr>
              <w:pStyle w:val="Compact"/>
              <w:jc w:val="both"/>
              <w:rPr>
                <w:rFonts w:ascii="Times New Roman" w:hAnsi="Times New Roman" w:cs="Times New Roman"/>
                <w:sz w:val="18"/>
                <w:szCs w:val="18"/>
              </w:rPr>
            </w:pPr>
            <w:r>
              <w:rPr>
                <w:rFonts w:ascii="Times New Roman" w:hAnsi="Times New Roman" w:cs="Times New Roman"/>
                <w:sz w:val="18"/>
                <w:szCs w:val="18"/>
              </w:rPr>
              <w:t xml:space="preserve"> </w:t>
            </w:r>
          </w:p>
        </w:tc>
      </w:tr>
    </w:tbl>
    <w:p w14:paraId="3784129C" w14:textId="77777777" w:rsidR="00877156" w:rsidRPr="00E32832" w:rsidRDefault="00877156" w:rsidP="00BA5D5D">
      <w:pPr>
        <w:pStyle w:val="BodyText"/>
        <w:jc w:val="both"/>
        <w:rPr>
          <w:rFonts w:ascii="Times New Roman" w:hAnsi="Times New Roman" w:cs="Times New Roman"/>
          <w:sz w:val="18"/>
          <w:szCs w:val="18"/>
        </w:rPr>
        <w:sectPr w:rsidR="00877156" w:rsidRPr="00E32832" w:rsidSect="00877156">
          <w:type w:val="continuous"/>
          <w:pgSz w:w="11906" w:h="16838"/>
          <w:pgMar w:top="1440" w:right="1080" w:bottom="1440" w:left="1080" w:header="708" w:footer="708" w:gutter="0"/>
          <w:cols w:space="360"/>
          <w:docGrid w:linePitch="360"/>
        </w:sectPr>
      </w:pPr>
    </w:p>
    <w:p w14:paraId="23CEDC83" w14:textId="6B45648C" w:rsidR="00DA00EE" w:rsidRPr="00E32832" w:rsidRDefault="00F84C4B" w:rsidP="00BA5D5D">
      <w:pPr>
        <w:pStyle w:val="BodyText"/>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Because class sizes are severely imbalanced, balanced accuracy and macro F1 are the metrics we weight most heavily in interpreting this result  the same caution that applies to Random Forest importance scores under imbalance (</w:t>
      </w:r>
      <w:hyperlink w:anchor="ref-strobl2007">
        <w:r>
          <w:rPr>
            <w:rStyle w:val="Hyperlink"/>
            <w:rFonts w:ascii="Times New Roman" w:hAnsi="Times New Roman" w:cs="Times New Roman"/>
            <w:sz w:val="18"/>
            <w:szCs w:val="18"/>
          </w:rPr>
          <w:t>Strobl et al. 2007</w:t>
        </w:r>
      </w:hyperlink>
      <w:r>
        <w:rPr>
          <w:rFonts w:ascii="Times New Roman" w:hAnsi="Times New Roman" w:cs="Times New Roman"/>
          <w:sz w:val="18"/>
          <w:szCs w:val="18"/>
        </w:rPr>
        <w:t xml:space="preserve">) applies analogously to plain accuracy here: Random Forest’s balanced accuracy of 33.8% is a genuine 7.4× improvement over the 4.55% chance level and equally over the most frequent class baseline’s 4.55% balanced accuracy (a most frequent predictor is, </w:t>
      </w:r>
      <w:r>
        <w:rPr>
          <w:rFonts w:ascii="Times New Roman" w:hAnsi="Times New Roman" w:cs="Times New Roman"/>
          <w:sz w:val="18"/>
          <w:szCs w:val="18"/>
        </w:rPr>
        <w:t>by construction, always at chance level balanced accuracy regardless of raw accuracy). Figure 10C shows the resulting confusion matrix, with a visible diagonal concentration  the qualitative signature of a classifier finding real structure, directly contrasting with Figure 9C and the companion paper’s Figure 5, both showing near uniform confusion patterns on the two /tabular datasets examined earlier in this paper.</w:t>
      </w:r>
    </w:p>
    <w:p w14:paraId="51EE6149" w14:textId="21B03CCE"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This result is consistent with, and at the lower end of, the accuracy range reported in the GLCM plus classical classifier plant pathology literature: GLCM features combined with a Random Forest have been reported to reach above 98% on a curated four class cucumber disease benchmark (</w:t>
      </w:r>
      <w:hyperlink w:anchor="ref-nancy2024">
        <w:r>
          <w:rPr>
            <w:rStyle w:val="Hyperlink"/>
            <w:rFonts w:ascii="Times New Roman" w:hAnsi="Times New Roman" w:cs="Times New Roman"/>
            <w:sz w:val="18"/>
            <w:szCs w:val="18"/>
          </w:rPr>
          <w:t>Nancy and Kiran 2024</w:t>
        </w:r>
      </w:hyperlink>
      <w:r>
        <w:rPr>
          <w:rFonts w:ascii="Times New Roman" w:hAnsi="Times New Roman" w:cs="Times New Roman"/>
          <w:sz w:val="18"/>
          <w:szCs w:val="18"/>
        </w:rPr>
        <w:t>), and a GLCM feature voting classifier ensemble has been reported effective across a standard pre processing/segmentation/feature extraction/classification pipeline (</w:t>
      </w:r>
      <w:hyperlink w:anchor="ref-ossai2022">
        <w:r>
          <w:rPr>
            <w:rStyle w:val="Hyperlink"/>
            <w:rFonts w:ascii="Times New Roman" w:hAnsi="Times New Roman" w:cs="Times New Roman"/>
            <w:sz w:val="18"/>
            <w:szCs w:val="18"/>
          </w:rPr>
          <w:t>Ossai and Wickramasinghe 2022</w:t>
        </w:r>
      </w:hyperlink>
      <w:r>
        <w:rPr>
          <w:rFonts w:ascii="Times New Roman" w:hAnsi="Times New Roman" w:cs="Times New Roman"/>
          <w:sz w:val="18"/>
          <w:szCs w:val="18"/>
        </w:rPr>
        <w:t>). Our substantially lower balanced accuracy (33.8% vs. these benchmarks’ 90%+ figures) is expected and, we argue, more informative: our test set spans 22 real world, imbalanced, uncurated classes drawn from an aggregated multi source dataset, rather than a single curated four class benchmark collected under controlled conditions  exactly the benchmark to real world generalisation gap Section 1.0 and Section 2.6 describe as the central, unresolved problem in this literature (</w:t>
      </w:r>
      <w:hyperlink w:anchor="ref-zhou2021">
        <w:r>
          <w:rPr>
            <w:rStyle w:val="Hyperlink"/>
            <w:rFonts w:ascii="Times New Roman" w:hAnsi="Times New Roman" w:cs="Times New Roman"/>
            <w:sz w:val="18"/>
            <w:szCs w:val="18"/>
          </w:rPr>
          <w:t>Zhou et al. 2021</w:t>
        </w:r>
      </w:hyperlink>
      <w:r>
        <w:rPr>
          <w:rFonts w:ascii="Times New Roman" w:hAnsi="Times New Roman" w:cs="Times New Roman"/>
          <w:sz w:val="18"/>
          <w:szCs w:val="18"/>
        </w:rPr>
        <w:t>).</w:t>
      </w:r>
    </w:p>
    <w:p w14:paraId="4117033D" w14:textId="77777777" w:rsidR="00DA00EE" w:rsidRPr="00E32832" w:rsidRDefault="00F84C4B" w:rsidP="00BA5D5D">
      <w:pPr>
        <w:pStyle w:val="Heading3"/>
        <w:jc w:val="both"/>
        <w:rPr>
          <w:rFonts w:ascii="Times New Roman" w:hAnsi="Times New Roman" w:cs="Times New Roman"/>
          <w:color w:val="auto"/>
          <w:sz w:val="18"/>
          <w:szCs w:val="18"/>
        </w:rPr>
      </w:pPr>
      <w:bookmarkStart w:id="84" w:name="_Toc234738435"/>
      <w:bookmarkStart w:id="85" w:name="augmentation-leakage-robustness-check"/>
      <w:bookmarkEnd w:id="82"/>
      <w:r>
        <w:rPr>
          <w:rFonts w:ascii="Times New Roman" w:hAnsi="Times New Roman" w:cs="Times New Roman"/>
          <w:color w:val="auto"/>
          <w:sz w:val="18"/>
          <w:szCs w:val="18"/>
        </w:rPr>
        <w:t>6.11 Augmentation leakage robustness check</w:t>
      </w:r>
      <w:bookmarkEnd w:id="84"/>
    </w:p>
    <w:p w14:paraId="2AE40D35" w14:textId="4A431B2F" w:rsidR="00DA00EE" w:rsidRPr="00E32832" w:rsidRDefault="00F84C4B" w:rsidP="00BA5D5D">
      <w:pPr>
        <w:pStyle w:val="FirstParagraph"/>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A random stratified split does not guarantee that an augmented copy of a test set image (e.g., a zoomed or contrast adjusted variant) is absent from the training set  such leakage would inflate the reported result without reflecting genuine generalisation to new photographs. To test this directly rather than merely disclose it as a caveat, we identified 259 images (16.4% of the pre deduplication set) whose filenames contain augmentation style markers (</w:t>
      </w:r>
      <w:r>
        <w:rPr>
          <w:rStyle w:val="VerbatimChar"/>
          <w:rFonts w:ascii="Times New Roman" w:hAnsi="Times New Roman" w:cs="Times New Roman"/>
          <w:sz w:val="18"/>
          <w:szCs w:val="18"/>
        </w:rPr>
        <w:t>zoom_</w:t>
      </w:r>
      <w:r>
        <w:rPr>
          <w:rFonts w:ascii="Times New Roman" w:hAnsi="Times New Roman" w:cs="Times New Roman"/>
          <w:sz w:val="18"/>
          <w:szCs w:val="18"/>
        </w:rPr>
        <w:t xml:space="preserve">, </w:t>
      </w:r>
      <w:r>
        <w:rPr>
          <w:rStyle w:val="VerbatimChar"/>
          <w:rFonts w:ascii="Times New Roman" w:hAnsi="Times New Roman" w:cs="Times New Roman"/>
          <w:sz w:val="18"/>
          <w:szCs w:val="18"/>
        </w:rPr>
        <w:t>contrast_</w:t>
      </w:r>
      <w:r>
        <w:rPr>
          <w:rFonts w:ascii="Times New Roman" w:hAnsi="Times New Roman" w:cs="Times New Roman"/>
          <w:sz w:val="18"/>
          <w:szCs w:val="18"/>
        </w:rPr>
        <w:t xml:space="preserve">, </w:t>
      </w:r>
      <w:r>
        <w:rPr>
          <w:rStyle w:val="VerbatimChar"/>
          <w:rFonts w:ascii="Times New Roman" w:hAnsi="Times New Roman" w:cs="Times New Roman"/>
          <w:sz w:val="18"/>
          <w:szCs w:val="18"/>
        </w:rPr>
        <w:t>rotozoom</w:t>
      </w:r>
      <w:r>
        <w:rPr>
          <w:rFonts w:ascii="Times New Roman" w:hAnsi="Times New Roman" w:cs="Times New Roman"/>
          <w:sz w:val="18"/>
          <w:szCs w:val="18"/>
        </w:rPr>
        <w:t xml:space="preserve">, </w:t>
      </w:r>
      <w:r>
        <w:rPr>
          <w:rStyle w:val="VerbatimChar"/>
          <w:rFonts w:ascii="Times New Roman" w:hAnsi="Times New Roman" w:cs="Times New Roman"/>
          <w:sz w:val="18"/>
          <w:szCs w:val="18"/>
        </w:rPr>
        <w:t>translation_</w:t>
      </w:r>
      <w:r>
        <w:rPr>
          <w:rFonts w:ascii="Times New Roman" w:hAnsi="Times New Roman" w:cs="Times New Roman"/>
          <w:sz w:val="18"/>
          <w:szCs w:val="18"/>
        </w:rPr>
        <w:t xml:space="preserve">, </w:t>
      </w:r>
      <w:r>
        <w:rPr>
          <w:rStyle w:val="VerbatimChar"/>
          <w:rFonts w:ascii="Times New Roman" w:hAnsi="Times New Roman" w:cs="Times New Roman"/>
          <w:sz w:val="18"/>
          <w:szCs w:val="18"/>
        </w:rPr>
        <w:t>rotate</w:t>
      </w:r>
      <w:r>
        <w:rPr>
          <w:rFonts w:ascii="Times New Roman" w:hAnsi="Times New Roman" w:cs="Times New Roman"/>
          <w:sz w:val="18"/>
          <w:szCs w:val="18"/>
        </w:rPr>
        <w:t xml:space="preserve">, </w:t>
      </w:r>
      <w:r>
        <w:rPr>
          <w:rStyle w:val="VerbatimChar"/>
          <w:rFonts w:ascii="Times New Roman" w:hAnsi="Times New Roman" w:cs="Times New Roman"/>
          <w:sz w:val="18"/>
          <w:szCs w:val="18"/>
        </w:rPr>
        <w:t>flip</w:t>
      </w:r>
      <w:r>
        <w:rPr>
          <w:rFonts w:ascii="Times New Roman" w:hAnsi="Times New Roman" w:cs="Times New Roman"/>
          <w:sz w:val="18"/>
          <w:szCs w:val="18"/>
        </w:rPr>
        <w:t xml:space="preserve">, </w:t>
      </w:r>
      <w:r>
        <w:rPr>
          <w:rStyle w:val="VerbatimChar"/>
          <w:rFonts w:ascii="Times New Roman" w:hAnsi="Times New Roman" w:cs="Times New Roman"/>
          <w:sz w:val="18"/>
          <w:szCs w:val="18"/>
        </w:rPr>
        <w:t>brightness</w:t>
      </w:r>
      <w:r>
        <w:rPr>
          <w:rFonts w:ascii="Times New Roman" w:hAnsi="Times New Roman" w:cs="Times New Roman"/>
          <w:sz w:val="18"/>
          <w:szCs w:val="18"/>
        </w:rPr>
        <w:t>) and repeated the Random Forest evaluation entirely on the remaining, non flagged subset (1,284 images after also dropping classes left with fewer than six clean examples). Figure 10D compares the two results directly.</w:t>
      </w:r>
    </w:p>
    <w:p w14:paraId="09DB8020" w14:textId="64F208DB"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The clean subset result (61.9%→57.6% accuracy, 33.8%→35.1% balanced accuracy, 35.8%→35.7% macro F1) is essentially unchanged from the full dataset result  if anything, balanced accuracy and macro F1 are marginally higher on the clean subset. We read this as reasonable, though not absolute, evidence that the Section 6.10 result reflects genuine classifiable structure in the real images rather than augmentation leakage, while noting two residual limitations honestly: filename based flagging cannot catch augmented copies that were renamed without a recognisable marker, and we have not independently verified that no near duplicate photographs of the same physical leaf exist across the train/test boundary under different, unrelated filenames.</w:t>
      </w:r>
    </w:p>
    <w:p w14:paraId="44CF053F" w14:textId="77777777" w:rsidR="00DA00EE" w:rsidRPr="00E32832" w:rsidRDefault="00F84C4B" w:rsidP="00BA5D5D">
      <w:pPr>
        <w:pStyle w:val="Heading3"/>
        <w:jc w:val="both"/>
        <w:rPr>
          <w:rFonts w:ascii="Times New Roman" w:hAnsi="Times New Roman" w:cs="Times New Roman"/>
          <w:color w:val="auto"/>
          <w:sz w:val="18"/>
          <w:szCs w:val="18"/>
        </w:rPr>
      </w:pPr>
      <w:bookmarkStart w:id="86" w:name="_Toc234738436"/>
      <w:bookmarkStart w:id="87" w:name="X6e9bd76fd5cdcc2ce12915feda136927ff94660"/>
      <w:bookmarkEnd w:id="85"/>
      <w:r>
        <w:rPr>
          <w:rFonts w:ascii="Times New Roman" w:hAnsi="Times New Roman" w:cs="Times New Roman"/>
          <w:color w:val="auto"/>
          <w:sz w:val="18"/>
          <w:szCs w:val="18"/>
        </w:rPr>
        <w:t>6.12 Interpretation: what this changes, and what it does not</w:t>
      </w:r>
      <w:bookmarkEnd w:id="86"/>
    </w:p>
    <w:p w14:paraId="55090F83" w14:textId="2F529BB5"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This is the first result in this paper’s evaluation programme (Sections 6.1–6.11) showing classifiable structure clearly above chance level, and it changes the honest status of one specific claim: the classical descriptor and classifier machinery documented in Sections 4.3–4.6 is not only mechanically correct (as Sections 6.1–6.8 established on  data) but can extract real, generalising signal from real, imbalanced, multi source crop disease photographs, at least at the coarse 14 dimensional classical feature level.</w:t>
      </w:r>
    </w:p>
    <w:p w14:paraId="57A4F552" w14:textId="77777777" w:rsidR="00DA00EE" w:rsidRPr="00E32832" w:rsidRDefault="00F84C4B" w:rsidP="001F0ABA">
      <w:pPr>
        <w:pStyle w:val="BodyText"/>
        <w:jc w:val="both"/>
        <w:rPr>
          <w:rFonts w:ascii="Times New Roman" w:hAnsi="Times New Roman" w:cs="Times New Roman"/>
          <w:sz w:val="18"/>
          <w:szCs w:val="18"/>
        </w:rPr>
      </w:pPr>
      <w:r>
        <w:rPr>
          <w:rFonts w:ascii="Times New Roman" w:hAnsi="Times New Roman" w:cs="Times New Roman"/>
          <w:sz w:val="18"/>
          <w:szCs w:val="18"/>
        </w:rPr>
        <w:t xml:space="preserve">It does not change the status of GACL, the hypergraph transformer architecture described in a companion manuscript: the features evaluated here are the pipeline’s existing hand crafted </w:t>
      </w:r>
      <w:r>
        <w:rPr>
          <w:rFonts w:ascii="Times New Roman" w:hAnsi="Times New Roman" w:cs="Times New Roman"/>
          <w:sz w:val="18"/>
          <w:szCs w:val="18"/>
        </w:rPr>
        <w:t>descriptors, not a learned representation, and no image based deep training loop was run at the time of this result.</w:t>
      </w:r>
    </w:p>
    <w:p w14:paraId="6E6437BB" w14:textId="77777777" w:rsidR="00DA00EE" w:rsidRPr="00E32832" w:rsidRDefault="00F84C4B" w:rsidP="00BA5D5D">
      <w:pPr>
        <w:pStyle w:val="Heading2"/>
        <w:jc w:val="both"/>
        <w:rPr>
          <w:rFonts w:ascii="Times New Roman" w:hAnsi="Times New Roman" w:cs="Times New Roman"/>
          <w:color w:val="auto"/>
          <w:sz w:val="18"/>
          <w:szCs w:val="18"/>
        </w:rPr>
      </w:pPr>
      <w:bookmarkStart w:id="88" w:name="_Toc234738437"/>
      <w:bookmarkEnd w:id="68"/>
      <w:bookmarkEnd w:id="87"/>
      <w:r>
        <w:rPr>
          <w:rFonts w:ascii="Times New Roman" w:hAnsi="Times New Roman" w:cs="Times New Roman"/>
          <w:color w:val="auto"/>
          <w:sz w:val="18"/>
          <w:szCs w:val="18"/>
        </w:rPr>
        <w:t>7. Discussion: The Verifiable Reporting Framework as an Architectural Principle</w:t>
      </w:r>
      <w:bookmarkEnd w:id="88"/>
    </w:p>
    <w:p w14:paraId="15BB052F" w14:textId="355D365F" w:rsidR="00DA00EE" w:rsidRPr="00E32832" w:rsidRDefault="00F84C4B" w:rsidP="00BA5D5D">
      <w:pPr>
        <w:pStyle w:val="Heading3"/>
        <w:jc w:val="both"/>
        <w:rPr>
          <w:rFonts w:ascii="Times New Roman" w:hAnsi="Times New Roman" w:cs="Times New Roman"/>
          <w:color w:val="auto"/>
          <w:sz w:val="18"/>
          <w:szCs w:val="18"/>
        </w:rPr>
      </w:pPr>
      <w:bookmarkStart w:id="89" w:name="_Toc234738438"/>
      <w:bookmarkStart w:id="90" w:name="X4a521187d8c02258567ce06c2e9ce195c7f258a"/>
      <w:r>
        <w:rPr>
          <w:rFonts w:ascii="Times New Roman" w:hAnsi="Times New Roman" w:cs="Times New Roman"/>
          <w:color w:val="auto"/>
          <w:sz w:val="18"/>
          <w:szCs w:val="18"/>
        </w:rPr>
        <w:t>7.1 A worked case study: the quarantined  reference classifier</w:t>
      </w:r>
      <w:bookmarkEnd w:id="89"/>
    </w:p>
    <w:p w14:paraId="42C2A67A" w14:textId="784E88DE"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The single clearest illustration of this paper’s central architectural argument is a module that, on its surface, looks like exactly the kind of thing this paper has otherwise argued against: </w:t>
      </w:r>
      <w:r>
        <w:rPr>
          <w:rStyle w:val="VerbatimChar"/>
          <w:rFonts w:ascii="Times New Roman" w:hAnsi="Times New Roman" w:cs="Times New Roman"/>
          <w:sz w:val="18"/>
          <w:szCs w:val="18"/>
        </w:rPr>
        <w:t>_reference_model.py</w:t>
      </w:r>
      <w:r>
        <w:rPr>
          <w:rFonts w:ascii="Times New Roman" w:hAnsi="Times New Roman" w:cs="Times New Roman"/>
          <w:sz w:val="18"/>
          <w:szCs w:val="18"/>
        </w:rPr>
        <w:t xml:space="preserve"> trains and runs a Random Forest classifier that predicts a “crop” label (from ten generic placeholder categories, </w:t>
      </w:r>
      <w:r>
        <w:rPr>
          <w:rStyle w:val="VerbatimChar"/>
          <w:rFonts w:ascii="Times New Roman" w:hAnsi="Times New Roman" w:cs="Times New Roman"/>
          <w:sz w:val="18"/>
          <w:szCs w:val="18"/>
        </w:rPr>
        <w:t>Crop01</w:t>
      </w:r>
      <w:r>
        <w:rPr>
          <w:rFonts w:ascii="Times New Roman" w:hAnsi="Times New Roman" w:cs="Times New Roman"/>
          <w:sz w:val="18"/>
          <w:szCs w:val="18"/>
        </w:rPr>
        <w:t>–</w:t>
      </w:r>
      <w:r>
        <w:rPr>
          <w:rStyle w:val="VerbatimChar"/>
          <w:rFonts w:ascii="Times New Roman" w:hAnsi="Times New Roman" w:cs="Times New Roman"/>
          <w:sz w:val="18"/>
          <w:szCs w:val="18"/>
        </w:rPr>
        <w:t>Crop10</w:t>
      </w:r>
      <w:r>
        <w:rPr>
          <w:rFonts w:ascii="Times New Roman" w:hAnsi="Times New Roman" w:cs="Times New Roman"/>
          <w:sz w:val="18"/>
          <w:szCs w:val="18"/>
        </w:rPr>
        <w:t xml:space="preserve">) and a “class” label (from fifteen generic placeholder categories, </w:t>
      </w:r>
      <w:r>
        <w:rPr>
          <w:rStyle w:val="VerbatimChar"/>
          <w:rFonts w:ascii="Times New Roman" w:hAnsi="Times New Roman" w:cs="Times New Roman"/>
          <w:sz w:val="18"/>
          <w:szCs w:val="18"/>
        </w:rPr>
        <w:t>Class01</w:t>
      </w:r>
      <w:r>
        <w:rPr>
          <w:rFonts w:ascii="Times New Roman" w:hAnsi="Times New Roman" w:cs="Times New Roman"/>
          <w:sz w:val="18"/>
          <w:szCs w:val="18"/>
        </w:rPr>
        <w:t>–</w:t>
      </w:r>
      <w:r>
        <w:rPr>
          <w:rStyle w:val="VerbatimChar"/>
          <w:rFonts w:ascii="Times New Roman" w:hAnsi="Times New Roman" w:cs="Times New Roman"/>
          <w:sz w:val="18"/>
          <w:szCs w:val="18"/>
        </w:rPr>
        <w:t>Class15</w:t>
      </w:r>
      <w:r>
        <w:rPr>
          <w:rFonts w:ascii="Times New Roman" w:hAnsi="Times New Roman" w:cs="Times New Roman"/>
          <w:sz w:val="18"/>
          <w:szCs w:val="18"/>
        </w:rPr>
        <w:t>) from an eleven feature schema (GLCM contrast/homogeneity, entropy, HSV means, edge density, vegetation index mean, texture energy, a shape factor proxy, and a moisture proxy) extracted from a real input image.</w:t>
      </w:r>
    </w:p>
    <w:p w14:paraId="40797E52" w14:textId="3F4D8E27" w:rsidR="001F0ABA"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The module’s own documentation records why it exists and why it is safe: an earlier attempt trained the same classifier architecture on a dataset the user had supplied, and cross validation revealed that the supplied labels were statistically independent of the supplied feature columns  cross validated accuracy at chance level. Training on that dataset and shipping it would have produced a classifier that looked like a working crop/disease identifier while being, in substance, indistinguishable from a random label generator; the interface would have given no visual </w:t>
      </w:r>
      <w:r>
        <w:rPr>
          <w:rFonts w:ascii="Times New Roman" w:hAnsi="Times New Roman" w:cs="Times New Roman"/>
          <w:sz w:val="18"/>
          <w:szCs w:val="18"/>
        </w:rPr>
        <w:lastRenderedPageBreak/>
        <w:t>indication of this difference from a genuinely trained model. Rather than ship that outcome, the module was rebuilt against a different, deliberately</w:t>
      </w:r>
    </w:p>
    <w:p w14:paraId="0FEFEE21" w14:textId="06835DBF"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 fabricated reference dataset constructed specifically to contain learnable structure, so that the classification machinery  feature extraction, model fitting, cross validated reporting, inference  could be demonstrated working correctly end to end. Every prediction this module returns carries an explicit, prominent </w:t>
      </w:r>
      <w:r>
        <w:rPr>
          <w:rStyle w:val="VerbatimChar"/>
          <w:rFonts w:ascii="Times New Roman" w:hAnsi="Times New Roman" w:cs="Times New Roman"/>
          <w:sz w:val="18"/>
          <w:szCs w:val="18"/>
        </w:rPr>
        <w:t>"disclaimer"</w:t>
      </w:r>
      <w:r>
        <w:rPr>
          <w:rFonts w:ascii="Times New Roman" w:hAnsi="Times New Roman" w:cs="Times New Roman"/>
          <w:sz w:val="18"/>
          <w:szCs w:val="18"/>
        </w:rPr>
        <w:t xml:space="preserve"> field stating that it is a “SIMULATED DEMONSTRATION ONLY,” naming the fabricated dataset it was trained on, stating plainly that the category labels “do not correspond to validated real world crop or disease identities,” and instructing the user that a real classifier requires genuinely labelled photographs entered via the Field &amp; Sensor Data panel, which feeds the separate, non quarantined </w:t>
      </w:r>
      <w:r>
        <w:rPr>
          <w:rStyle w:val="VerbatimChar"/>
          <w:rFonts w:ascii="Times New Roman" w:hAnsi="Times New Roman" w:cs="Times New Roman"/>
          <w:sz w:val="18"/>
          <w:szCs w:val="18"/>
        </w:rPr>
        <w:t>ml_classifier.py</w:t>
      </w:r>
      <w:r>
        <w:rPr>
          <w:rFonts w:ascii="Times New Roman" w:hAnsi="Times New Roman" w:cs="Times New Roman"/>
          <w:sz w:val="18"/>
          <w:szCs w:val="18"/>
        </w:rPr>
        <w:t xml:space="preserve"> module described in Section 4.6.</w:t>
      </w:r>
    </w:p>
    <w:p w14:paraId="028F0F68" w14:textId="63FE0AB6"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 xml:space="preserve">We present this not as an incidental implementation detail but as the paper’s clearest evidence for the Verifiable Reporting Framework claim: the module exists, was tested against real supplied data, failed that test, and  critically  the failure did not </w:t>
      </w:r>
      <w:r>
        <w:rPr>
          <w:rFonts w:ascii="Times New Roman" w:hAnsi="Times New Roman" w:cs="Times New Roman"/>
          <w:sz w:val="18"/>
          <w:szCs w:val="18"/>
        </w:rPr>
        <w:t>result in either (a) silently shipping a non functional classifier as if it worked, or (b) quietly deleting the capability and losing the demonstration value. Instead, the failure was disclosed, the module was re scoped to a clearly labelled  demonstration role, and the disclosure is delivered to the end user, not buried in a changelog or developer comment. This is, in miniature, the concrete behaviour that the qualitative literature on trust in agricultural AI argues is currently missing from the sector at large: a system that discloses the difference between “this works” and “this demonstrates how the machinery would work if given real data,” at the point of use, in a way a non specialist farmer or agronomist can read directly.</w:t>
      </w:r>
    </w:p>
    <w:p w14:paraId="454EAAB9" w14:textId="77777777" w:rsidR="001F0ABA" w:rsidRPr="00E32832" w:rsidRDefault="001F0ABA" w:rsidP="00BA5D5D">
      <w:pPr>
        <w:pStyle w:val="BodyText"/>
        <w:jc w:val="both"/>
        <w:rPr>
          <w:rFonts w:ascii="Times New Roman" w:hAnsi="Times New Roman" w:cs="Times New Roman"/>
          <w:sz w:val="18"/>
          <w:szCs w:val="18"/>
        </w:rPr>
      </w:pPr>
    </w:p>
    <w:p w14:paraId="75F85FE9" w14:textId="77777777" w:rsidR="001F0ABA" w:rsidRPr="00E32832" w:rsidRDefault="001F0ABA" w:rsidP="00BA5D5D">
      <w:pPr>
        <w:pStyle w:val="BodyText"/>
        <w:jc w:val="both"/>
        <w:rPr>
          <w:rFonts w:ascii="Times New Roman" w:hAnsi="Times New Roman" w:cs="Times New Roman"/>
          <w:sz w:val="18"/>
          <w:szCs w:val="18"/>
        </w:rPr>
      </w:pPr>
    </w:p>
    <w:p w14:paraId="54846348" w14:textId="77777777" w:rsidR="001F0ABA" w:rsidRPr="00E32832" w:rsidRDefault="001F0ABA" w:rsidP="00BA5D5D">
      <w:pPr>
        <w:pStyle w:val="BodyText"/>
        <w:jc w:val="both"/>
        <w:rPr>
          <w:rFonts w:ascii="Times New Roman" w:hAnsi="Times New Roman" w:cs="Times New Roman"/>
          <w:sz w:val="18"/>
          <w:szCs w:val="18"/>
        </w:rPr>
      </w:pPr>
    </w:p>
    <w:p w14:paraId="75E1A1E3" w14:textId="77777777" w:rsidR="001F0ABA" w:rsidRPr="00E32832" w:rsidRDefault="001F0ABA" w:rsidP="00BA5D5D">
      <w:pPr>
        <w:pStyle w:val="BodyText"/>
        <w:jc w:val="both"/>
        <w:rPr>
          <w:rFonts w:ascii="Times New Roman" w:hAnsi="Times New Roman" w:cs="Times New Roman"/>
          <w:sz w:val="18"/>
          <w:szCs w:val="18"/>
        </w:rPr>
      </w:pPr>
    </w:p>
    <w:p w14:paraId="6C0C6E69" w14:textId="77777777" w:rsidR="001F0ABA" w:rsidRPr="00E32832" w:rsidRDefault="001F0ABA" w:rsidP="00BA5D5D">
      <w:pPr>
        <w:pStyle w:val="BodyText"/>
        <w:jc w:val="both"/>
        <w:rPr>
          <w:rFonts w:ascii="Times New Roman" w:hAnsi="Times New Roman" w:cs="Times New Roman"/>
          <w:sz w:val="18"/>
          <w:szCs w:val="18"/>
        </w:rPr>
      </w:pPr>
    </w:p>
    <w:p w14:paraId="33F4902E" w14:textId="77777777" w:rsidR="001F0ABA" w:rsidRPr="00E32832" w:rsidRDefault="001F0ABA" w:rsidP="00BA5D5D">
      <w:pPr>
        <w:pStyle w:val="BodyText"/>
        <w:jc w:val="both"/>
        <w:rPr>
          <w:rFonts w:ascii="Times New Roman" w:hAnsi="Times New Roman" w:cs="Times New Roman"/>
          <w:sz w:val="18"/>
          <w:szCs w:val="18"/>
        </w:rPr>
        <w:sectPr w:rsidR="001F0ABA" w:rsidRPr="00E32832">
          <w:type w:val="continuous"/>
          <w:pgSz w:w="11906" w:h="16838"/>
          <w:pgMar w:top="1440" w:right="1080" w:bottom="1440" w:left="1080" w:header="708" w:footer="708" w:gutter="0"/>
          <w:cols w:num="2" w:space="360"/>
          <w:docGrid w:linePitch="360"/>
        </w:sectPr>
      </w:pPr>
    </w:p>
    <w:p w14:paraId="7BD0AEEA" w14:textId="77777777" w:rsidR="00DA00EE" w:rsidRPr="00E32832" w:rsidRDefault="00DA00EE" w:rsidP="00BA5D5D">
      <w:pPr>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space="708"/>
          <w:docGrid w:linePitch="360"/>
        </w:sectPr>
      </w:pPr>
      <w:bookmarkStart w:id="91" w:name="verifiable-reporting-framework-as-a-chec"/>
      <w:bookmarkEnd w:id="90"/>
    </w:p>
    <w:p w14:paraId="0FD33E39" w14:textId="77777777" w:rsidR="00DA00EE" w:rsidRPr="00E32832" w:rsidRDefault="00F84C4B" w:rsidP="00BA5D5D">
      <w:pPr>
        <w:pStyle w:val="Heading3"/>
        <w:jc w:val="both"/>
        <w:rPr>
          <w:rFonts w:ascii="Times New Roman" w:hAnsi="Times New Roman" w:cs="Times New Roman"/>
          <w:color w:val="auto"/>
          <w:sz w:val="18"/>
          <w:szCs w:val="18"/>
        </w:rPr>
      </w:pPr>
      <w:bookmarkStart w:id="92" w:name="_Toc234738439"/>
      <w:r>
        <w:rPr>
          <w:rFonts w:ascii="Times New Roman" w:hAnsi="Times New Roman" w:cs="Times New Roman"/>
          <w:color w:val="auto"/>
          <w:sz w:val="18"/>
          <w:szCs w:val="18"/>
        </w:rPr>
        <w:t>7.2 The Verifiable Reporting Framework as a checklist</w:t>
      </w:r>
      <w:bookmarkEnd w:id="92"/>
    </w:p>
    <w:p w14:paraId="3606C3E2"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Generalising from the fourteen modules audited in this paper, we propose that Verifiable Reporting Framework in agronomic (and, we suspect, broader scientific/decision support) software can be operationalised as a small, source code auditable checklist:</w:t>
      </w:r>
    </w:p>
    <w:p w14:paraId="3C959144" w14:textId="77777777" w:rsidR="00DA00EE" w:rsidRPr="00E32832" w:rsidRDefault="00F84C4B" w:rsidP="00BA5D5D">
      <w:pPr>
        <w:pStyle w:val="Compact"/>
        <w:numPr>
          <w:ilvl w:val="0"/>
          <w:numId w:val="4"/>
        </w:numPr>
        <w:jc w:val="both"/>
        <w:rPr>
          <w:rFonts w:ascii="Times New Roman" w:hAnsi="Times New Roman" w:cs="Times New Roman"/>
          <w:sz w:val="18"/>
          <w:szCs w:val="18"/>
        </w:rPr>
      </w:pPr>
      <w:r>
        <w:rPr>
          <w:rFonts w:ascii="Times New Roman" w:hAnsi="Times New Roman" w:cs="Times New Roman"/>
          <w:b/>
          <w:bCs/>
          <w:sz w:val="18"/>
          <w:szCs w:val="18"/>
        </w:rPr>
        <w:t>Every reported quantity has a traceable computation path.</w:t>
      </w:r>
      <w:r>
        <w:rPr>
          <w:rFonts w:ascii="Times New Roman" w:hAnsi="Times New Roman" w:cs="Times New Roman"/>
          <w:sz w:val="18"/>
          <w:szCs w:val="18"/>
        </w:rPr>
        <w:t xml:space="preserve"> For each number or map the interface displays, it should be possible to point to the exact function and exact input data (pixels, EXIF, user entry) that produced it, with no step that “fills in” a value from an external assumption not disclosed at the point of display.</w:t>
      </w:r>
    </w:p>
    <w:p w14:paraId="50F2A136" w14:textId="77777777" w:rsidR="00DA00EE" w:rsidRPr="00E32832" w:rsidRDefault="00F84C4B" w:rsidP="00BA5D5D">
      <w:pPr>
        <w:pStyle w:val="Compact"/>
        <w:numPr>
          <w:ilvl w:val="0"/>
          <w:numId w:val="4"/>
        </w:numPr>
        <w:jc w:val="both"/>
        <w:rPr>
          <w:rFonts w:ascii="Times New Roman" w:hAnsi="Times New Roman" w:cs="Times New Roman"/>
          <w:sz w:val="18"/>
          <w:szCs w:val="18"/>
        </w:rPr>
      </w:pPr>
      <w:r>
        <w:rPr>
          <w:rFonts w:ascii="Times New Roman" w:hAnsi="Times New Roman" w:cs="Times New Roman"/>
          <w:b/>
          <w:bCs/>
          <w:sz w:val="18"/>
          <w:szCs w:val="18"/>
        </w:rPr>
        <w:t>Proxies are labelled as proxies, at the point of display, not only in documentation.</w:t>
      </w:r>
      <w:r>
        <w:rPr>
          <w:rFonts w:ascii="Times New Roman" w:hAnsi="Times New Roman" w:cs="Times New Roman"/>
          <w:sz w:val="18"/>
          <w:szCs w:val="18"/>
        </w:rPr>
        <w:t xml:space="preserve"> An RGB proxy NDVI value shown on a map layer should say “NDVI (RGB proxy)” in its own legend, not merely “NDVI” with the caveat left to a README.</w:t>
      </w:r>
    </w:p>
    <w:p w14:paraId="071F87B6" w14:textId="77777777" w:rsidR="00DA00EE" w:rsidRPr="00E32832" w:rsidRDefault="00F84C4B" w:rsidP="00BA5D5D">
      <w:pPr>
        <w:pStyle w:val="Compact"/>
        <w:numPr>
          <w:ilvl w:val="0"/>
          <w:numId w:val="4"/>
        </w:numPr>
        <w:jc w:val="both"/>
        <w:rPr>
          <w:rFonts w:ascii="Times New Roman" w:hAnsi="Times New Roman" w:cs="Times New Roman"/>
          <w:sz w:val="18"/>
          <w:szCs w:val="18"/>
        </w:rPr>
      </w:pPr>
      <w:r>
        <w:rPr>
          <w:rFonts w:ascii="Times New Roman" w:hAnsi="Times New Roman" w:cs="Times New Roman"/>
          <w:b/>
          <w:bCs/>
          <w:sz w:val="18"/>
          <w:szCs w:val="18"/>
        </w:rPr>
        <w:t xml:space="preserve">Absence of ground truth produces </w:t>
      </w:r>
      <w:r>
        <w:rPr>
          <w:rStyle w:val="VerbatimChar"/>
          <w:rFonts w:ascii="Times New Roman" w:hAnsi="Times New Roman" w:cs="Times New Roman"/>
          <w:b/>
          <w:bCs/>
          <w:sz w:val="18"/>
          <w:szCs w:val="18"/>
        </w:rPr>
        <w:t>N/A</w:t>
      </w:r>
      <w:r>
        <w:rPr>
          <w:rFonts w:ascii="Times New Roman" w:hAnsi="Times New Roman" w:cs="Times New Roman"/>
          <w:b/>
          <w:bCs/>
          <w:sz w:val="18"/>
          <w:szCs w:val="18"/>
        </w:rPr>
        <w:t>, not a plausible number.</w:t>
      </w:r>
      <w:r>
        <w:rPr>
          <w:rFonts w:ascii="Times New Roman" w:hAnsi="Times New Roman" w:cs="Times New Roman"/>
          <w:sz w:val="18"/>
          <w:szCs w:val="18"/>
        </w:rPr>
        <w:t xml:space="preserve"> Classification accuracy, F1, ROC AUC, and similar metrics should never be computed or displayed without genuine labels; when labels are absent, the honest output is an explicit non availability notice paired, where possible, with the nearest genuinely computable alternative (e.g., unsupervised internal validity indices in place of supervised accuracy).</w:t>
      </w:r>
    </w:p>
    <w:p w14:paraId="5FA60497" w14:textId="17DACADE" w:rsidR="00DA00EE" w:rsidRPr="00E32832" w:rsidRDefault="00F84C4B" w:rsidP="00BA5D5D">
      <w:pPr>
        <w:pStyle w:val="Compact"/>
        <w:numPr>
          <w:ilvl w:val="0"/>
          <w:numId w:val="4"/>
        </w:numPr>
        <w:jc w:val="both"/>
        <w:rPr>
          <w:rFonts w:ascii="Times New Roman" w:hAnsi="Times New Roman" w:cs="Times New Roman"/>
          <w:sz w:val="18"/>
          <w:szCs w:val="18"/>
        </w:rPr>
      </w:pPr>
      <w:r>
        <w:rPr>
          <w:rFonts w:ascii="Times New Roman" w:hAnsi="Times New Roman" w:cs="Times New Roman"/>
          <w:b/>
          <w:bCs/>
          <w:sz w:val="18"/>
          <w:szCs w:val="18"/>
        </w:rPr>
        <w:t>Simulated or demonstration components are quarantined, not hidden.</w:t>
      </w:r>
      <w:r>
        <w:rPr>
          <w:rFonts w:ascii="Times New Roman" w:hAnsi="Times New Roman" w:cs="Times New Roman"/>
          <w:sz w:val="18"/>
          <w:szCs w:val="18"/>
        </w:rPr>
        <w:t xml:space="preserve"> Where a  or illustrative computation exists for legitimate reasons (to demonstrate machinery, to stress test a UI, to provide a fallback teaching example), it should be reachable, clearly named as such, and carry a persistent, non dismissible disclaimer distinguishing it from validated output  rather than either being deleted (losing legitimate demonstration value) or left unlabeled (creating exactly the risk this paper warns against).</w:t>
      </w:r>
    </w:p>
    <w:p w14:paraId="7F0B0CE3" w14:textId="77777777" w:rsidR="00DA00EE" w:rsidRPr="00E32832" w:rsidRDefault="00F84C4B" w:rsidP="00BA5D5D">
      <w:pPr>
        <w:pStyle w:val="Compact"/>
        <w:numPr>
          <w:ilvl w:val="0"/>
          <w:numId w:val="4"/>
        </w:numPr>
        <w:jc w:val="both"/>
        <w:rPr>
          <w:rFonts w:ascii="Times New Roman" w:hAnsi="Times New Roman" w:cs="Times New Roman"/>
          <w:sz w:val="18"/>
          <w:szCs w:val="18"/>
        </w:rPr>
      </w:pPr>
      <w:r>
        <w:rPr>
          <w:rFonts w:ascii="Times New Roman" w:hAnsi="Times New Roman" w:cs="Times New Roman"/>
          <w:b/>
          <w:bCs/>
          <w:sz w:val="18"/>
          <w:szCs w:val="18"/>
        </w:rPr>
        <w:t>Known method limitations are stated as limitations, not hedged into vagueness.</w:t>
      </w:r>
      <w:r>
        <w:rPr>
          <w:rFonts w:ascii="Times New Roman" w:hAnsi="Times New Roman" w:cs="Times New Roman"/>
          <w:sz w:val="18"/>
          <w:szCs w:val="18"/>
        </w:rPr>
        <w:t xml:space="preserve"> “This performs translation only registration; rotation and perspective differences are not corrected” is a stronger and more useful </w:t>
      </w:r>
      <w:r>
        <w:rPr>
          <w:rFonts w:ascii="Times New Roman" w:hAnsi="Times New Roman" w:cs="Times New Roman"/>
          <w:sz w:val="18"/>
          <w:szCs w:val="18"/>
        </w:rPr>
        <w:t>disclosure than “results may vary depending on image conditions.”</w:t>
      </w:r>
    </w:p>
    <w:p w14:paraId="65FA6037" w14:textId="77777777" w:rsidR="00DA00EE" w:rsidRPr="00E32832" w:rsidRDefault="00F84C4B" w:rsidP="00BA5D5D">
      <w:pPr>
        <w:pStyle w:val="Compact"/>
        <w:numPr>
          <w:ilvl w:val="0"/>
          <w:numId w:val="4"/>
        </w:numPr>
        <w:jc w:val="both"/>
        <w:rPr>
          <w:rFonts w:ascii="Times New Roman" w:hAnsi="Times New Roman" w:cs="Times New Roman"/>
          <w:sz w:val="18"/>
          <w:szCs w:val="18"/>
        </w:rPr>
      </w:pPr>
      <w:r>
        <w:rPr>
          <w:rFonts w:ascii="Times New Roman" w:hAnsi="Times New Roman" w:cs="Times New Roman"/>
          <w:b/>
          <w:bCs/>
          <w:sz w:val="18"/>
          <w:szCs w:val="18"/>
        </w:rPr>
        <w:t>Environment dependent unavailability (missing optional dependency, no internet access) fails loudly and specifically.</w:t>
      </w:r>
      <w:r>
        <w:rPr>
          <w:rFonts w:ascii="Times New Roman" w:hAnsi="Times New Roman" w:cs="Times New Roman"/>
          <w:sz w:val="18"/>
          <w:szCs w:val="18"/>
        </w:rPr>
        <w:t xml:space="preserve"> A missing </w:t>
      </w:r>
      <w:r>
        <w:rPr>
          <w:rStyle w:val="VerbatimChar"/>
          <w:rFonts w:ascii="Times New Roman" w:hAnsi="Times New Roman" w:cs="Times New Roman"/>
          <w:sz w:val="18"/>
          <w:szCs w:val="18"/>
        </w:rPr>
        <w:t>torch</w:t>
      </w:r>
      <w:r>
        <w:rPr>
          <w:rFonts w:ascii="Times New Roman" w:hAnsi="Times New Roman" w:cs="Times New Roman"/>
          <w:sz w:val="18"/>
          <w:szCs w:val="18"/>
        </w:rPr>
        <w:t xml:space="preserve"> installation should produce “ResNet101 unavailable: install with </w:t>
      </w:r>
      <w:r>
        <w:rPr>
          <w:rStyle w:val="VerbatimChar"/>
          <w:rFonts w:ascii="Times New Roman" w:hAnsi="Times New Roman" w:cs="Times New Roman"/>
          <w:sz w:val="18"/>
          <w:szCs w:val="18"/>
        </w:rPr>
        <w:t>pip install torch torchvision</w:t>
      </w:r>
      <w:r>
        <w:rPr>
          <w:rFonts w:ascii="Times New Roman" w:hAnsi="Times New Roman" w:cs="Times New Roman"/>
          <w:sz w:val="18"/>
          <w:szCs w:val="18"/>
        </w:rPr>
        <w:t>,” not a blank panel or a placeholder number.</w:t>
      </w:r>
    </w:p>
    <w:p w14:paraId="514A12A5" w14:textId="4853AEB5" w:rsidR="00DA00EE" w:rsidRPr="00E32832" w:rsidRDefault="00F84C4B" w:rsidP="001F0ABA">
      <w:pPr>
        <w:pStyle w:val="FirstParagraph"/>
        <w:jc w:val="both"/>
        <w:rPr>
          <w:rFonts w:ascii="Times New Roman" w:hAnsi="Times New Roman" w:cs="Times New Roman"/>
          <w:sz w:val="18"/>
          <w:szCs w:val="18"/>
        </w:rPr>
      </w:pPr>
      <w:r>
        <w:rPr>
          <w:rFonts w:ascii="Times New Roman" w:hAnsi="Times New Roman" w:cs="Times New Roman"/>
          <w:sz w:val="18"/>
          <w:szCs w:val="18"/>
        </w:rPr>
        <w:t>We do not claim this checklist is exhaustive, nor that it is original in each individual item  clear labelling of proxies and explicit non availability reporting are hardly novel ideas in software engineering generally. Its contribution here is narrower and, we think, still useful: assembling these rules into a single, named, auditable design principle specifically for agronomic image analysis software, at a moment when the surrounding literature (Section 2.5) has identified transparency and disclosed uncertainty, rather than raw accuracy, as the binding constraint on trust and adoption in this domain.</w:t>
      </w:r>
    </w:p>
    <w:p w14:paraId="21BA16AA" w14:textId="77777777" w:rsidR="00DA00EE" w:rsidRPr="00E32832" w:rsidRDefault="00F84C4B" w:rsidP="00BA5D5D">
      <w:pPr>
        <w:pStyle w:val="Heading2"/>
        <w:jc w:val="both"/>
        <w:rPr>
          <w:rFonts w:ascii="Times New Roman" w:hAnsi="Times New Roman" w:cs="Times New Roman"/>
          <w:color w:val="auto"/>
          <w:sz w:val="18"/>
          <w:szCs w:val="18"/>
        </w:rPr>
      </w:pPr>
      <w:bookmarkStart w:id="93" w:name="_Toc234738440"/>
      <w:bookmarkStart w:id="94" w:name="limitations"/>
      <w:bookmarkEnd w:id="91"/>
      <w:r>
        <w:rPr>
          <w:rFonts w:ascii="Times New Roman" w:hAnsi="Times New Roman" w:cs="Times New Roman"/>
          <w:color w:val="auto"/>
          <w:sz w:val="18"/>
          <w:szCs w:val="18"/>
        </w:rPr>
        <w:t>8. Limitations</w:t>
      </w:r>
      <w:bookmarkEnd w:id="93"/>
    </w:p>
    <w:p w14:paraId="7B043F9C"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This paper’s own Verifiable Reporting Framework argument requires that its limitations be stated as concretely as the software’s own disclosures.</w:t>
      </w:r>
    </w:p>
    <w:p w14:paraId="189A4D65" w14:textId="73A01E8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Translation only registration.</w:t>
      </w:r>
      <w:r>
        <w:rPr>
          <w:rFonts w:ascii="Times New Roman" w:hAnsi="Times New Roman" w:cs="Times New Roman"/>
          <w:sz w:val="18"/>
          <w:szCs w:val="18"/>
        </w:rPr>
        <w:t xml:space="preserve"> As stated in Section 4.1, the streaming aligner does not correct rotation, scale, or perspective differences between frames. For photographs taken from noticeably different angles or distances  a realistic scenario for handheld field photography  the resulting composite will retain some blur that a fuller geometric registration (homography or higher order warp) would reduce.</w:t>
      </w:r>
    </w:p>
    <w:p w14:paraId="2F27E9CD" w14:textId="1ED5B802" w:rsidR="00DA00EE" w:rsidRPr="00E32832" w:rsidRDefault="00F84C4B" w:rsidP="001F0ABA">
      <w:pPr>
        <w:pStyle w:val="BodyText"/>
        <w:jc w:val="both"/>
        <w:rPr>
          <w:rFonts w:ascii="Times New Roman" w:hAnsi="Times New Roman" w:cs="Times New Roman"/>
          <w:sz w:val="18"/>
          <w:szCs w:val="18"/>
        </w:rPr>
      </w:pPr>
      <w:r>
        <w:rPr>
          <w:rFonts w:ascii="Times New Roman" w:hAnsi="Times New Roman" w:cs="Times New Roman"/>
          <w:b/>
          <w:bCs/>
          <w:sz w:val="18"/>
          <w:szCs w:val="18"/>
        </w:rPr>
        <w:t>Small sample statistics.</w:t>
      </w:r>
      <w:r>
        <w:rPr>
          <w:rFonts w:ascii="Times New Roman" w:hAnsi="Times New Roman" w:cs="Times New Roman"/>
          <w:sz w:val="18"/>
          <w:szCs w:val="18"/>
        </w:rPr>
        <w:t xml:space="preserve"> The LOOCV k NN and K Means modules are designed for, and validated here only on, small batches (order of tens of images). The classification metrics they report on such batches (Section 4.6) are, as the module’s own documentation states, “noisy  treat as indicative, not definitive,” and should not be interpreted with the same confidence as metrics from a large, held out, independently collected test set.</w:t>
      </w:r>
    </w:p>
    <w:p w14:paraId="1E0B1759" w14:textId="29244964" w:rsidR="00DA00EE" w:rsidRPr="00E32832" w:rsidRDefault="00F84C4B" w:rsidP="001F0ABA">
      <w:pPr>
        <w:pStyle w:val="BodyText"/>
        <w:jc w:val="both"/>
        <w:rPr>
          <w:rFonts w:ascii="Times New Roman" w:hAnsi="Times New Roman" w:cs="Times New Roman"/>
          <w:sz w:val="18"/>
          <w:szCs w:val="18"/>
        </w:rPr>
      </w:pPr>
      <w:r>
        <w:rPr>
          <w:rFonts w:ascii="Times New Roman" w:hAnsi="Times New Roman" w:cs="Times New Roman"/>
          <w:b/>
          <w:bCs/>
          <w:sz w:val="18"/>
          <w:szCs w:val="18"/>
        </w:rPr>
        <w:lastRenderedPageBreak/>
        <w:t>No evaluation under real field conditions.</w:t>
      </w:r>
      <w:r>
        <w:rPr>
          <w:rFonts w:ascii="Times New Roman" w:hAnsi="Times New Roman" w:cs="Times New Roman"/>
          <w:sz w:val="18"/>
          <w:szCs w:val="18"/>
        </w:rPr>
        <w:t xml:space="preserve"> Every quantitative result in this paper (Sections 5 and 6) is drawn either from a procedurally synthesised demonstration image set or from a static, pre collected photograph archive. Neither evaluation exposes the pipeline to the conditions that determine whether a vegetation index or texture feature is usable on a farm: variable and directional illumination, cast shadow from canopy or equipment, mixed soil backgrounds, dust or moisture on the lens, motion blur from handheld or UAV capture, and the continuous change in canopy structure and colour across a crop's growth stages. Because the RGB proxy indices and GLCM features documented in Sections 4.2 and 4.3 are, by construction, sensitive to exactly this kind of illumination and background variation, the results reported here should be read as evidence that the pipeline's machinery is computed correctly and can extract some signal from real photographs, not as evidence of accuracy under field deployment conditions. Closing this gap requires a dedicated field trial: paired image capture across multiple times of day, weather conditions, growth stages, and soil types, with agronomist verified ground truth, which was outside the scope of the present software and evaluation paper.</w:t>
      </w:r>
    </w:p>
    <w:p w14:paraId="1E0B175A" w14:textId="29244965" w:rsidR="00DA00EE" w:rsidRPr="00E32832" w:rsidRDefault="00F84C4B" w:rsidP="001F0ABA">
      <w:pPr>
        <w:pStyle w:val="BodyText"/>
        <w:jc w:val="both"/>
        <w:rPr>
          <w:rFonts w:ascii="Times New Roman" w:hAnsi="Times New Roman" w:cs="Times New Roman"/>
          <w:sz w:val="18"/>
          <w:szCs w:val="18"/>
        </w:rPr>
      </w:pPr>
      <w:r>
        <w:rPr>
          <w:rFonts w:ascii="Times New Roman" w:hAnsi="Times New Roman" w:cs="Times New Roman"/>
          <w:b/>
          <w:bCs/>
          <w:sz w:val="18"/>
          <w:szCs w:val="18"/>
        </w:rPr>
        <w:t>Balanced accuracy is a research signal, not a deployment number.</w:t>
      </w:r>
      <w:r>
        <w:rPr>
          <w:rFonts w:ascii="Times New Roman" w:hAnsi="Times New Roman" w:cs="Times New Roman"/>
          <w:sz w:val="18"/>
          <w:szCs w:val="18"/>
        </w:rPr>
        <w:t xml:space="preserve"> The 33.8% balanced accuracy reported in Section 6.9 against a 4.55% chance baseline is, in relative terms, a large and reproducible improvement, and the robustness check in Section 6.11 shows it is not an artefact of augmented data. In absolute terms, however, a classifier correct on roughly one third of cases across 22 classes is not adequate for autonomous disease identification, treatment recommendation, or any other decision made without a human in the loop. We report this number in full, un-rounded and without qualification, precisely because the Verifiable Reporting Framework principle argued for throughout this paper (Section 7) requires that a positive but modest result be stated with the same honesty as a null one. Readers, and any future user of this pipeline, should treat the classical feature classifier as a research baseline and a triage aid at best, pending the transfer learning and larger scale annotation work outlined below, not as a ready to deploy diagnostic.</w:t>
      </w:r>
    </w:p>
    <w:p w14:paraId="1E0B175B" w14:textId="29244966" w:rsidR="00DA00EE" w:rsidRPr="00E32832" w:rsidRDefault="00F84C4B" w:rsidP="001F0ABA">
      <w:pPr>
        <w:pStyle w:val="BodyText"/>
        <w:jc w:val="both"/>
        <w:rPr>
          <w:rFonts w:ascii="Times New Roman" w:hAnsi="Times New Roman" w:cs="Times New Roman"/>
          <w:sz w:val="18"/>
          <w:szCs w:val="18"/>
        </w:rPr>
      </w:pPr>
      <w:r>
        <w:rPr>
          <w:rFonts w:ascii="Times New Roman" w:hAnsi="Times New Roman" w:cs="Times New Roman"/>
          <w:b/>
          <w:bCs/>
          <w:sz w:val="18"/>
          <w:szCs w:val="18"/>
        </w:rPr>
        <w:t>Comparative depth across the eight benchmarked models.</w:t>
      </w:r>
      <w:r>
        <w:rPr>
          <w:rFonts w:ascii="Times New Roman" w:hAnsi="Times New Roman" w:cs="Times New Roman"/>
          <w:sz w:val="18"/>
          <w:szCs w:val="18"/>
        </w:rPr>
        <w:t xml:space="preserve"> Sections 6.3, 6.4, and 6.9 report accuracy and balanced accuracy for each of the eight benchmarked classical and deep models, but the paper does not present a systematic side by side comparison of their computational cost, inference latency, memory footprint, and sensitivity to training set size alongside their accuracy. On low resource hardware, which motivates this pipeline's design (Section 1.2), these operating costs are as decision relevant as raw accuracy. A dedicated comparison table quantifying training time, per image inference time, peak memory, and parameter count for each model, alongside accuracy, is left as near term future work and would materially strengthen model selection guidance for practitioners.</w:t>
      </w:r>
    </w:p>
    <w:p w14:paraId="21BA16AB" w14:textId="7777A001" w:rsidR="00DA00EE" w:rsidRPr="00E32832" w:rsidRDefault="00F84C4B" w:rsidP="00BA5D5D">
      <w:pPr>
        <w:pStyle w:val="Heading2"/>
        <w:jc w:val="both"/>
        <w:rPr>
          <w:rFonts w:ascii="Times New Roman" w:hAnsi="Times New Roman" w:cs="Times New Roman"/>
          <w:color w:val="auto"/>
          <w:sz w:val="18"/>
          <w:szCs w:val="18"/>
        </w:rPr>
      </w:pPr>
      <w:r>
        <w:rPr>
          <w:rFonts w:ascii="Times New Roman" w:hAnsi="Times New Roman" w:cs="Times New Roman"/>
          <w:color w:val="auto"/>
          <w:sz w:val="18"/>
          <w:szCs w:val="18"/>
        </w:rPr>
        <w:t>9. Future Work</w:t>
      </w:r>
    </w:p>
    <w:p w14:paraId="1E0B175C" w14:textId="2924496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The limitations above point to four concrete, prioritised extensions of this work, each aimed at closing the gap between the software validation reported here and a field deployable diagnostic tool.</w:t>
      </w:r>
    </w:p>
    <w:p w14:paraId="1E0B175D" w14:textId="29244968"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Large scale field validation.</w:t>
      </w:r>
      <w:r>
        <w:rPr>
          <w:rFonts w:ascii="Times New Roman" w:hAnsi="Times New Roman" w:cs="Times New Roman"/>
          <w:sz w:val="18"/>
          <w:szCs w:val="18"/>
        </w:rPr>
        <w:t xml:space="preserve"> The clearest next step is a dedicated field trial that captures images across multiple crop varieties, growth stages, geographic regions, illumination conditions, and weather, with disease and stress labels verified by agronomists rather than sourced from a static archive. This alone would let us </w:t>
      </w:r>
      <w:r>
        <w:rPr>
          <w:rFonts w:ascii="Times New Roman" w:hAnsi="Times New Roman" w:cs="Times New Roman"/>
          <w:sz w:val="18"/>
          <w:szCs w:val="18"/>
        </w:rPr>
        <w:t>report accuracy figures that reflect deployment conditions rather than a favourable, pre curated dataset.</w:t>
      </w:r>
    </w:p>
    <w:p w14:paraId="1E0B175E" w14:textId="29244969"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Transfer learning and larger annotated datasets.</w:t>
      </w:r>
      <w:r>
        <w:rPr>
          <w:rFonts w:ascii="Times New Roman" w:hAnsi="Times New Roman" w:cs="Times New Roman"/>
          <w:sz w:val="18"/>
          <w:szCs w:val="18"/>
        </w:rPr>
        <w:t xml:space="preserve"> The 33.8% balanced accuracy ceiling reported in Section 6.9 was reached using classical, hand crafted descriptors alone. Fine tuning the optional pretrained backbones already integrated in Section 4.7 (ResNet101, Faster R CNN) on a substantially larger, field representative annotated corpus, and exploring lightweight modern architectures suited to low resource hardware, is a natural and tractable route to materially improving on this ceiling.</w:t>
      </w:r>
    </w:p>
    <w:p w14:paraId="1E0B175F" w14:textId="2924496A"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Systematic cross model comparison.</w:t>
      </w:r>
      <w:r>
        <w:rPr>
          <w:rFonts w:ascii="Times New Roman" w:hAnsi="Times New Roman" w:cs="Times New Roman"/>
          <w:sz w:val="18"/>
          <w:szCs w:val="18"/>
        </w:rPr>
        <w:t xml:space="preserve"> Future work should report training time, per image inference latency, peak memory, and accuracy together for every model integrated into N_GACL, rather than accuracy alone, so that practitioners on constrained hardware can make an informed cost accuracy trade off when selecting a model.</w:t>
      </w:r>
    </w:p>
    <w:p w14:paraId="1E0B1760" w14:textId="2924496B"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b/>
          <w:bCs/>
          <w:sz w:val="18"/>
          <w:szCs w:val="18"/>
        </w:rPr>
        <w:t>Structured end user feedback.</w:t>
      </w:r>
      <w:r>
        <w:rPr>
          <w:rFonts w:ascii="Times New Roman" w:hAnsi="Times New Roman" w:cs="Times New Roman"/>
          <w:sz w:val="18"/>
          <w:szCs w:val="18"/>
        </w:rPr>
        <w:t xml:space="preserve"> Every usability judgement made in Section 3 to date reflects the authors' own design choices, not observed use. A structured usability study with farmers, agronomists, and agricultural extension workers across both the PyQt6 and Tkinter interfaces would validate the dual interface strategy's core premise, that different technical backgrounds warrant different interaction styles, and would likely surface interface and workflow issues neither author anticipated.</w:t>
      </w:r>
    </w:p>
    <w:p w14:paraId="1E0B1758" w14:textId="29244963" w:rsidR="00DA00EE" w:rsidRPr="00E32832" w:rsidRDefault="00AF3675" w:rsidP="00BA5D5D">
      <w:pPr>
        <w:pStyle w:val="Heading2"/>
        <w:jc w:val="both"/>
        <w:rPr>
          <w:rFonts w:ascii="Times New Roman" w:hAnsi="Times New Roman" w:cs="Times New Roman"/>
          <w:color w:val="auto"/>
          <w:sz w:val="18"/>
          <w:szCs w:val="18"/>
        </w:rPr>
      </w:pPr>
      <w:bookmarkStart w:id="95" w:name="_Toc234738442"/>
      <w:bookmarkEnd w:id="94"/>
      <w:r>
        <w:rPr>
          <w:rFonts w:ascii="Times New Roman" w:hAnsi="Times New Roman" w:cs="Times New Roman"/>
          <w:color w:val="auto"/>
          <w:sz w:val="18"/>
          <w:szCs w:val="18"/>
        </w:rPr>
        <w:t>10. Conclusion</w:t>
      </w:r>
      <w:bookmarkEnd w:id="95"/>
    </w:p>
    <w:p w14:paraId="2A8B4650" w14:textId="4C802433"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 xml:space="preserve">This paper has documented the architecture, mathematical formulation, and evaluation methodology of N_GACL, a two interface desktop pipeline for exploratory agronomic image analysis, built around a single governing principle  Verifiable Reporting Framework  under which every reported quantity is either genuinely computed, clearly labelled as a proxy or heuristic, or explicitly marked unavailable, with no plausible looking number ever silently substituted for one the system cannot actually produce. We have given the full mathematical treatment of the pipeline’s fourteen analysis modules  streaming phase correlation alignment and composite construction with measured, memory bounded scaling; a fully labelled RGB proxy vegetation index family alongside true multispectral NDVI/NDRE when calibrated bands are available; genuine GLCM texture features; a compact eight dimensional descriptor supporting real invariance testing, InfoNCE style contrastive loss mechanics, PCA feature space projection, LOOCV k NN classification, and silhouette/Davies–Bouldin/Calinski–Harabasz validated K Means clustering; optional, honestly scoped pretrained deep model integration; and classical CV morphology/environment profiling  and illustrated every method’s genuine, reproducible behaviour on a procedurally synthesised demonstration image set, explicitly distinguished throughout from any claim of validated field performance. We further corroborated every one of these claims with ten unedited screenshots from a live, real user session, and reported, in full and without suppression, an eight model machine learning benchmark whose honest result  chance level performance on the  reference dataset across every model and metric tested  is itself supporting evidence for this paper’s central argument rather than an inconvenient result to be hidden. On a second, independently sourced dataset of real crop disease photographs, the same evaluation discipline instead found a genuinely positive result: classical hand crafted features reach 33.8% balanced accuracy against a 4.55% chance level, a result that survives a dedicated robustness check. We have used the pipeline’s own quarantined  reference classifier as a worked case study in what Verifiable Reporting Framework looks like when a </w:t>
      </w:r>
      <w:r>
        <w:rPr>
          <w:rFonts w:ascii="Times New Roman" w:hAnsi="Times New Roman" w:cs="Times New Roman"/>
          <w:sz w:val="18"/>
          <w:szCs w:val="18"/>
        </w:rPr>
        <w:lastRenderedPageBreak/>
        <w:t>real modelling attempt fails: disclosure and re scoping, rather than either silent shipment or silent deletion. We conclude that this transparency first architecture  not a novel model architecture, and not a number on a benchmark table  is the paper’s principal contribution, directly addressing the trust and transparency gap that recent literature has identified as the binding constraint on AI adoption in agriculture, and we have laid out a concrete, prioritised path (Section 9) by which the same architecture can be extended, with real field data and formal validation, into a deployable diagnostic tool. A companion manuscript describes GACL, a hypergraph transformer architecture built to extend this pipeline toward validated deep learning classification once that real, labelled field data exists.</w:t>
      </w:r>
    </w:p>
    <w:p w14:paraId="3C153F82" w14:textId="77777777" w:rsidR="00DA00EE" w:rsidRPr="00E32832" w:rsidRDefault="00F84C4B" w:rsidP="00BA5D5D">
      <w:pPr>
        <w:pStyle w:val="Heading2"/>
        <w:jc w:val="both"/>
        <w:rPr>
          <w:rFonts w:ascii="Times New Roman" w:hAnsi="Times New Roman" w:cs="Times New Roman"/>
          <w:color w:val="auto"/>
          <w:sz w:val="18"/>
          <w:szCs w:val="18"/>
        </w:rPr>
      </w:pPr>
      <w:bookmarkStart w:id="96" w:name="_Toc234738443"/>
      <w:r>
        <w:rPr>
          <w:rFonts w:ascii="Times New Roman" w:hAnsi="Times New Roman" w:cs="Times New Roman"/>
          <w:color w:val="auto"/>
          <w:sz w:val="18"/>
          <w:szCs w:val="18"/>
        </w:rPr>
        <w:t>Author Contributions</w:t>
      </w:r>
      <w:bookmarkEnd w:id="96"/>
    </w:p>
    <w:p w14:paraId="16322CE7" w14:textId="77777777"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N.H.: Conceptualization, Software, Methodology, Formal analysis, Writing – Original Draft, Writing – Review &amp; Editing. J.S.: Investigation, Validation, Writing – Review &amp; Editing.</w:t>
      </w:r>
    </w:p>
    <w:p w14:paraId="1DF1691F" w14:textId="77777777" w:rsidR="00DA00EE" w:rsidRPr="00E32832" w:rsidRDefault="00F84C4B" w:rsidP="00BA5D5D">
      <w:pPr>
        <w:pStyle w:val="Heading2"/>
        <w:jc w:val="both"/>
        <w:rPr>
          <w:rFonts w:ascii="Times New Roman" w:hAnsi="Times New Roman" w:cs="Times New Roman"/>
          <w:color w:val="auto"/>
          <w:sz w:val="18"/>
          <w:szCs w:val="18"/>
        </w:rPr>
      </w:pPr>
      <w:bookmarkStart w:id="97" w:name="_Toc234738444"/>
      <w:r>
        <w:rPr>
          <w:rFonts w:ascii="Times New Roman" w:hAnsi="Times New Roman" w:cs="Times New Roman"/>
          <w:color w:val="auto"/>
          <w:sz w:val="18"/>
          <w:szCs w:val="18"/>
        </w:rPr>
        <w:t>Data and Code Availability</w:t>
      </w:r>
      <w:bookmarkEnd w:id="97"/>
    </w:p>
    <w:p w14:paraId="515A7D83" w14:textId="3F01F288"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sz w:val="18"/>
          <w:szCs w:val="18"/>
        </w:rPr>
        <w:t>The N_GACL classical analysis software package  the core/ classical analysis modules, both front end applications (main.py, main_classic.py), and the procedurally generated demonstration image script (make_demo_images.py)  is available from the corresponding author upon reasonable request. No real, identifiable field photographs were used in the preparation of the  demonstration figures in this manuscript; all such imagery is procedurally synthesised and is released alongside the code for reproducibility. The real crop disease photograph dataset and its associated evaluation script are likewise released alongside the code.</w:t>
      </w:r>
    </w:p>
    <w:p w14:paraId="178DEDB9" w14:textId="77777777" w:rsidR="00DA00EE" w:rsidRPr="00E32832" w:rsidRDefault="00F84C4B" w:rsidP="00BA5D5D">
      <w:pPr>
        <w:pStyle w:val="Heading2"/>
        <w:jc w:val="both"/>
        <w:rPr>
          <w:rFonts w:ascii="Times New Roman" w:hAnsi="Times New Roman" w:cs="Times New Roman"/>
          <w:color w:val="auto"/>
          <w:sz w:val="18"/>
          <w:szCs w:val="18"/>
        </w:rPr>
      </w:pPr>
      <w:bookmarkStart w:id="98" w:name="_Toc234738445"/>
      <w:r>
        <w:rPr>
          <w:rFonts w:ascii="Times New Roman" w:hAnsi="Times New Roman" w:cs="Times New Roman"/>
          <w:color w:val="auto"/>
          <w:sz w:val="18"/>
          <w:szCs w:val="18"/>
        </w:rPr>
        <w:t>Funding</w:t>
      </w:r>
      <w:bookmarkEnd w:id="98"/>
    </w:p>
    <w:p w14:paraId="3AE59199" w14:textId="77777777" w:rsidR="00DA00EE" w:rsidRPr="00E32832" w:rsidRDefault="00F84C4B" w:rsidP="00BA5D5D">
      <w:pPr>
        <w:pStyle w:val="BodyText"/>
        <w:jc w:val="both"/>
        <w:rPr>
          <w:rFonts w:ascii="Times New Roman" w:hAnsi="Times New Roman" w:cs="Times New Roman"/>
          <w:sz w:val="18"/>
          <w:szCs w:val="18"/>
        </w:rPr>
      </w:pPr>
      <w:r>
        <w:rPr>
          <w:rFonts w:ascii="Times New Roman" w:hAnsi="Times New Roman" w:cs="Times New Roman"/>
          <w:sz w:val="18"/>
          <w:szCs w:val="18"/>
        </w:rPr>
        <w:t>This research did not receive any specific grant from funding agencies in the public, commercial, or not for profit sectors.</w:t>
      </w:r>
    </w:p>
    <w:p w14:paraId="21C59F3E" w14:textId="77777777" w:rsidR="00DA00EE" w:rsidRPr="00E32832" w:rsidRDefault="00F84C4B" w:rsidP="00BA5D5D">
      <w:pPr>
        <w:pStyle w:val="Heading2"/>
        <w:jc w:val="both"/>
        <w:rPr>
          <w:rFonts w:ascii="Times New Roman" w:hAnsi="Times New Roman" w:cs="Times New Roman"/>
          <w:color w:val="auto"/>
          <w:sz w:val="18"/>
          <w:szCs w:val="18"/>
        </w:rPr>
      </w:pPr>
      <w:bookmarkStart w:id="99" w:name="_Toc234738447"/>
      <w:r>
        <w:rPr>
          <w:rFonts w:ascii="Times New Roman" w:hAnsi="Times New Roman" w:cs="Times New Roman"/>
          <w:color w:val="auto"/>
          <w:sz w:val="18"/>
          <w:szCs w:val="18"/>
        </w:rPr>
        <w:t>Conflicts of Interest</w:t>
      </w:r>
      <w:bookmarkEnd w:id="99"/>
    </w:p>
    <w:p w14:paraId="42A99EE5" w14:textId="4D508279" w:rsidR="001F0ABA" w:rsidRPr="00E32832" w:rsidRDefault="00F84C4B" w:rsidP="00877156">
      <w:pPr>
        <w:pStyle w:val="FirstParagraph"/>
        <w:jc w:val="both"/>
        <w:rPr>
          <w:rFonts w:ascii="Times New Roman" w:hAnsi="Times New Roman" w:cs="Times New Roman"/>
          <w:sz w:val="18"/>
          <w:szCs w:val="18"/>
        </w:rPr>
        <w:sectPr w:rsidR="001F0ABA" w:rsidRPr="00E32832">
          <w:type w:val="continuous"/>
          <w:pgSz w:w="11906" w:h="16838"/>
          <w:pgMar w:top="1440" w:right="1080" w:bottom="1440" w:left="1080" w:header="708" w:footer="708" w:gutter="0"/>
          <w:cols w:num="2" w:space="360"/>
          <w:docGrid w:linePitch="360"/>
        </w:sectPr>
      </w:pPr>
      <w:r>
        <w:rPr>
          <w:rFonts w:ascii="Times New Roman" w:hAnsi="Times New Roman" w:cs="Times New Roman"/>
          <w:sz w:val="18"/>
          <w:szCs w:val="18"/>
        </w:rPr>
        <w:t>The authors declare no conflict of interest.</w:t>
      </w:r>
      <w:bookmarkStart w:id="100" w:name="_Toc234738448"/>
      <w:bookmarkStart w:id="101" w:name="appendix-a.-notation-and-symbol-glossary"/>
    </w:p>
    <w:p w14:paraId="629A1CD2" w14:textId="77777777" w:rsidR="00877156" w:rsidRPr="00E32832" w:rsidRDefault="00877156" w:rsidP="00BA5D5D">
      <w:pPr>
        <w:pStyle w:val="Heading2"/>
        <w:jc w:val="both"/>
        <w:rPr>
          <w:rFonts w:ascii="Times New Roman" w:hAnsi="Times New Roman" w:cs="Times New Roman"/>
          <w:sz w:val="18"/>
          <w:szCs w:val="18"/>
        </w:rPr>
      </w:pPr>
    </w:p>
    <w:p w14:paraId="5BE8DD10" w14:textId="77777777" w:rsidR="00561835" w:rsidRPr="00E32832" w:rsidRDefault="00561835" w:rsidP="00561835">
      <w:pPr>
        <w:pStyle w:val="BodyText"/>
      </w:pPr>
    </w:p>
    <w:p w14:paraId="6B85D347" w14:textId="77777777" w:rsidR="00561835" w:rsidRPr="00E32832" w:rsidRDefault="00561835" w:rsidP="00561835">
      <w:pPr>
        <w:pStyle w:val="BodyText"/>
      </w:pPr>
    </w:p>
    <w:p w14:paraId="1A9B6CF9" w14:textId="77777777" w:rsidR="00561835" w:rsidRPr="00E32832" w:rsidRDefault="00561835" w:rsidP="00561835">
      <w:pPr>
        <w:pStyle w:val="BodyText"/>
      </w:pPr>
    </w:p>
    <w:p w14:paraId="2166106B" w14:textId="77777777" w:rsidR="00561835" w:rsidRPr="00E32832" w:rsidRDefault="00561835" w:rsidP="00561835">
      <w:pPr>
        <w:pStyle w:val="BodyText"/>
      </w:pPr>
    </w:p>
    <w:p w14:paraId="00418C8A" w14:textId="79D1042D" w:rsidR="00DA00EE" w:rsidRPr="00E32832" w:rsidRDefault="00F84C4B" w:rsidP="00BA5D5D">
      <w:pPr>
        <w:pStyle w:val="Heading2"/>
        <w:jc w:val="both"/>
        <w:rPr>
          <w:rFonts w:ascii="Times New Roman" w:hAnsi="Times New Roman" w:cs="Times New Roman"/>
          <w:color w:val="auto"/>
          <w:sz w:val="18"/>
          <w:szCs w:val="18"/>
        </w:rPr>
        <w:sectPr w:rsidR="00DA00EE" w:rsidRPr="00E32832" w:rsidSect="001F0ABA">
          <w:type w:val="continuous"/>
          <w:pgSz w:w="11906" w:h="16838"/>
          <w:pgMar w:top="1440" w:right="1080" w:bottom="1440" w:left="1080" w:header="708" w:footer="708" w:gutter="0"/>
          <w:cols w:space="360"/>
          <w:docGrid w:linePitch="360"/>
        </w:sectPr>
      </w:pPr>
      <w:r>
        <w:rPr>
          <w:rFonts w:ascii="Times New Roman" w:hAnsi="Times New Roman" w:cs="Times New Roman"/>
          <w:color w:val="auto"/>
          <w:sz w:val="18"/>
          <w:szCs w:val="18"/>
        </w:rPr>
        <w:t>Appendix A. Notation and Symbol Glossary</w:t>
      </w:r>
      <w:bookmarkEnd w:id="100"/>
    </w:p>
    <w:p w14:paraId="6DB93956" w14:textId="77777777" w:rsidR="00561835" w:rsidRPr="00E32832" w:rsidRDefault="00561835" w:rsidP="00561835">
      <w:pPr>
        <w:sectPr w:rsidR="00561835" w:rsidRPr="00E32832">
          <w:type w:val="continuous"/>
          <w:pgSz w:w="11906" w:h="16838"/>
          <w:pgMar w:top="1440" w:right="1080" w:bottom="1440" w:left="1080" w:header="708" w:footer="708" w:gutter="0"/>
          <w:cols w:space="708"/>
          <w:docGrid w:linePitch="360"/>
        </w:sectPr>
      </w:pPr>
    </w:p>
    <w:p w14:paraId="75D982B7" w14:textId="08C1C083" w:rsidR="00DA00EE" w:rsidRPr="00E32832" w:rsidRDefault="00F84C4B" w:rsidP="00BA5D5D">
      <w:pPr>
        <w:pStyle w:val="FirstParagraph"/>
        <w:jc w:val="both"/>
        <w:rPr>
          <w:rFonts w:ascii="Times New Roman" w:hAnsi="Times New Roman" w:cs="Times New Roman"/>
          <w:sz w:val="18"/>
          <w:szCs w:val="18"/>
        </w:rPr>
      </w:pPr>
      <w:r>
        <w:rPr>
          <w:rFonts w:ascii="Times New Roman" w:hAnsi="Times New Roman" w:cs="Times New Roman"/>
          <w:b/>
          <w:bCs/>
          <w:sz w:val="18"/>
          <w:szCs w:val="18"/>
        </w:rPr>
        <w:t>Table 6. Symbol glossary for Section 4.</w:t>
      </w:r>
    </w:p>
    <w:tbl>
      <w:tblPr>
        <w:tblStyle w:val="Table"/>
        <w:tblW w:w="5000" w:type="pct"/>
        <w:tblLook w:val="0020" w:firstRow="1" w:lastRow="0" w:firstColumn="0" w:lastColumn="0" w:noHBand="0" w:noVBand="0"/>
      </w:tblPr>
      <w:tblGrid>
        <w:gridCol w:w="1136"/>
        <w:gridCol w:w="8610"/>
      </w:tblGrid>
      <w:tr w:rsidR="00DA00EE" w:rsidRPr="00E32832" w14:paraId="07221FCC" w14:textId="77777777" w:rsidTr="00DA00EE">
        <w:trPr>
          <w:cnfStyle w:val="100000000000" w:firstRow="1" w:lastRow="0" w:firstColumn="0" w:lastColumn="0" w:oddVBand="0" w:evenVBand="0" w:oddHBand="0" w:evenHBand="0" w:firstRowFirstColumn="0" w:firstRowLastColumn="0" w:lastRowFirstColumn="0" w:lastRowLastColumn="0"/>
          <w:tblHeader/>
        </w:trPr>
        <w:tc>
          <w:tcPr>
            <w:tcW w:w="0" w:type="auto"/>
          </w:tcPr>
          <w:p w14:paraId="3478930D"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Symbol</w:t>
            </w:r>
          </w:p>
        </w:tc>
        <w:tc>
          <w:tcPr>
            <w:tcW w:w="0" w:type="auto"/>
          </w:tcPr>
          <w:p w14:paraId="10AE3B35" w14:textId="77777777" w:rsidR="00DA00EE" w:rsidRPr="00E32832" w:rsidRDefault="00F84C4B" w:rsidP="00BA5D5D">
            <w:pPr>
              <w:pStyle w:val="Compact"/>
              <w:jc w:val="both"/>
              <w:rPr>
                <w:rFonts w:ascii="Times New Roman" w:hAnsi="Times New Roman" w:cs="Times New Roman"/>
                <w:b/>
                <w:bCs/>
                <w:sz w:val="18"/>
                <w:szCs w:val="18"/>
              </w:rPr>
            </w:pPr>
            <w:r>
              <w:rPr>
                <w:rFonts w:ascii="Times New Roman" w:hAnsi="Times New Roman" w:cs="Times New Roman"/>
                <w:b/>
                <w:bCs/>
                <w:sz w:val="18"/>
                <w:szCs w:val="18"/>
              </w:rPr>
              <w:t>Meaning</w:t>
            </w:r>
          </w:p>
        </w:tc>
      </w:tr>
      <w:tr w:rsidR="00DA00EE" w:rsidRPr="00E32832" w14:paraId="336126E6" w14:textId="77777777">
        <w:tc>
          <w:tcPr>
            <w:tcW w:w="0" w:type="auto"/>
          </w:tcPr>
          <w:p w14:paraId="432A89C9" w14:textId="3421050D" w:rsidR="00DA00EE" w:rsidRPr="00E32832" w:rsidRDefault="00E32832" w:rsidP="00BA5D5D">
            <w:pPr>
              <w:pStyle w:val="Compact"/>
              <w:jc w:val="both"/>
              <w:rPr>
                <w:rFonts w:ascii="Times New Roman" w:hAnsi="Times New Roman" w:cs="Times New Roman"/>
                <w:sz w:val="18"/>
                <w:szCs w:val="18"/>
              </w:rPr>
            </w:pPr>
            <m:oMathPara>
              <m:oMath>
                <m:r>
                  <m:rPr>
                    <m:sty m:val="p"/>
                  </m:rPr>
                  <w:rPr>
                    <w:rFonts w:ascii="Cambria Math" w:hAnsi="Cambria Math" w:cs="Times New Roman"/>
                    <w:sz w:val="18"/>
                    <w:szCs w:val="18"/>
                  </w:rPr>
                  <m:t>R,G,B</m:t>
                </m:r>
              </m:oMath>
            </m:oMathPara>
          </w:p>
        </w:tc>
        <w:tc>
          <w:tcPr>
            <w:tcW w:w="0" w:type="auto"/>
          </w:tcPr>
          <w:p w14:paraId="51F4B218" w14:textId="584044D8"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 xml:space="preserve">Per pixel red, green, blue channel values (0–255 or normalised to </w:t>
            </w:r>
            <m:oMath>
              <m:d>
                <m:dPr>
                  <m:begChr m:val="["/>
                  <m:endChr m:val="]"/>
                  <m:ctrlPr>
                    <w:rPr>
                      <w:rFonts w:ascii="Cambria Math" w:hAnsi="Cambria Math" w:cs="Times New Roman"/>
                      <w:sz w:val="18"/>
                      <w:szCs w:val="18"/>
                    </w:rPr>
                  </m:ctrlPr>
                </m:dPr>
                <m:e>
                  <m:r>
                    <m:rPr>
                      <m:sty m:val="p"/>
                    </m:rPr>
                    <w:rPr>
                      <w:rFonts w:ascii="Cambria Math" w:hAnsi="Cambria Math" w:cs="Times New Roman"/>
                      <w:sz w:val="18"/>
                      <w:szCs w:val="18"/>
                    </w:rPr>
                    <m:t>0,1</m:t>
                  </m:r>
                </m:e>
              </m:d>
            </m:oMath>
            <w:r>
              <w:rPr>
                <w:rFonts w:ascii="Times New Roman" w:hAnsi="Times New Roman" w:cs="Times New Roman"/>
                <w:sz w:val="18"/>
                <w:szCs w:val="18"/>
              </w:rPr>
              <w:t xml:space="preserve"> as stated)</w:t>
            </w:r>
          </w:p>
        </w:tc>
      </w:tr>
      <w:tr w:rsidR="00DA00EE" w:rsidRPr="00E32832" w14:paraId="3A62BE60" w14:textId="77777777">
        <w:tc>
          <w:tcPr>
            <w:tcW w:w="0" w:type="auto"/>
          </w:tcPr>
          <w:p w14:paraId="311E19C6" w14:textId="2A5F9A49" w:rsidR="00DA00EE" w:rsidRPr="00E32832" w:rsidRDefault="00E32832" w:rsidP="00BA5D5D">
            <w:pPr>
              <w:pStyle w:val="Compact"/>
              <w:jc w:val="both"/>
              <w:rPr>
                <w:rFonts w:ascii="Times New Roman" w:hAnsi="Times New Roman" w:cs="Times New Roman"/>
                <w:sz w:val="18"/>
                <w:szCs w:val="18"/>
              </w:rPr>
            </w:pPr>
            <m:oMathPara>
              <m:oMath>
                <m:r>
                  <m:rPr>
                    <m:sty m:val="p"/>
                  </m:rPr>
                  <w:rPr>
                    <w:rFonts w:ascii="Cambria Math" w:hAnsi="Cambria Math" w:cs="Times New Roman"/>
                    <w:sz w:val="18"/>
                    <w:szCs w:val="18"/>
                  </w:rPr>
                  <m:t>ϵ</m:t>
                </m:r>
              </m:oMath>
            </m:oMathPara>
          </w:p>
        </w:tc>
        <w:tc>
          <w:tcPr>
            <w:tcW w:w="0" w:type="auto"/>
          </w:tcPr>
          <w:p w14:paraId="6ACFA10F" w14:textId="1417A0E4"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Small constant (</w:t>
            </w:r>
            <m:oMath>
              <m:sSup>
                <m:sSupPr>
                  <m:ctrlPr>
                    <w:rPr>
                      <w:rFonts w:ascii="Cambria Math" w:hAnsi="Cambria Math" w:cs="Times New Roman"/>
                      <w:sz w:val="18"/>
                      <w:szCs w:val="18"/>
                    </w:rPr>
                  </m:ctrlPr>
                </m:sSupPr>
                <m:e>
                  <m:r>
                    <m:rPr>
                      <m:sty m:val="p"/>
                    </m:rPr>
                    <w:rPr>
                      <w:rFonts w:ascii="Cambria Math" w:hAnsi="Cambria Math" w:cs="Times New Roman"/>
                      <w:sz w:val="18"/>
                      <w:szCs w:val="18"/>
                    </w:rPr>
                    <m:t>10</m:t>
                  </m:r>
                </m:e>
                <m:sup>
                  <m:r>
                    <m:rPr>
                      <m:sty m:val="p"/>
                    </m:rPr>
                    <w:rPr>
                      <w:rFonts w:ascii="Cambria Math" w:hAnsi="Cambria Math" w:cs="Times New Roman"/>
                      <w:sz w:val="18"/>
                      <w:szCs w:val="18"/>
                    </w:rPr>
                    <m:t>-6</m:t>
                  </m:r>
                </m:sup>
              </m:sSup>
            </m:oMath>
            <w:r>
              <w:rPr>
                <w:rFonts w:ascii="Times New Roman" w:hAnsi="Times New Roman" w:cs="Times New Roman"/>
                <w:sz w:val="18"/>
                <w:szCs w:val="18"/>
              </w:rPr>
              <w:t>) preventing division by zero</w:t>
            </w:r>
          </w:p>
        </w:tc>
      </w:tr>
      <w:tr w:rsidR="00DA00EE" w:rsidRPr="00E32832" w14:paraId="178A6B76" w14:textId="77777777">
        <w:tc>
          <w:tcPr>
            <w:tcW w:w="0" w:type="auto"/>
          </w:tcPr>
          <w:p w14:paraId="792E4183" w14:textId="0A26EC56" w:rsidR="00DA00EE" w:rsidRPr="00E32832" w:rsidRDefault="00E32832" w:rsidP="00BA5D5D">
            <w:pPr>
              <w:pStyle w:val="Compact"/>
              <w:jc w:val="both"/>
              <w:rPr>
                <w:rFonts w:ascii="Times New Roman" w:hAnsi="Times New Roman" w:cs="Times New Roman"/>
                <w:sz w:val="18"/>
                <w:szCs w:val="18"/>
              </w:rPr>
            </w:pPr>
            <m:oMathPara>
              <m:oMath>
                <m:r>
                  <m:rPr>
                    <m:scr m:val="script"/>
                    <m:sty m:val="p"/>
                  </m:rPr>
                  <w:rPr>
                    <w:rFonts w:ascii="Cambria Math" w:hAnsi="Cambria Math" w:cs="Times New Roman"/>
                    <w:sz w:val="18"/>
                    <w:szCs w:val="18"/>
                  </w:rPr>
                  <m:t>F</m:t>
                </m:r>
              </m:oMath>
            </m:oMathPara>
          </w:p>
        </w:tc>
        <w:tc>
          <w:tcPr>
            <w:tcW w:w="0" w:type="auto"/>
          </w:tcPr>
          <w:p w14:paraId="7E943A3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2 D discrete Fourier transform</w:t>
            </w:r>
          </w:p>
        </w:tc>
      </w:tr>
      <w:tr w:rsidR="00DA00EE" w:rsidRPr="00E32832" w14:paraId="440AF837" w14:textId="77777777">
        <w:tc>
          <w:tcPr>
            <w:tcW w:w="0" w:type="auto"/>
          </w:tcPr>
          <w:p w14:paraId="34493DBF" w14:textId="2158A95A" w:rsidR="00DA00EE" w:rsidRPr="00E32832" w:rsidRDefault="00E32832" w:rsidP="00BA5D5D">
            <w:pPr>
              <w:pStyle w:val="Compact"/>
              <w:jc w:val="both"/>
              <w:rPr>
                <w:rFonts w:ascii="Times New Roman" w:hAnsi="Times New Roman" w:cs="Times New Roman"/>
                <w:sz w:val="18"/>
                <w:szCs w:val="18"/>
              </w:rPr>
            </w:pPr>
            <m:oMathPara>
              <m:oMath>
                <m:r>
                  <m:rPr>
                    <m:sty m:val="p"/>
                  </m:rPr>
                  <w:rPr>
                    <w:rFonts w:ascii="Cambria Math" w:hAnsi="Cambria Math" w:cs="Times New Roman"/>
                    <w:sz w:val="18"/>
                    <w:szCs w:val="18"/>
                  </w:rPr>
                  <m:t>S,Q</m:t>
                </m:r>
              </m:oMath>
            </m:oMathPara>
          </w:p>
        </w:tc>
        <w:tc>
          <w:tcPr>
            <w:tcW w:w="0" w:type="auto"/>
          </w:tcPr>
          <w:p w14:paraId="78D2A4D8"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Streaming running sum and sum of squares accumulators (Section 4.1)</w:t>
            </w:r>
          </w:p>
        </w:tc>
      </w:tr>
      <w:tr w:rsidR="00DA00EE" w:rsidRPr="00E32832" w14:paraId="2E13F1DB" w14:textId="77777777">
        <w:tc>
          <w:tcPr>
            <w:tcW w:w="0" w:type="auto"/>
          </w:tcPr>
          <w:p w14:paraId="73E138A8" w14:textId="476DAFB0" w:rsidR="00DA00EE" w:rsidRPr="00E32832" w:rsidRDefault="00000000" w:rsidP="00BA5D5D">
            <w:pPr>
              <w:pStyle w:val="Compact"/>
              <w:jc w:val="both"/>
              <w:rPr>
                <w:rFonts w:ascii="Times New Roman" w:hAnsi="Times New Roman" w:cs="Times New Roman"/>
                <w:sz w:val="18"/>
                <w:szCs w:val="18"/>
              </w:rPr>
            </w:pPr>
            <m:oMathPara>
              <m:oMath>
                <m:acc>
                  <m:accPr>
                    <m:chr m:val="‾"/>
                    <m:ctrlPr>
                      <w:rPr>
                        <w:rFonts w:ascii="Cambria Math" w:hAnsi="Cambria Math" w:cs="Times New Roman"/>
                        <w:sz w:val="18"/>
                        <w:szCs w:val="18"/>
                      </w:rPr>
                    </m:ctrlPr>
                  </m:accPr>
                  <m:e>
                    <m:r>
                      <m:rPr>
                        <m:sty m:val="p"/>
                      </m:rPr>
                      <w:rPr>
                        <w:rFonts w:ascii="Cambria Math" w:hAnsi="Cambria Math" w:cs="Times New Roman"/>
                        <w:sz w:val="18"/>
                        <w:szCs w:val="18"/>
                      </w:rPr>
                      <m:t>A</m:t>
                    </m:r>
                  </m:e>
                </m:acc>
                <m:r>
                  <m:rPr>
                    <m:sty m:val="p"/>
                  </m:rPr>
                  <w:rPr>
                    <w:rFonts w:ascii="Cambria Math" w:hAnsi="Cambria Math" w:cs="Times New Roman"/>
                    <w:sz w:val="18"/>
                    <w:szCs w:val="18"/>
                  </w:rPr>
                  <m:t>,</m:t>
                </m:r>
                <m:sSub>
                  <m:sSubPr>
                    <m:ctrlPr>
                      <w:rPr>
                        <w:rFonts w:ascii="Cambria Math" w:hAnsi="Cambria Math" w:cs="Times New Roman"/>
                        <w:sz w:val="18"/>
                        <w:szCs w:val="18"/>
                      </w:rPr>
                    </m:ctrlPr>
                  </m:sSubPr>
                  <m:e>
                    <m:r>
                      <m:rPr>
                        <m:sty m:val="p"/>
                      </m:rPr>
                      <w:rPr>
                        <w:rFonts w:ascii="Cambria Math" w:hAnsi="Cambria Math" w:cs="Times New Roman"/>
                        <w:sz w:val="18"/>
                        <w:szCs w:val="18"/>
                      </w:rPr>
                      <m:t>σ</m:t>
                    </m:r>
                  </m:e>
                  <m:sub>
                    <m:r>
                      <m:rPr>
                        <m:nor/>
                      </m:rPr>
                      <w:rPr>
                        <w:rFonts w:ascii="Times New Roman" w:hAnsi="Times New Roman" w:cs="Times New Roman"/>
                        <w:sz w:val="18"/>
                        <w:szCs w:val="18"/>
                      </w:rPr>
                      <m:t>map</m:t>
                    </m:r>
                  </m:sub>
                </m:sSub>
              </m:oMath>
            </m:oMathPara>
          </w:p>
        </w:tc>
        <w:tc>
          <w:tcPr>
            <w:tcW w:w="0" w:type="auto"/>
          </w:tcPr>
          <w:p w14:paraId="22478DB4"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Aggregate composite mean and per pixel variability map</w:t>
            </w:r>
          </w:p>
        </w:tc>
      </w:tr>
      <w:tr w:rsidR="00DA00EE" w:rsidRPr="00E32832" w14:paraId="35D24961" w14:textId="77777777">
        <w:tc>
          <w:tcPr>
            <w:tcW w:w="0" w:type="auto"/>
          </w:tcPr>
          <w:p w14:paraId="4E3232A1" w14:textId="68A81D31" w:rsidR="00DA00EE" w:rsidRPr="00E32832" w:rsidRDefault="00E32832" w:rsidP="00BA5D5D">
            <w:pPr>
              <w:pStyle w:val="Compact"/>
              <w:jc w:val="both"/>
              <w:rPr>
                <w:rFonts w:ascii="Times New Roman" w:hAnsi="Times New Roman" w:cs="Times New Roman"/>
                <w:sz w:val="18"/>
                <w:szCs w:val="18"/>
              </w:rPr>
            </w:pPr>
            <m:oMathPara>
              <m:oMath>
                <m:r>
                  <m:rPr>
                    <m:sty m:val="p"/>
                  </m:rPr>
                  <w:rPr>
                    <w:rFonts w:ascii="Cambria Math" w:hAnsi="Cambria Math" w:cs="Times New Roman"/>
                    <w:sz w:val="18"/>
                    <w:szCs w:val="18"/>
                  </w:rPr>
                  <m:t>L</m:t>
                </m:r>
              </m:oMath>
            </m:oMathPara>
          </w:p>
        </w:tc>
        <w:tc>
          <w:tcPr>
            <w:tcW w:w="0" w:type="auto"/>
          </w:tcPr>
          <w:p w14:paraId="76CD1CAE"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Grey level quantisation count for GLCM (Section 4.3)</w:t>
            </w:r>
          </w:p>
        </w:tc>
      </w:tr>
      <w:tr w:rsidR="00DA00EE" w:rsidRPr="00E32832" w14:paraId="17D6F3A4" w14:textId="77777777">
        <w:tc>
          <w:tcPr>
            <w:tcW w:w="0" w:type="auto"/>
          </w:tcPr>
          <w:p w14:paraId="5F55E5FA" w14:textId="036FF67B" w:rsidR="00DA00EE" w:rsidRPr="00E32832" w:rsidRDefault="00E32832" w:rsidP="00BA5D5D">
            <w:pPr>
              <w:pStyle w:val="Compact"/>
              <w:jc w:val="both"/>
              <w:rPr>
                <w:rFonts w:ascii="Times New Roman" w:hAnsi="Times New Roman" w:cs="Times New Roman"/>
                <w:sz w:val="18"/>
                <w:szCs w:val="18"/>
              </w:rPr>
            </w:pPr>
            <m:oMathPara>
              <m:oMath>
                <m:r>
                  <m:rPr>
                    <m:sty m:val="p"/>
                  </m:rPr>
                  <w:rPr>
                    <w:rFonts w:ascii="Cambria Math" w:hAnsi="Cambria Math" w:cs="Times New Roman"/>
                    <w:sz w:val="18"/>
                    <w:szCs w:val="18"/>
                  </w:rPr>
                  <m:t>P</m:t>
                </m:r>
                <m:d>
                  <m:dPr>
                    <m:ctrlPr>
                      <w:rPr>
                        <w:rFonts w:ascii="Cambria Math" w:hAnsi="Cambria Math" w:cs="Times New Roman"/>
                        <w:sz w:val="18"/>
                        <w:szCs w:val="18"/>
                      </w:rPr>
                    </m:ctrlPr>
                  </m:dPr>
                  <m:e>
                    <m:r>
                      <m:rPr>
                        <m:sty m:val="p"/>
                      </m:rPr>
                      <w:rPr>
                        <w:rFonts w:ascii="Cambria Math" w:hAnsi="Cambria Math" w:cs="Times New Roman"/>
                        <w:sz w:val="18"/>
                        <w:szCs w:val="18"/>
                      </w:rPr>
                      <m:t>i,j</m:t>
                    </m:r>
                  </m:e>
                </m:d>
              </m:oMath>
            </m:oMathPara>
          </w:p>
        </w:tc>
        <w:tc>
          <w:tcPr>
            <w:tcW w:w="0" w:type="auto"/>
          </w:tcPr>
          <w:p w14:paraId="7D649C8E"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Normalised GLCM co occurrence probability</w:t>
            </w:r>
          </w:p>
        </w:tc>
      </w:tr>
      <w:tr w:rsidR="00DA00EE" w:rsidRPr="00E32832" w14:paraId="0B019809" w14:textId="77777777">
        <w:tc>
          <w:tcPr>
            <w:tcW w:w="0" w:type="auto"/>
          </w:tcPr>
          <w:p w14:paraId="2C4D9E64" w14:textId="77C0B1A0" w:rsidR="00DA00EE" w:rsidRPr="00E32832" w:rsidRDefault="00E32832" w:rsidP="00BA5D5D">
            <w:pPr>
              <w:pStyle w:val="Compact"/>
              <w:jc w:val="both"/>
              <w:rPr>
                <w:rFonts w:ascii="Times New Roman" w:hAnsi="Times New Roman" w:cs="Times New Roman"/>
                <w:sz w:val="18"/>
                <w:szCs w:val="18"/>
              </w:rPr>
            </w:pPr>
            <m:oMathPara>
              <m:oMath>
                <m:r>
                  <m:rPr>
                    <m:sty m:val="b"/>
                  </m:rPr>
                  <w:rPr>
                    <w:rFonts w:ascii="Cambria Math" w:hAnsi="Cambria Math" w:cs="Times New Roman"/>
                    <w:sz w:val="18"/>
                    <w:szCs w:val="18"/>
                  </w:rPr>
                  <m:t>d</m:t>
                </m:r>
                <m:r>
                  <m:rPr>
                    <m:sty m:val="p"/>
                  </m:rPr>
                  <w:rPr>
                    <w:rFonts w:ascii="Cambria Math" w:hAnsi="Cambria Math" w:cs="Times New Roman"/>
                    <w:sz w:val="18"/>
                    <w:szCs w:val="18"/>
                  </w:rPr>
                  <m:t>∈</m:t>
                </m:r>
                <m:sSup>
                  <m:sSupPr>
                    <m:ctrlPr>
                      <w:rPr>
                        <w:rFonts w:ascii="Cambria Math" w:hAnsi="Cambria Math" w:cs="Times New Roman"/>
                        <w:sz w:val="18"/>
                        <w:szCs w:val="18"/>
                      </w:rPr>
                    </m:ctrlPr>
                  </m:sSupPr>
                  <m:e>
                    <m:r>
                      <m:rPr>
                        <m:scr m:val="double-struck"/>
                        <m:sty m:val="p"/>
                      </m:rPr>
                      <w:rPr>
                        <w:rFonts w:ascii="Cambria Math" w:hAnsi="Cambria Math" w:cs="Times New Roman"/>
                        <w:sz w:val="18"/>
                        <w:szCs w:val="18"/>
                      </w:rPr>
                      <m:t>R</m:t>
                    </m:r>
                  </m:e>
                  <m:sup>
                    <m:r>
                      <m:rPr>
                        <m:sty m:val="p"/>
                      </m:rPr>
                      <w:rPr>
                        <w:rFonts w:ascii="Cambria Math" w:hAnsi="Cambria Math" w:cs="Times New Roman"/>
                        <w:sz w:val="18"/>
                        <w:szCs w:val="18"/>
                      </w:rPr>
                      <m:t>8</m:t>
                    </m:r>
                  </m:sup>
                </m:sSup>
              </m:oMath>
            </m:oMathPara>
          </w:p>
        </w:tc>
        <w:tc>
          <w:tcPr>
            <w:tcW w:w="0" w:type="auto"/>
          </w:tcPr>
          <w:p w14:paraId="38C22491"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Compact per image descriptor vector (Section 4.4)</w:t>
            </w:r>
          </w:p>
        </w:tc>
      </w:tr>
      <w:tr w:rsidR="00DA00EE" w:rsidRPr="00E32832" w14:paraId="1813B993" w14:textId="77777777">
        <w:tc>
          <w:tcPr>
            <w:tcW w:w="0" w:type="auto"/>
          </w:tcPr>
          <w:p w14:paraId="57323E13" w14:textId="4DD2A54B" w:rsidR="00DA00EE" w:rsidRPr="00E32832" w:rsidRDefault="00E32832" w:rsidP="00BA5D5D">
            <w:pPr>
              <w:pStyle w:val="Compact"/>
              <w:jc w:val="both"/>
              <w:rPr>
                <w:rFonts w:ascii="Times New Roman" w:hAnsi="Times New Roman" w:cs="Times New Roman"/>
                <w:sz w:val="18"/>
                <w:szCs w:val="18"/>
              </w:rPr>
            </w:pPr>
            <m:oMathPara>
              <m:oMath>
                <m:r>
                  <m:rPr>
                    <m:sty m:val="p"/>
                  </m:rPr>
                  <w:rPr>
                    <w:rFonts w:ascii="Cambria Math" w:hAnsi="Cambria Math" w:cs="Times New Roman"/>
                    <w:sz w:val="18"/>
                    <w:szCs w:val="18"/>
                  </w:rPr>
                  <m:t>τ</m:t>
                </m:r>
              </m:oMath>
            </m:oMathPara>
          </w:p>
        </w:tc>
        <w:tc>
          <w:tcPr>
            <w:tcW w:w="0" w:type="auto"/>
          </w:tcPr>
          <w:p w14:paraId="3D845092"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Contrastive loss temperature</w:t>
            </w:r>
          </w:p>
        </w:tc>
      </w:tr>
      <w:tr w:rsidR="00DA00EE" w:rsidRPr="00E32832" w14:paraId="0EA69B29" w14:textId="77777777">
        <w:tc>
          <w:tcPr>
            <w:tcW w:w="0" w:type="auto"/>
          </w:tcPr>
          <w:p w14:paraId="47C2E949" w14:textId="42B38008" w:rsidR="00DA00EE" w:rsidRPr="00E32832" w:rsidRDefault="00E32832" w:rsidP="00BA5D5D">
            <w:pPr>
              <w:pStyle w:val="Compact"/>
              <w:jc w:val="both"/>
              <w:rPr>
                <w:rFonts w:ascii="Times New Roman" w:hAnsi="Times New Roman" w:cs="Times New Roman"/>
                <w:sz w:val="18"/>
                <w:szCs w:val="18"/>
              </w:rPr>
            </w:pPr>
            <m:oMathPara>
              <m:oMath>
                <m:r>
                  <m:rPr>
                    <m:sty m:val="p"/>
                  </m:rPr>
                  <w:rPr>
                    <w:rFonts w:ascii="Cambria Math" w:hAnsi="Cambria Math" w:cs="Times New Roman"/>
                    <w:sz w:val="18"/>
                    <w:szCs w:val="18"/>
                  </w:rPr>
                  <m:t>B</m:t>
                </m:r>
              </m:oMath>
            </m:oMathPara>
          </w:p>
        </w:tc>
        <w:tc>
          <w:tcPr>
            <w:tcW w:w="0" w:type="auto"/>
          </w:tcPr>
          <w:p w14:paraId="1B7C67CB" w14:textId="77777777" w:rsidR="00DA00EE" w:rsidRPr="00E32832" w:rsidRDefault="00F84C4B" w:rsidP="00BA5D5D">
            <w:pPr>
              <w:pStyle w:val="Compact"/>
              <w:jc w:val="both"/>
              <w:rPr>
                <w:rFonts w:ascii="Times New Roman" w:hAnsi="Times New Roman" w:cs="Times New Roman"/>
                <w:sz w:val="18"/>
                <w:szCs w:val="18"/>
              </w:rPr>
            </w:pPr>
            <w:r>
              <w:rPr>
                <w:rFonts w:ascii="Times New Roman" w:hAnsi="Times New Roman" w:cs="Times New Roman"/>
                <w:sz w:val="18"/>
                <w:szCs w:val="18"/>
              </w:rPr>
              <w:t>Batch size</w:t>
            </w:r>
          </w:p>
        </w:tc>
      </w:tr>
    </w:tbl>
    <w:p w14:paraId="289B2127" w14:textId="77777777" w:rsidR="00DA00EE" w:rsidRPr="00E32832" w:rsidRDefault="00DA00EE" w:rsidP="00BA5D5D">
      <w:pPr>
        <w:jc w:val="both"/>
        <w:rPr>
          <w:rFonts w:ascii="Times New Roman" w:hAnsi="Times New Roman" w:cs="Times New Roman"/>
          <w:sz w:val="18"/>
          <w:szCs w:val="18"/>
        </w:rPr>
        <w:sectPr w:rsidR="00DA00EE" w:rsidRPr="00E32832">
          <w:type w:val="continuous"/>
          <w:pgSz w:w="11906" w:h="16838"/>
          <w:pgMar w:top="1440" w:right="1080" w:bottom="1440" w:left="1080" w:header="708" w:footer="708" w:gutter="0"/>
          <w:cols w:space="708"/>
          <w:docGrid w:linePitch="360"/>
        </w:sectPr>
      </w:pPr>
    </w:p>
    <w:p w14:paraId="3DC4448A" w14:textId="77777777" w:rsidR="00DA00EE" w:rsidRPr="00E32832" w:rsidRDefault="00F84C4B" w:rsidP="00BA5D5D">
      <w:pPr>
        <w:pStyle w:val="Heading2"/>
        <w:jc w:val="both"/>
        <w:rPr>
          <w:rFonts w:ascii="Times New Roman" w:hAnsi="Times New Roman" w:cs="Times New Roman"/>
          <w:sz w:val="18"/>
          <w:szCs w:val="18"/>
        </w:rPr>
      </w:pPr>
      <w:bookmarkStart w:id="102" w:name="_Toc234738449"/>
      <w:bookmarkEnd w:id="101"/>
      <w:r>
        <w:rPr>
          <w:rFonts w:ascii="Times New Roman" w:hAnsi="Times New Roman" w:cs="Times New Roman"/>
          <w:sz w:val="18"/>
          <w:szCs w:val="18"/>
        </w:rPr>
        <w:t>References</w:t>
      </w:r>
      <w:bookmarkEnd w:id="102"/>
    </w:p>
    <w:p w14:paraId="2D8637A1" w14:textId="77777777" w:rsidR="00DA00EE" w:rsidRPr="00E32832" w:rsidRDefault="00F84C4B" w:rsidP="00FB695A">
      <w:pPr>
        <w:pStyle w:val="Bibliography"/>
        <w:jc w:val="both"/>
        <w:rPr>
          <w:rFonts w:ascii="Times New Roman" w:hAnsi="Times New Roman" w:cs="Times New Roman"/>
          <w:sz w:val="18"/>
          <w:szCs w:val="18"/>
        </w:rPr>
      </w:pPr>
      <w:bookmarkStart w:id="103" w:name="ref-azadkia2019"/>
      <w:r>
        <w:rPr>
          <w:rFonts w:ascii="Times New Roman" w:hAnsi="Times New Roman" w:cs="Times New Roman"/>
          <w:sz w:val="18"/>
          <w:szCs w:val="18"/>
        </w:rPr>
        <w:t>Azadkia, Mona. 2019. “Optimal Choice of k for k Nearest Neighbor Regression.” arXiv Preprint arXiv:1909.05495. https://doi.org/10.48550/arXiv.1909.05495.</w:t>
      </w:r>
    </w:p>
    <w:p w14:paraId="7397C3B3" w14:textId="6D065FD3" w:rsidR="001F0ABA" w:rsidRPr="00E32832" w:rsidRDefault="00F84C4B" w:rsidP="00FB695A">
      <w:pPr>
        <w:pStyle w:val="Bibliography"/>
        <w:jc w:val="both"/>
        <w:rPr>
          <w:rFonts w:ascii="Times New Roman" w:hAnsi="Times New Roman" w:cs="Times New Roman"/>
          <w:sz w:val="18"/>
          <w:szCs w:val="18"/>
        </w:rPr>
      </w:pPr>
      <w:bookmarkStart w:id="104" w:name="ref-breiman2001"/>
      <w:bookmarkEnd w:id="103"/>
      <w:bookmarkEnd w:id="104"/>
      <w:r>
        <w:rPr>
          <w:rFonts w:ascii="Times New Roman" w:hAnsi="Times New Roman" w:cs="Times New Roman"/>
          <w:sz w:val="18"/>
          <w:szCs w:val="18"/>
        </w:rPr>
        <w:t xml:space="preserve">Breiman, Leo. 2001. “Random Forests.” Machine Learning 45 (1): 5–32. </w:t>
      </w:r>
      <w:hyperlink r:id="rId23">
        <w:r>
          <w:rPr>
            <w:rStyle w:val="Hyperlink"/>
            <w:rFonts w:ascii="Times New Roman" w:hAnsi="Times New Roman" w:cs="Times New Roman"/>
            <w:sz w:val="18"/>
            <w:szCs w:val="18"/>
          </w:rPr>
          <w:t>https://doi.org/10.1023/A:1010933404324</w:t>
        </w:r>
      </w:hyperlink>
      <w:r>
        <w:rPr>
          <w:rFonts w:ascii="Times New Roman" w:hAnsi="Times New Roman" w:cs="Times New Roman"/>
          <w:sz w:val="18"/>
          <w:szCs w:val="18"/>
        </w:rPr>
        <w:t>.</w:t>
      </w:r>
    </w:p>
    <w:p w14:paraId="203BA895" w14:textId="77777777" w:rsidR="00DA00EE" w:rsidRPr="00E32832" w:rsidRDefault="00F84C4B" w:rsidP="00FB695A">
      <w:pPr>
        <w:pStyle w:val="Bibliography"/>
        <w:jc w:val="both"/>
        <w:rPr>
          <w:rFonts w:ascii="Times New Roman" w:hAnsi="Times New Roman" w:cs="Times New Roman"/>
          <w:sz w:val="18"/>
          <w:szCs w:val="18"/>
        </w:rPr>
      </w:pPr>
      <w:bookmarkStart w:id="105" w:name="ref-calinskiharabasz1974"/>
      <w:bookmarkEnd w:id="105"/>
      <w:r>
        <w:rPr>
          <w:rFonts w:ascii="Times New Roman" w:hAnsi="Times New Roman" w:cs="Times New Roman"/>
          <w:sz w:val="18"/>
          <w:szCs w:val="18"/>
        </w:rPr>
        <w:t xml:space="preserve">Caliński, Tadeusz, and Jerzy Harabasz. 1974. “A Dendrite Method for Cluster Analysis.” Communications in Statistics 3 (1): 1–27. </w:t>
      </w:r>
      <w:hyperlink r:id="rId24">
        <w:r>
          <w:rPr>
            <w:rStyle w:val="Hyperlink"/>
            <w:rFonts w:ascii="Times New Roman" w:hAnsi="Times New Roman" w:cs="Times New Roman"/>
            <w:sz w:val="18"/>
            <w:szCs w:val="18"/>
          </w:rPr>
          <w:t>https://doi.org/10.1080/03610927408827101</w:t>
        </w:r>
      </w:hyperlink>
      <w:r>
        <w:rPr>
          <w:rFonts w:ascii="Times New Roman" w:hAnsi="Times New Roman" w:cs="Times New Roman"/>
          <w:sz w:val="18"/>
          <w:szCs w:val="18"/>
        </w:rPr>
        <w:t>.</w:t>
      </w:r>
    </w:p>
    <w:p w14:paraId="2BBF2E07" w14:textId="77777777" w:rsidR="00DA00EE" w:rsidRPr="00E32832" w:rsidRDefault="00F84C4B" w:rsidP="00FB695A">
      <w:pPr>
        <w:pStyle w:val="Bibliography"/>
        <w:jc w:val="both"/>
        <w:rPr>
          <w:rFonts w:ascii="Times New Roman" w:hAnsi="Times New Roman" w:cs="Times New Roman"/>
          <w:sz w:val="18"/>
          <w:szCs w:val="18"/>
        </w:rPr>
      </w:pPr>
      <w:bookmarkStart w:id="106" w:name="ref-cervantesbarragan2024"/>
      <w:bookmarkEnd w:id="106"/>
      <w:r>
        <w:rPr>
          <w:rFonts w:ascii="Times New Roman" w:hAnsi="Times New Roman" w:cs="Times New Roman"/>
          <w:sz w:val="18"/>
          <w:szCs w:val="18"/>
        </w:rPr>
        <w:t xml:space="preserve">Cervantes Barragan, Alfonso. 2024. “Interpreting and Validating Clustering Results with k Means.” Medium. </w:t>
      </w:r>
      <w:hyperlink r:id="rId25">
        <w:r>
          <w:rPr>
            <w:rStyle w:val="Hyperlink"/>
            <w:rFonts w:ascii="Times New Roman" w:hAnsi="Times New Roman" w:cs="Times New Roman"/>
            <w:sz w:val="18"/>
            <w:szCs w:val="18"/>
          </w:rPr>
          <w:t>https://medium.com/@a.cervantes2012/interpreting and validating clustering results with k means e98227183a4d</w:t>
        </w:r>
      </w:hyperlink>
      <w:r>
        <w:rPr>
          <w:rFonts w:ascii="Times New Roman" w:hAnsi="Times New Roman" w:cs="Times New Roman"/>
          <w:sz w:val="18"/>
          <w:szCs w:val="18"/>
        </w:rPr>
        <w:t>.</w:t>
      </w:r>
    </w:p>
    <w:p w14:paraId="60558A79" w14:textId="77777777" w:rsidR="00DA00EE" w:rsidRPr="00E32832" w:rsidRDefault="00F84C4B" w:rsidP="00FB695A">
      <w:pPr>
        <w:pStyle w:val="Bibliography"/>
        <w:jc w:val="both"/>
        <w:rPr>
          <w:rFonts w:ascii="Times New Roman" w:hAnsi="Times New Roman" w:cs="Times New Roman"/>
          <w:sz w:val="18"/>
          <w:szCs w:val="18"/>
        </w:rPr>
      </w:pPr>
      <w:bookmarkStart w:id="107" w:name="ref-cohen1960"/>
      <w:r>
        <w:rPr>
          <w:rFonts w:ascii="Times New Roman" w:hAnsi="Times New Roman" w:cs="Times New Roman"/>
          <w:sz w:val="18"/>
          <w:szCs w:val="18"/>
        </w:rPr>
        <w:t xml:space="preserve">Cohen, Jacob. 1960. “A Coefficient of Agreement for Nominal Scales.” Educational and Psychological Measurement 20 (1): 37–46. </w:t>
      </w:r>
      <w:hyperlink r:id="rId26">
        <w:r>
          <w:rPr>
            <w:rStyle w:val="Hyperlink"/>
            <w:rFonts w:ascii="Times New Roman" w:hAnsi="Times New Roman" w:cs="Times New Roman"/>
            <w:sz w:val="18"/>
            <w:szCs w:val="18"/>
          </w:rPr>
          <w:t>https://doi.org/10.1177/001316446002000104</w:t>
        </w:r>
      </w:hyperlink>
      <w:r>
        <w:rPr>
          <w:rFonts w:ascii="Times New Roman" w:hAnsi="Times New Roman" w:cs="Times New Roman"/>
          <w:sz w:val="18"/>
          <w:szCs w:val="18"/>
        </w:rPr>
        <w:t>.</w:t>
      </w:r>
    </w:p>
    <w:p w14:paraId="4CAE2C2F" w14:textId="77777777" w:rsidR="00DA00EE" w:rsidRPr="00E32832" w:rsidRDefault="00F84C4B" w:rsidP="00FB695A">
      <w:pPr>
        <w:pStyle w:val="Bibliography"/>
        <w:jc w:val="both"/>
        <w:rPr>
          <w:rFonts w:ascii="Times New Roman" w:hAnsi="Times New Roman" w:cs="Times New Roman"/>
          <w:sz w:val="18"/>
          <w:szCs w:val="18"/>
        </w:rPr>
      </w:pPr>
      <w:bookmarkStart w:id="108" w:name="ref-cortes1995"/>
      <w:bookmarkStart w:id="109" w:name="ref-cortesvapnik1995"/>
      <w:bookmarkEnd w:id="107"/>
      <w:r>
        <w:rPr>
          <w:rFonts w:ascii="Times New Roman" w:hAnsi="Times New Roman" w:cs="Times New Roman"/>
          <w:sz w:val="18"/>
          <w:szCs w:val="18"/>
        </w:rPr>
        <w:lastRenderedPageBreak/>
        <w:t xml:space="preserve">Cortes, Corinna, and Vladimir Vapnik. 1995. “Support Vector Networks.” Machine Learning 20 (3): 273–97. </w:t>
      </w:r>
      <w:hyperlink r:id="rId27">
        <w:r>
          <w:rPr>
            <w:rStyle w:val="Hyperlink"/>
            <w:rFonts w:ascii="Times New Roman" w:hAnsi="Times New Roman" w:cs="Times New Roman"/>
            <w:sz w:val="18"/>
            <w:szCs w:val="18"/>
          </w:rPr>
          <w:t>https://doi.org/10.1007/BF00994018</w:t>
        </w:r>
      </w:hyperlink>
      <w:r>
        <w:rPr>
          <w:rFonts w:ascii="Times New Roman" w:hAnsi="Times New Roman" w:cs="Times New Roman"/>
          <w:sz w:val="18"/>
          <w:szCs w:val="18"/>
        </w:rPr>
        <w:t>.</w:t>
      </w:r>
      <w:bookmarkEnd w:id="108"/>
    </w:p>
    <w:p w14:paraId="50E1D3F3" w14:textId="77777777" w:rsidR="00DA00EE" w:rsidRPr="00E32832" w:rsidRDefault="00F84C4B" w:rsidP="00FB695A">
      <w:pPr>
        <w:pStyle w:val="Bibliography"/>
        <w:jc w:val="both"/>
        <w:rPr>
          <w:rFonts w:ascii="Times New Roman" w:hAnsi="Times New Roman" w:cs="Times New Roman"/>
          <w:sz w:val="18"/>
          <w:szCs w:val="18"/>
        </w:rPr>
      </w:pPr>
      <w:bookmarkStart w:id="110" w:name="ref-coverhart1967"/>
      <w:bookmarkEnd w:id="109"/>
      <w:r>
        <w:rPr>
          <w:rFonts w:ascii="Times New Roman" w:hAnsi="Times New Roman" w:cs="Times New Roman"/>
          <w:sz w:val="18"/>
          <w:szCs w:val="18"/>
        </w:rPr>
        <w:t xml:space="preserve">Cover, Thomas, and Peter Hart. 1967. “Nearest Neighbor Pattern Classification.” IEEE Transactions on Information Theory 13 (1): 21–27. </w:t>
      </w:r>
      <w:hyperlink r:id="rId28">
        <w:r>
          <w:rPr>
            <w:rStyle w:val="Hyperlink"/>
            <w:rFonts w:ascii="Times New Roman" w:hAnsi="Times New Roman" w:cs="Times New Roman"/>
            <w:sz w:val="18"/>
            <w:szCs w:val="18"/>
          </w:rPr>
          <w:t>https://doi.org/10.1109/TIT.1967.1053964</w:t>
        </w:r>
      </w:hyperlink>
      <w:r>
        <w:rPr>
          <w:rFonts w:ascii="Times New Roman" w:hAnsi="Times New Roman" w:cs="Times New Roman"/>
          <w:sz w:val="18"/>
          <w:szCs w:val="18"/>
        </w:rPr>
        <w:t>.</w:t>
      </w:r>
    </w:p>
    <w:p w14:paraId="028CF90F" w14:textId="77777777" w:rsidR="00DA00EE" w:rsidRPr="00E32832" w:rsidRDefault="00F84C4B" w:rsidP="00FB695A">
      <w:pPr>
        <w:pStyle w:val="Bibliography"/>
        <w:jc w:val="both"/>
        <w:rPr>
          <w:rFonts w:ascii="Times New Roman" w:hAnsi="Times New Roman" w:cs="Times New Roman"/>
          <w:sz w:val="18"/>
          <w:szCs w:val="18"/>
        </w:rPr>
      </w:pPr>
      <w:bookmarkStart w:id="111" w:name="ref-daviesbouldin1979"/>
      <w:bookmarkEnd w:id="110"/>
      <w:r>
        <w:rPr>
          <w:rFonts w:ascii="Times New Roman" w:hAnsi="Times New Roman" w:cs="Times New Roman"/>
          <w:sz w:val="18"/>
          <w:szCs w:val="18"/>
        </w:rPr>
        <w:t xml:space="preserve">Davies, David L., and Donald W. Bouldin. 1979. “A Cluster Separation Measure.” IEEE Transactions on Pattern Analysis and Machine Intelligence PAMI 1 (2): 224–27. </w:t>
      </w:r>
      <w:hyperlink r:id="rId29">
        <w:r>
          <w:rPr>
            <w:rStyle w:val="Hyperlink"/>
            <w:rFonts w:ascii="Times New Roman" w:hAnsi="Times New Roman" w:cs="Times New Roman"/>
            <w:sz w:val="18"/>
            <w:szCs w:val="18"/>
          </w:rPr>
          <w:t>https://doi.org/10.1109/TPAMI.1979.4766909</w:t>
        </w:r>
      </w:hyperlink>
      <w:r>
        <w:rPr>
          <w:rFonts w:ascii="Times New Roman" w:hAnsi="Times New Roman" w:cs="Times New Roman"/>
          <w:sz w:val="18"/>
          <w:szCs w:val="18"/>
        </w:rPr>
        <w:t>.</w:t>
      </w:r>
    </w:p>
    <w:p w14:paraId="753B5783" w14:textId="77777777" w:rsidR="00DA00EE" w:rsidRPr="00E32832" w:rsidRDefault="00F84C4B" w:rsidP="00FB695A">
      <w:pPr>
        <w:pStyle w:val="Bibliography"/>
        <w:jc w:val="both"/>
        <w:rPr>
          <w:rFonts w:ascii="Times New Roman" w:hAnsi="Times New Roman" w:cs="Times New Roman"/>
          <w:sz w:val="18"/>
          <w:szCs w:val="18"/>
        </w:rPr>
      </w:pPr>
      <w:bookmarkStart w:id="112" w:name="ref-deng2009"/>
      <w:bookmarkEnd w:id="111"/>
      <w:r>
        <w:rPr>
          <w:rFonts w:ascii="Times New Roman" w:hAnsi="Times New Roman" w:cs="Times New Roman"/>
          <w:sz w:val="18"/>
          <w:szCs w:val="18"/>
        </w:rPr>
        <w:t xml:space="preserve">Deng, Jia, Wei Dong, Richard Socher, Li Jia Li, Kai Li, and Li Fei Fei. 2009. “ImageNet: A Large Scale Hierarchical Image Database.” In IEEE Conference on Computer Vision and Pattern Recognition (CVPR), 248–55. </w:t>
      </w:r>
      <w:hyperlink r:id="rId30">
        <w:r>
          <w:rPr>
            <w:rStyle w:val="Hyperlink"/>
            <w:rFonts w:ascii="Times New Roman" w:hAnsi="Times New Roman" w:cs="Times New Roman"/>
            <w:sz w:val="18"/>
            <w:szCs w:val="18"/>
          </w:rPr>
          <w:t>https://doi.org/10.1109/CVPR.2009.5206848</w:t>
        </w:r>
      </w:hyperlink>
      <w:r>
        <w:rPr>
          <w:rFonts w:ascii="Times New Roman" w:hAnsi="Times New Roman" w:cs="Times New Roman"/>
          <w:sz w:val="18"/>
          <w:szCs w:val="18"/>
        </w:rPr>
        <w:t>.</w:t>
      </w:r>
    </w:p>
    <w:p w14:paraId="00993D19" w14:textId="77777777" w:rsidR="00DA00EE" w:rsidRPr="00E32832" w:rsidRDefault="00F84C4B" w:rsidP="00FB695A">
      <w:pPr>
        <w:pStyle w:val="Bibliography"/>
        <w:jc w:val="both"/>
        <w:rPr>
          <w:rFonts w:ascii="Times New Roman" w:hAnsi="Times New Roman" w:cs="Times New Roman"/>
          <w:sz w:val="18"/>
          <w:szCs w:val="18"/>
        </w:rPr>
      </w:pPr>
      <w:bookmarkStart w:id="113" w:name="ref-fao2019"/>
      <w:bookmarkEnd w:id="112"/>
      <w:r>
        <w:rPr>
          <w:rFonts w:ascii="Times New Roman" w:hAnsi="Times New Roman" w:cs="Times New Roman"/>
          <w:sz w:val="18"/>
          <w:szCs w:val="18"/>
        </w:rPr>
        <w:t>FAO. 2019. “New Standards to Curb the Global Spread of Plant Pests and Diseases.” Food and Agriculture Organization of the United Nations, Newsroom.</w:t>
      </w:r>
    </w:p>
    <w:p w14:paraId="11C99FE8" w14:textId="4012CFE5" w:rsidR="00DA00EE" w:rsidRPr="00E32832" w:rsidRDefault="00A9639A" w:rsidP="00FB695A">
      <w:pPr>
        <w:pStyle w:val="Bibliography"/>
        <w:jc w:val="both"/>
        <w:rPr>
          <w:rFonts w:ascii="Times New Roman" w:hAnsi="Times New Roman" w:cs="Times New Roman"/>
          <w:sz w:val="18"/>
          <w:szCs w:val="18"/>
        </w:rPr>
      </w:pPr>
      <w:bookmarkStart w:id="114" w:name="ref-fao2021"/>
      <w:bookmarkEnd w:id="113"/>
      <w:r>
        <w:rPr>
          <w:rFonts w:ascii="Times New Roman" w:hAnsi="Times New Roman" w:cs="Times New Roman"/>
          <w:sz w:val="18"/>
          <w:szCs w:val="18"/>
        </w:rPr>
        <w:t xml:space="preserve">  . 2021. “United Kingdom Food Security Report 2021: Theme 1  Global Food Availability.” UK Government, citing FAO data.</w:t>
      </w:r>
    </w:p>
    <w:p w14:paraId="7F08471E" w14:textId="1F609C9D" w:rsidR="00DA00EE" w:rsidRPr="00E32832" w:rsidRDefault="00A9639A" w:rsidP="00FB695A">
      <w:pPr>
        <w:pStyle w:val="Bibliography"/>
        <w:jc w:val="both"/>
        <w:rPr>
          <w:rFonts w:ascii="Times New Roman" w:hAnsi="Times New Roman" w:cs="Times New Roman"/>
          <w:sz w:val="18"/>
          <w:szCs w:val="18"/>
        </w:rPr>
      </w:pPr>
      <w:bookmarkStart w:id="115" w:name="ref-fao2025"/>
      <w:bookmarkEnd w:id="114"/>
      <w:r>
        <w:rPr>
          <w:rFonts w:ascii="Times New Roman" w:hAnsi="Times New Roman" w:cs="Times New Roman"/>
          <w:sz w:val="18"/>
          <w:szCs w:val="18"/>
        </w:rPr>
        <w:t xml:space="preserve">  . 2025. “The Hidden Health Crisis: How Plant Diseases Threaten Global Food Security.” Food and Agriculture Organization of the United Nations.</w:t>
      </w:r>
    </w:p>
    <w:p w14:paraId="7B9D4C4F" w14:textId="77777777" w:rsidR="00DA00EE" w:rsidRPr="00E32832" w:rsidRDefault="00F84C4B" w:rsidP="00FB695A">
      <w:pPr>
        <w:pStyle w:val="Bibliography"/>
        <w:jc w:val="both"/>
        <w:rPr>
          <w:rFonts w:ascii="Times New Roman" w:hAnsi="Times New Roman" w:cs="Times New Roman"/>
          <w:sz w:val="18"/>
          <w:szCs w:val="18"/>
        </w:rPr>
      </w:pPr>
      <w:bookmarkStart w:id="116" w:name="ref-friedman2001"/>
      <w:bookmarkEnd w:id="115"/>
      <w:r>
        <w:rPr>
          <w:rFonts w:ascii="Times New Roman" w:hAnsi="Times New Roman" w:cs="Times New Roman"/>
          <w:sz w:val="18"/>
          <w:szCs w:val="18"/>
        </w:rPr>
        <w:t xml:space="preserve">Friedman, Jerome H. 2001. “Greedy Function Approximation: A Gradient Boosting Machine.” Annals of Statistics 29 (5): 1189–1232. </w:t>
      </w:r>
      <w:hyperlink r:id="rId31">
        <w:r>
          <w:rPr>
            <w:rStyle w:val="Hyperlink"/>
            <w:rFonts w:ascii="Times New Roman" w:hAnsi="Times New Roman" w:cs="Times New Roman"/>
            <w:sz w:val="18"/>
            <w:szCs w:val="18"/>
          </w:rPr>
          <w:t>https://doi.org/10.1214/aos/1013203451</w:t>
        </w:r>
      </w:hyperlink>
      <w:r>
        <w:rPr>
          <w:rFonts w:ascii="Times New Roman" w:hAnsi="Times New Roman" w:cs="Times New Roman"/>
          <w:sz w:val="18"/>
          <w:szCs w:val="18"/>
        </w:rPr>
        <w:t>.</w:t>
      </w:r>
    </w:p>
    <w:p w14:paraId="5C85656A" w14:textId="77777777" w:rsidR="00283C42" w:rsidRPr="00E32832" w:rsidRDefault="00EF3290" w:rsidP="00FB695A">
      <w:pPr>
        <w:pStyle w:val="Bibliography"/>
        <w:jc w:val="both"/>
        <w:rPr>
          <w:rFonts w:ascii="Times New Roman" w:hAnsi="Times New Roman" w:cs="Times New Roman"/>
          <w:sz w:val="20"/>
          <w:szCs w:val="20"/>
        </w:rPr>
      </w:pPr>
      <w:bookmarkStart w:id="117" w:name="ref-gao1996"/>
      <w:r>
        <w:rPr>
          <w:rFonts w:ascii="Times New Roman" w:hAnsi="Times New Roman" w:cs="Times New Roman"/>
          <w:sz w:val="20"/>
          <w:szCs w:val="20"/>
        </w:rPr>
        <w:t>Gao, Bo-Cai. 1996. “NDWI—A Normalized Difference Water Index for Remote Sensing of Vegetation Liquid Water from Space.” Remote Sensing of Environment 58 (3): 257–66. https://doi.org/10.1016/S0034-4257(96)00067-3</w:t>
      </w:r>
      <w:bookmarkEnd w:id="117"/>
    </w:p>
    <w:p w14:paraId="049070F3" w14:textId="77777777" w:rsidR="00DA00EE" w:rsidRPr="00E32832" w:rsidRDefault="00F84C4B" w:rsidP="00FB695A">
      <w:pPr>
        <w:pStyle w:val="Bibliography"/>
        <w:jc w:val="both"/>
        <w:rPr>
          <w:rFonts w:ascii="Times New Roman" w:hAnsi="Times New Roman" w:cs="Times New Roman"/>
          <w:sz w:val="18"/>
          <w:szCs w:val="18"/>
        </w:rPr>
      </w:pPr>
      <w:bookmarkStart w:id="118" w:name="ref-gardezi2022"/>
      <w:bookmarkEnd w:id="116"/>
      <w:r>
        <w:rPr>
          <w:rFonts w:ascii="Times New Roman" w:hAnsi="Times New Roman" w:cs="Times New Roman"/>
          <w:sz w:val="18"/>
          <w:szCs w:val="18"/>
        </w:rPr>
        <w:t>Gardezi, Maaz, Damilola T. Adereti, Ryan Stock, and Abisola Ogunyiola. 2022. “In Pursuit of Responsible Innovation for Precision Agriculture Technologies.” Journal of Responsible Innovation 9 (2): 224–47. https://doi.org/10.1080/23299460.2022.2071668</w:t>
      </w:r>
    </w:p>
    <w:p w14:paraId="3449BACC" w14:textId="77777777" w:rsidR="00DA00EE" w:rsidRPr="00E32832" w:rsidRDefault="00F84C4B" w:rsidP="00FB695A">
      <w:pPr>
        <w:pStyle w:val="Bibliography"/>
        <w:jc w:val="both"/>
        <w:rPr>
          <w:rFonts w:ascii="Times New Roman" w:hAnsi="Times New Roman" w:cs="Times New Roman"/>
          <w:sz w:val="18"/>
          <w:szCs w:val="18"/>
        </w:rPr>
      </w:pPr>
      <w:bookmarkStart w:id="119" w:name="ref-gardezi2023"/>
      <w:bookmarkEnd w:id="118"/>
      <w:r>
        <w:rPr>
          <w:rFonts w:ascii="Times New Roman" w:hAnsi="Times New Roman" w:cs="Times New Roman"/>
          <w:sz w:val="18"/>
          <w:szCs w:val="18"/>
        </w:rPr>
        <w:t>Gardezi, Maaz, Bikash Joshi, Donna M. Rizzo, Meghan Ryan, Emily Prutzer, Sara Brugler, and Ali Dadkhah. 2023. “Artificial Intelligence in Farming: Challenges and Opportunities for Building Trust.” Agronomy Journal 116 (3): 1217–28. https://doi.org/10.1002/agj2.21353</w:t>
      </w:r>
    </w:p>
    <w:p w14:paraId="0B8FF782" w14:textId="77777777" w:rsidR="00283C42" w:rsidRPr="00E32832" w:rsidRDefault="00EF3290" w:rsidP="00FB695A">
      <w:pPr>
        <w:pStyle w:val="Bibliography"/>
        <w:jc w:val="both"/>
        <w:rPr>
          <w:rFonts w:ascii="Times New Roman" w:hAnsi="Times New Roman" w:cs="Times New Roman"/>
          <w:sz w:val="20"/>
          <w:szCs w:val="20"/>
        </w:rPr>
      </w:pPr>
      <w:bookmarkStart w:id="120" w:name="ref-gitelson1996"/>
      <w:r>
        <w:rPr>
          <w:rFonts w:ascii="Times New Roman" w:hAnsi="Times New Roman" w:cs="Times New Roman"/>
          <w:sz w:val="20"/>
          <w:szCs w:val="20"/>
        </w:rPr>
        <w:t>Gitelson, Anatoly A., Yoram J. Kaufman, and Mark N. Merzlyak. 1996. “Use of a Green Channel in Remote Sensing of Global Vegetation from EOS-MODIS.” Remote Sensing of Environment 58 (3): 289–98. https://doi.org/10.1016/S0034-4257(96)00072-7</w:t>
      </w:r>
      <w:bookmarkEnd w:id="120"/>
    </w:p>
    <w:p w14:paraId="2D16F013" w14:textId="77777777" w:rsidR="00283C42" w:rsidRPr="00E32832" w:rsidRDefault="00EF3290" w:rsidP="00FB695A">
      <w:pPr>
        <w:pStyle w:val="Bibliography"/>
        <w:jc w:val="both"/>
        <w:rPr>
          <w:rFonts w:ascii="Times New Roman" w:hAnsi="Times New Roman" w:cs="Times New Roman"/>
          <w:sz w:val="20"/>
          <w:szCs w:val="20"/>
        </w:rPr>
      </w:pPr>
      <w:bookmarkStart w:id="121" w:name="ref-gitelson2003"/>
      <w:r>
        <w:rPr>
          <w:rFonts w:ascii="Times New Roman" w:hAnsi="Times New Roman" w:cs="Times New Roman"/>
          <w:sz w:val="20"/>
          <w:szCs w:val="20"/>
        </w:rPr>
        <w:t>Gitelson, Anatoly A., Andrés Gritz, and Mark N. Merzlyak. 2003. “Relationships Between Leaf Chlorophyll Content and Spectral Reflectance and Algorithms for Non-Destructive Chlorophyll Assessment in Higher Plant Leaves.” Journal of Plant Physiology 160 (3): 271–82. https://doi.org/10.1078/0176-1617-00887</w:t>
      </w:r>
      <w:bookmarkEnd w:id="121"/>
    </w:p>
    <w:p w14:paraId="6404C511" w14:textId="77777777" w:rsidR="00DA00EE" w:rsidRPr="00E32832" w:rsidRDefault="00F84C4B" w:rsidP="00FB695A">
      <w:pPr>
        <w:pStyle w:val="Bibliography"/>
        <w:jc w:val="both"/>
        <w:rPr>
          <w:rFonts w:ascii="Times New Roman" w:hAnsi="Times New Roman" w:cs="Times New Roman"/>
          <w:sz w:val="18"/>
          <w:szCs w:val="18"/>
        </w:rPr>
      </w:pPr>
      <w:bookmarkStart w:id="122" w:name="ref-hampf2021"/>
      <w:bookmarkEnd w:id="119"/>
      <w:r>
        <w:rPr>
          <w:rFonts w:ascii="Times New Roman" w:hAnsi="Times New Roman" w:cs="Times New Roman"/>
          <w:sz w:val="18"/>
          <w:szCs w:val="18"/>
        </w:rPr>
        <w:t>Hampf, Anna C., Claas Nendel, Simone Strey, and Robert Strey. 2021. “Biotic Yield Losses in the Southern Amazon, Brazil: Making Use of Smartphone Assisted Plant Disease Diagnosis Data.” Frontiers in Plant Science 12: 621168. https://doi.org/10.3389/fpls.2021.621168</w:t>
      </w:r>
    </w:p>
    <w:p w14:paraId="260917E9" w14:textId="77777777" w:rsidR="00283C42" w:rsidRPr="00E32832" w:rsidRDefault="00EF3290" w:rsidP="00FB695A">
      <w:pPr>
        <w:pStyle w:val="Bibliography"/>
        <w:jc w:val="both"/>
        <w:rPr>
          <w:rFonts w:ascii="Times New Roman" w:hAnsi="Times New Roman" w:cs="Times New Roman"/>
          <w:sz w:val="20"/>
          <w:szCs w:val="20"/>
        </w:rPr>
      </w:pPr>
      <w:bookmarkStart w:id="123" w:name="ref-huete1988"/>
      <w:r>
        <w:rPr>
          <w:rFonts w:ascii="Times New Roman" w:hAnsi="Times New Roman" w:cs="Times New Roman"/>
          <w:sz w:val="20"/>
          <w:szCs w:val="20"/>
        </w:rPr>
        <w:t>Huete, Alfredo R. 1988. “A Soil-Adjusted Vegetation Index (SAVI).” Remote Sensing of Environment 25 (3): 295–309. https://doi.org/10.1016/0034-4257(88)90106-X</w:t>
      </w:r>
      <w:bookmarkEnd w:id="123"/>
    </w:p>
    <w:p w14:paraId="45E70D5A" w14:textId="77777777" w:rsidR="00DA00EE" w:rsidRPr="00E32832" w:rsidRDefault="00F84C4B" w:rsidP="00FB695A">
      <w:pPr>
        <w:pStyle w:val="Bibliography"/>
        <w:jc w:val="both"/>
        <w:rPr>
          <w:rFonts w:ascii="Times New Roman" w:hAnsi="Times New Roman" w:cs="Times New Roman"/>
          <w:sz w:val="18"/>
          <w:szCs w:val="18"/>
        </w:rPr>
      </w:pPr>
      <w:bookmarkStart w:id="124" w:name="ref-he2016"/>
      <w:bookmarkEnd w:id="122"/>
      <w:r>
        <w:rPr>
          <w:rFonts w:ascii="Times New Roman" w:hAnsi="Times New Roman" w:cs="Times New Roman"/>
          <w:sz w:val="18"/>
          <w:szCs w:val="18"/>
        </w:rPr>
        <w:t xml:space="preserve">He, Kaiming, Xiangyu Zhang, Shaoqing Ren, and Jian Sun. 2016. “Deep Residual Learning for Image Recognition.” In IEEE Conference on Computer Vision and Pattern Recognition (CVPR), 770–78. </w:t>
      </w:r>
      <w:hyperlink r:id="rId32">
        <w:r>
          <w:rPr>
            <w:rStyle w:val="Hyperlink"/>
            <w:rFonts w:ascii="Times New Roman" w:hAnsi="Times New Roman" w:cs="Times New Roman"/>
            <w:sz w:val="18"/>
            <w:szCs w:val="18"/>
          </w:rPr>
          <w:t>https://doi.org/10.1109/CVPR.2016.90</w:t>
        </w:r>
      </w:hyperlink>
      <w:r>
        <w:rPr>
          <w:rFonts w:ascii="Times New Roman" w:hAnsi="Times New Roman" w:cs="Times New Roman"/>
          <w:sz w:val="18"/>
          <w:szCs w:val="18"/>
        </w:rPr>
        <w:t>.</w:t>
      </w:r>
    </w:p>
    <w:p w14:paraId="4BF80904" w14:textId="77777777" w:rsidR="00283C42" w:rsidRPr="00E32832" w:rsidRDefault="00EF3290" w:rsidP="00FB695A">
      <w:pPr>
        <w:pStyle w:val="Bibliography"/>
        <w:jc w:val="both"/>
        <w:rPr>
          <w:rFonts w:ascii="Times New Roman" w:hAnsi="Times New Roman" w:cs="Times New Roman"/>
          <w:sz w:val="20"/>
          <w:szCs w:val="20"/>
        </w:rPr>
      </w:pPr>
      <w:bookmarkStart w:id="125" w:name="ref-haralick1973"/>
      <w:r>
        <w:rPr>
          <w:rFonts w:ascii="Times New Roman" w:hAnsi="Times New Roman" w:cs="Times New Roman"/>
          <w:sz w:val="20"/>
          <w:szCs w:val="20"/>
        </w:rPr>
        <w:t>Haralick, Robert M., K. Shanmugam, and Its’hak Dinstein. 1973. “Textural Features for Image Classification.” IEEE Transactions on Systems, Man, and Cybernetics SMC 3 (6): 610–21. https://doi.org/10.1109/TSMC.1973.4309314</w:t>
      </w:r>
      <w:bookmarkEnd w:id="125"/>
    </w:p>
    <w:p w14:paraId="057EB7B2" w14:textId="77777777" w:rsidR="00DA00EE" w:rsidRPr="00E32832" w:rsidRDefault="00F84C4B" w:rsidP="00FB695A">
      <w:pPr>
        <w:pStyle w:val="Bibliography"/>
        <w:jc w:val="both"/>
        <w:rPr>
          <w:rFonts w:ascii="Times New Roman" w:hAnsi="Times New Roman" w:cs="Times New Roman"/>
          <w:sz w:val="18"/>
          <w:szCs w:val="18"/>
        </w:rPr>
      </w:pPr>
      <w:bookmarkStart w:id="126" w:name="ref-hotelling1933"/>
      <w:bookmarkEnd w:id="124"/>
      <w:r>
        <w:rPr>
          <w:rFonts w:ascii="Times New Roman" w:hAnsi="Times New Roman" w:cs="Times New Roman"/>
          <w:sz w:val="18"/>
          <w:szCs w:val="18"/>
        </w:rPr>
        <w:t xml:space="preserve">Hotelling, Harold. 1933. “Analysis of a Complex of Statistical Variables into Principal Components.” Journal of Educational Psychology 24 (6): 417–41. </w:t>
      </w:r>
      <w:hyperlink r:id="rId33">
        <w:r>
          <w:rPr>
            <w:rStyle w:val="Hyperlink"/>
            <w:rFonts w:ascii="Times New Roman" w:hAnsi="Times New Roman" w:cs="Times New Roman"/>
            <w:sz w:val="18"/>
            <w:szCs w:val="18"/>
          </w:rPr>
          <w:t>https://doi.org/10.1037/h0071325</w:t>
        </w:r>
      </w:hyperlink>
      <w:r>
        <w:rPr>
          <w:rFonts w:ascii="Times New Roman" w:hAnsi="Times New Roman" w:cs="Times New Roman"/>
          <w:sz w:val="18"/>
          <w:szCs w:val="18"/>
        </w:rPr>
        <w:t>.</w:t>
      </w:r>
    </w:p>
    <w:p w14:paraId="6959E7F3" w14:textId="77777777" w:rsidR="00283C42" w:rsidRPr="00E32832" w:rsidRDefault="00EF3290" w:rsidP="00FB695A">
      <w:pPr>
        <w:pStyle w:val="Bibliography"/>
        <w:jc w:val="both"/>
        <w:rPr>
          <w:rFonts w:ascii="Times New Roman" w:hAnsi="Times New Roman" w:cs="Times New Roman"/>
          <w:sz w:val="20"/>
          <w:szCs w:val="20"/>
        </w:rPr>
      </w:pPr>
      <w:bookmarkStart w:id="127" w:name="ref-huete2002"/>
      <w:r>
        <w:rPr>
          <w:rFonts w:ascii="Times New Roman" w:hAnsi="Times New Roman" w:cs="Times New Roman"/>
          <w:sz w:val="20"/>
          <w:szCs w:val="20"/>
        </w:rPr>
        <w:t>Huete, Alfredo, Kamel Didan, Tomoaki Miura, E. Patricia Rodriguez, Xiang Gao, and Laerte G. Ferreira. 2002. “Overview of the Radiometric and Biophysical Performance of the MODIS Vegetation Indices.” Remote Sensing of Environment 83 (1–2): 195–213. https://doi.org/10.1016/S0034-4257(02)00096-2</w:t>
      </w:r>
      <w:bookmarkEnd w:id="127"/>
    </w:p>
    <w:p w14:paraId="39244FA3" w14:textId="77777777" w:rsidR="00DA00EE" w:rsidRPr="00E32832" w:rsidRDefault="00F84C4B" w:rsidP="00FB695A">
      <w:pPr>
        <w:pStyle w:val="Bibliography"/>
        <w:jc w:val="both"/>
        <w:rPr>
          <w:rFonts w:ascii="Times New Roman" w:hAnsi="Times New Roman" w:cs="Times New Roman"/>
          <w:sz w:val="18"/>
          <w:szCs w:val="18"/>
        </w:rPr>
      </w:pPr>
      <w:bookmarkStart w:id="128" w:name="ref-ieri2025"/>
      <w:bookmarkEnd w:id="126"/>
      <w:r>
        <w:rPr>
          <w:rFonts w:ascii="Times New Roman" w:hAnsi="Times New Roman" w:cs="Times New Roman"/>
          <w:sz w:val="18"/>
          <w:szCs w:val="18"/>
        </w:rPr>
        <w:t>İeri, Onur. 2025. “Usability of Smartphone Based RGB Vegetation Indices for Steppe Rangeland Inventory and Monitoring.” Precision Agriculture 26: 2. https://doi.org/10.1007/s11119 024 10195 0.</w:t>
      </w:r>
    </w:p>
    <w:p w14:paraId="410FEB71" w14:textId="77777777" w:rsidR="00DA00EE" w:rsidRPr="00E32832" w:rsidRDefault="00F84C4B" w:rsidP="00FB695A">
      <w:pPr>
        <w:pStyle w:val="Bibliography"/>
        <w:jc w:val="both"/>
        <w:rPr>
          <w:rFonts w:ascii="Times New Roman" w:hAnsi="Times New Roman" w:cs="Times New Roman"/>
          <w:sz w:val="18"/>
          <w:szCs w:val="18"/>
        </w:rPr>
      </w:pPr>
      <w:bookmarkStart w:id="129" w:name="ref-kanagawa2024"/>
      <w:bookmarkEnd w:id="128"/>
      <w:r>
        <w:rPr>
          <w:rFonts w:ascii="Times New Roman" w:hAnsi="Times New Roman" w:cs="Times New Roman"/>
          <w:sz w:val="18"/>
          <w:szCs w:val="18"/>
        </w:rPr>
        <w:t>Kanagawa, Motonobu. 2024. “Fast Computation of Leave One Out Cross Validation for k NN Regression.” arXiv Preprint arXiv:2405.04919. https://doi.org/10.48550/arXiv.2405.04919.</w:t>
      </w:r>
    </w:p>
    <w:p w14:paraId="1AC835FB" w14:textId="77777777" w:rsidR="00DA00EE" w:rsidRPr="00E32832" w:rsidRDefault="00F84C4B" w:rsidP="00FB695A">
      <w:pPr>
        <w:pStyle w:val="Bibliography"/>
        <w:jc w:val="both"/>
        <w:rPr>
          <w:rFonts w:ascii="Times New Roman" w:hAnsi="Times New Roman" w:cs="Times New Roman"/>
          <w:sz w:val="18"/>
          <w:szCs w:val="18"/>
        </w:rPr>
      </w:pPr>
      <w:bookmarkStart w:id="130" w:name="ref-kohavi1995"/>
      <w:bookmarkEnd w:id="129"/>
      <w:r>
        <w:rPr>
          <w:rFonts w:ascii="Times New Roman" w:hAnsi="Times New Roman" w:cs="Times New Roman"/>
          <w:sz w:val="18"/>
          <w:szCs w:val="18"/>
        </w:rPr>
        <w:t>Kohavi, Ron. 1995. “A Study of Cross Validation and Bootstrap for Accuracy Estimation and Model Selection.” In Proceedings of the 14th International Joint Conference on Artificial Intelligence (IJCAI), 1137–43. https://doi.org/10.5555/1643031.1643047.</w:t>
      </w:r>
    </w:p>
    <w:p w14:paraId="0DCB8F31" w14:textId="77777777" w:rsidR="00DA00EE" w:rsidRPr="00E32832" w:rsidRDefault="00F84C4B" w:rsidP="00FB695A">
      <w:pPr>
        <w:pStyle w:val="Bibliography"/>
        <w:jc w:val="both"/>
        <w:rPr>
          <w:rFonts w:ascii="Times New Roman" w:hAnsi="Times New Roman" w:cs="Times New Roman"/>
          <w:sz w:val="18"/>
          <w:szCs w:val="18"/>
        </w:rPr>
      </w:pPr>
      <w:bookmarkStart w:id="131" w:name="ref-lin2014"/>
      <w:bookmarkEnd w:id="130"/>
      <w:r>
        <w:rPr>
          <w:rFonts w:ascii="Times New Roman" w:hAnsi="Times New Roman" w:cs="Times New Roman"/>
          <w:sz w:val="18"/>
          <w:szCs w:val="18"/>
        </w:rPr>
        <w:t xml:space="preserve">Lin, Tsung Yi, Michael Maire, Serge Belongie, James Hays, Pietro Perona, Deva Ramanan, Piotr Dollár, and C. Lawrence Zitnick. 2014. “Microsoft COCO: Common Objects in Context.” In European Conference on Computer Vision (ECCV), 740–55. </w:t>
      </w:r>
      <w:hyperlink r:id="rId34">
        <w:r>
          <w:rPr>
            <w:rStyle w:val="Hyperlink"/>
            <w:rFonts w:ascii="Times New Roman" w:hAnsi="Times New Roman" w:cs="Times New Roman"/>
            <w:sz w:val="18"/>
            <w:szCs w:val="18"/>
          </w:rPr>
          <w:t>https://doi.org/10.1007/978 3 319 10602 1_48</w:t>
        </w:r>
      </w:hyperlink>
      <w:r>
        <w:rPr>
          <w:rFonts w:ascii="Times New Roman" w:hAnsi="Times New Roman" w:cs="Times New Roman"/>
          <w:sz w:val="18"/>
          <w:szCs w:val="18"/>
        </w:rPr>
        <w:t>.</w:t>
      </w:r>
    </w:p>
    <w:p w14:paraId="5540F655" w14:textId="77777777" w:rsidR="00DA00EE" w:rsidRPr="00E32832" w:rsidRDefault="00F84C4B" w:rsidP="00FB695A">
      <w:pPr>
        <w:pStyle w:val="Bibliography"/>
        <w:jc w:val="both"/>
        <w:rPr>
          <w:rFonts w:ascii="Times New Roman" w:hAnsi="Times New Roman" w:cs="Times New Roman"/>
          <w:sz w:val="18"/>
          <w:szCs w:val="18"/>
        </w:rPr>
      </w:pPr>
      <w:bookmarkStart w:id="132" w:name="ref-lundberg2017"/>
      <w:bookmarkEnd w:id="131"/>
      <w:r>
        <w:rPr>
          <w:rFonts w:ascii="Times New Roman" w:hAnsi="Times New Roman" w:cs="Times New Roman"/>
          <w:sz w:val="18"/>
          <w:szCs w:val="18"/>
        </w:rPr>
        <w:t>Lundberg, Scott M., and Su In Lee. 2017. “A Unified Approach to Interpreting Model Predictions.” In Advances in Neural Information Processing Systems (NeurIPS). Vol. 30. https://doi.org/10.48550/arXiv.1705.07874.</w:t>
      </w:r>
    </w:p>
    <w:p w14:paraId="3837092D" w14:textId="77777777" w:rsidR="00DA00EE" w:rsidRPr="00E32832" w:rsidRDefault="00F84C4B" w:rsidP="00FB695A">
      <w:pPr>
        <w:pStyle w:val="Bibliography"/>
        <w:jc w:val="both"/>
        <w:rPr>
          <w:rFonts w:ascii="Times New Roman" w:hAnsi="Times New Roman" w:cs="Times New Roman"/>
          <w:sz w:val="18"/>
          <w:szCs w:val="18"/>
        </w:rPr>
      </w:pPr>
      <w:bookmarkStart w:id="133" w:name="ref-macqueen1967"/>
      <w:bookmarkEnd w:id="132"/>
      <w:r>
        <w:rPr>
          <w:rFonts w:ascii="Times New Roman" w:hAnsi="Times New Roman" w:cs="Times New Roman"/>
          <w:sz w:val="18"/>
          <w:szCs w:val="18"/>
        </w:rPr>
        <w:t>MacQueen, James. 1967. “Some Methods for Classification and Analysis of Multivariate Observations.” In Proceedings of the 5th Berkeley Symposium on Mathematical Statistics and Probability, 1:281–97.</w:t>
      </w:r>
    </w:p>
    <w:p w14:paraId="3267C536" w14:textId="77777777" w:rsidR="00DA00EE" w:rsidRPr="00E32832" w:rsidRDefault="00F84C4B" w:rsidP="00FB695A">
      <w:pPr>
        <w:pStyle w:val="Bibliography"/>
        <w:jc w:val="both"/>
        <w:rPr>
          <w:rFonts w:ascii="Times New Roman" w:hAnsi="Times New Roman" w:cs="Times New Roman"/>
          <w:sz w:val="18"/>
          <w:szCs w:val="18"/>
        </w:rPr>
      </w:pPr>
      <w:bookmarkStart w:id="134" w:name="ref-matthews1975"/>
      <w:bookmarkEnd w:id="133"/>
      <w:r>
        <w:rPr>
          <w:rFonts w:ascii="Times New Roman" w:hAnsi="Times New Roman" w:cs="Times New Roman"/>
          <w:sz w:val="18"/>
          <w:szCs w:val="18"/>
        </w:rPr>
        <w:t xml:space="preserve">Matthews, Brian W. 1975. “Comparison of the Predicted and Observed Secondary Structure of T4 Phage Lysozyme.” Biochimica Et Biophysica Acta (BBA) – Protein Structure 405 (2): 442–51. </w:t>
      </w:r>
      <w:hyperlink r:id="rId35">
        <w:r>
          <w:rPr>
            <w:rStyle w:val="Hyperlink"/>
            <w:rFonts w:ascii="Times New Roman" w:hAnsi="Times New Roman" w:cs="Times New Roman"/>
            <w:sz w:val="18"/>
            <w:szCs w:val="18"/>
          </w:rPr>
          <w:t>https://doi.org/10.1016/0005 2795(75)90109 9</w:t>
        </w:r>
      </w:hyperlink>
      <w:r>
        <w:rPr>
          <w:rFonts w:ascii="Times New Roman" w:hAnsi="Times New Roman" w:cs="Times New Roman"/>
          <w:sz w:val="18"/>
          <w:szCs w:val="18"/>
        </w:rPr>
        <w:t>.</w:t>
      </w:r>
    </w:p>
    <w:p w14:paraId="5205757E" w14:textId="77777777" w:rsidR="00DA00EE" w:rsidRPr="00E32832" w:rsidRDefault="00F84C4B" w:rsidP="00FB695A">
      <w:pPr>
        <w:pStyle w:val="Bibliography"/>
        <w:jc w:val="both"/>
        <w:rPr>
          <w:rFonts w:ascii="Times New Roman" w:hAnsi="Times New Roman" w:cs="Times New Roman"/>
          <w:sz w:val="18"/>
          <w:szCs w:val="18"/>
        </w:rPr>
      </w:pPr>
      <w:bookmarkStart w:id="135" w:name="ref-mohanty2016"/>
      <w:bookmarkEnd w:id="134"/>
      <w:r>
        <w:rPr>
          <w:rFonts w:ascii="Times New Roman" w:hAnsi="Times New Roman" w:cs="Times New Roman"/>
          <w:sz w:val="18"/>
          <w:szCs w:val="18"/>
        </w:rPr>
        <w:lastRenderedPageBreak/>
        <w:t>Mohanty, Sharada P., David P. Hughes, and Marcel Salathé. 2016. “Using Deep Learning for Image Based Plant Disease Detection.” Frontiers in Plant Science 7: 1419. https://doi.org/10.3389/fpls.2016.01419.</w:t>
      </w:r>
    </w:p>
    <w:p w14:paraId="36794A8D" w14:textId="77777777" w:rsidR="00DA00EE" w:rsidRPr="00E32832" w:rsidRDefault="00F84C4B" w:rsidP="00FB695A">
      <w:pPr>
        <w:pStyle w:val="Bibliography"/>
        <w:jc w:val="both"/>
        <w:rPr>
          <w:rFonts w:ascii="Times New Roman" w:hAnsi="Times New Roman" w:cs="Times New Roman"/>
          <w:sz w:val="18"/>
          <w:szCs w:val="18"/>
        </w:rPr>
      </w:pPr>
      <w:bookmarkStart w:id="136" w:name="ref-nancy2024"/>
      <w:bookmarkEnd w:id="135"/>
      <w:r>
        <w:rPr>
          <w:rFonts w:ascii="Times New Roman" w:hAnsi="Times New Roman" w:cs="Times New Roman"/>
          <w:sz w:val="18"/>
          <w:szCs w:val="18"/>
        </w:rPr>
        <w:t>Nancy, C., and S. Kiran. 2024. “Cucumber Leaf Disease Detection Using GLCM Features with Random Forest Algorithm.” International Research Journal of Multidisciplinary Technovation. [No DOI found (journal does not appear to assign DOIs)]</w:t>
      </w:r>
    </w:p>
    <w:p w14:paraId="662DCCA6" w14:textId="77777777" w:rsidR="00DA00EE" w:rsidRPr="00E32832" w:rsidRDefault="00F84C4B" w:rsidP="00FB695A">
      <w:pPr>
        <w:pStyle w:val="Bibliography"/>
        <w:jc w:val="both"/>
        <w:rPr>
          <w:rFonts w:ascii="Times New Roman" w:hAnsi="Times New Roman" w:cs="Times New Roman"/>
          <w:sz w:val="18"/>
          <w:szCs w:val="18"/>
        </w:rPr>
      </w:pPr>
      <w:bookmarkStart w:id="137" w:name="ref-ossai2022"/>
      <w:bookmarkEnd w:id="136"/>
      <w:r>
        <w:rPr>
          <w:rFonts w:ascii="Times New Roman" w:hAnsi="Times New Roman" w:cs="Times New Roman"/>
          <w:sz w:val="18"/>
          <w:szCs w:val="18"/>
        </w:rPr>
        <w:t>Ossai, Chinedu I., and Nilmini Wickramasinghe. 2022. “Plant Disease Detection Using GLCM Feature Extractor and Voting Classification Approach.” Biomedical Signal Processing and Control 73: 103471.</w:t>
      </w:r>
    </w:p>
    <w:p w14:paraId="0610FCD0" w14:textId="77777777" w:rsidR="00DA00EE" w:rsidRPr="00E32832" w:rsidRDefault="00F84C4B" w:rsidP="00FB695A">
      <w:pPr>
        <w:pStyle w:val="Bibliography"/>
        <w:jc w:val="both"/>
        <w:rPr>
          <w:rFonts w:ascii="Times New Roman" w:hAnsi="Times New Roman" w:cs="Times New Roman"/>
          <w:sz w:val="18"/>
          <w:szCs w:val="18"/>
        </w:rPr>
      </w:pPr>
      <w:bookmarkStart w:id="138" w:name="ref-otsu1979"/>
      <w:bookmarkEnd w:id="137"/>
      <w:r>
        <w:rPr>
          <w:rFonts w:ascii="Times New Roman" w:hAnsi="Times New Roman" w:cs="Times New Roman"/>
          <w:sz w:val="18"/>
          <w:szCs w:val="18"/>
        </w:rPr>
        <w:t xml:space="preserve">Otsu, Nobuyuki. 1979. “A Threshold Selection Method from Gray Level Histograms.” IEEE Transactions on Systems, Man, and Cybernetics 9 (1): 62–66. </w:t>
      </w:r>
      <w:hyperlink r:id="rId36">
        <w:r>
          <w:rPr>
            <w:rStyle w:val="Hyperlink"/>
            <w:rFonts w:ascii="Times New Roman" w:hAnsi="Times New Roman" w:cs="Times New Roman"/>
            <w:sz w:val="18"/>
            <w:szCs w:val="18"/>
          </w:rPr>
          <w:t>https://doi.org/10.1109/TSMC.1979.4310076</w:t>
        </w:r>
      </w:hyperlink>
      <w:r>
        <w:rPr>
          <w:rFonts w:ascii="Times New Roman" w:hAnsi="Times New Roman" w:cs="Times New Roman"/>
          <w:sz w:val="18"/>
          <w:szCs w:val="18"/>
        </w:rPr>
        <w:t>.</w:t>
      </w:r>
    </w:p>
    <w:p w14:paraId="54BF5861" w14:textId="77777777" w:rsidR="00DA00EE" w:rsidRPr="00E32832" w:rsidRDefault="00F84C4B" w:rsidP="00FB695A">
      <w:pPr>
        <w:pStyle w:val="Bibliography"/>
        <w:jc w:val="both"/>
        <w:rPr>
          <w:rFonts w:ascii="Times New Roman" w:hAnsi="Times New Roman" w:cs="Times New Roman"/>
          <w:sz w:val="18"/>
          <w:szCs w:val="18"/>
        </w:rPr>
      </w:pPr>
      <w:bookmarkStart w:id="139" w:name="ref-panthakkan2025"/>
      <w:bookmarkEnd w:id="138"/>
      <w:r>
        <w:rPr>
          <w:rFonts w:ascii="Times New Roman" w:hAnsi="Times New Roman" w:cs="Times New Roman"/>
          <w:sz w:val="18"/>
          <w:szCs w:val="18"/>
        </w:rPr>
        <w:t>Panthakkan, Alavikunhu, S. M. Anzar, K. Sherin, Saeed Al Mansoori, and Hussain Al Ahmad. 2025. “Evaluation of UAV Based RGB and Multispectral Vegetation Indices for Precision Agriculture in Palm Tree Cultivation.” arXiv Preprint arXiv:2505.07840. https://doi.org/10.48550/arXiv.2505.07840.</w:t>
      </w:r>
    </w:p>
    <w:p w14:paraId="4BAE7082" w14:textId="77777777" w:rsidR="00DA00EE" w:rsidRPr="00E32832" w:rsidRDefault="00F84C4B" w:rsidP="00FB695A">
      <w:pPr>
        <w:pStyle w:val="Bibliography"/>
        <w:jc w:val="both"/>
        <w:rPr>
          <w:rFonts w:ascii="Times New Roman" w:hAnsi="Times New Roman" w:cs="Times New Roman"/>
          <w:sz w:val="18"/>
          <w:szCs w:val="18"/>
        </w:rPr>
      </w:pPr>
      <w:bookmarkStart w:id="140" w:name="ref-pearson1901"/>
      <w:bookmarkEnd w:id="139"/>
      <w:r>
        <w:rPr>
          <w:rFonts w:ascii="Times New Roman" w:hAnsi="Times New Roman" w:cs="Times New Roman"/>
          <w:sz w:val="18"/>
          <w:szCs w:val="18"/>
        </w:rPr>
        <w:t xml:space="preserve">Pearson, Karl. 1901. “On Lines and Planes of Closest Fit to Systems of Points in Space.” Philosophical Magazine 2 (11): 559–72. </w:t>
      </w:r>
      <w:hyperlink r:id="rId37">
        <w:r>
          <w:rPr>
            <w:rStyle w:val="Hyperlink"/>
            <w:rFonts w:ascii="Times New Roman" w:hAnsi="Times New Roman" w:cs="Times New Roman"/>
            <w:sz w:val="18"/>
            <w:szCs w:val="18"/>
          </w:rPr>
          <w:t>https://doi.org/10.1080/14786440109462720</w:t>
        </w:r>
      </w:hyperlink>
      <w:r>
        <w:rPr>
          <w:rFonts w:ascii="Times New Roman" w:hAnsi="Times New Roman" w:cs="Times New Roman"/>
          <w:sz w:val="18"/>
          <w:szCs w:val="18"/>
        </w:rPr>
        <w:t>.</w:t>
      </w:r>
    </w:p>
    <w:p w14:paraId="7E1EFAF2" w14:textId="77777777" w:rsidR="00283C42" w:rsidRPr="00E32832" w:rsidRDefault="00EF3290" w:rsidP="00FB695A">
      <w:pPr>
        <w:pStyle w:val="Bibliography"/>
        <w:jc w:val="both"/>
        <w:rPr>
          <w:rFonts w:ascii="Times New Roman" w:hAnsi="Times New Roman" w:cs="Times New Roman"/>
          <w:sz w:val="20"/>
          <w:szCs w:val="20"/>
        </w:rPr>
      </w:pPr>
      <w:bookmarkStart w:id="141" w:name="ref-qi1994"/>
      <w:r>
        <w:rPr>
          <w:rFonts w:ascii="Times New Roman" w:hAnsi="Times New Roman" w:cs="Times New Roman"/>
          <w:sz w:val="20"/>
          <w:szCs w:val="20"/>
        </w:rPr>
        <w:t>Qi, Jiaguo, Abdelghani Chehbouni, Alfredo R. Huete, Yann H. Kerr, and Soroosh Sorooshian. 1994. “A Modified Soil Adjusted Vegetation Index.” Remote Sensing of Environment 48 (2): 119–26. https://doi.org/10.1016/0034-4257(94)90134-1</w:t>
      </w:r>
      <w:bookmarkEnd w:id="141"/>
    </w:p>
    <w:p w14:paraId="058E204F" w14:textId="77777777" w:rsidR="00DA00EE" w:rsidRPr="00E32832" w:rsidRDefault="00F84C4B" w:rsidP="00FB695A">
      <w:pPr>
        <w:pStyle w:val="Bibliography"/>
        <w:jc w:val="both"/>
        <w:rPr>
          <w:rFonts w:ascii="Times New Roman" w:hAnsi="Times New Roman" w:cs="Times New Roman"/>
          <w:sz w:val="18"/>
          <w:szCs w:val="18"/>
        </w:rPr>
      </w:pPr>
      <w:bookmarkStart w:id="142" w:name="ref-ramcharan2019"/>
      <w:bookmarkEnd w:id="140"/>
      <w:r>
        <w:rPr>
          <w:rFonts w:ascii="Times New Roman" w:hAnsi="Times New Roman" w:cs="Times New Roman"/>
          <w:sz w:val="18"/>
          <w:szCs w:val="18"/>
        </w:rPr>
        <w:t>Ramcharan, Amanda, Peter McCloskey, Kelsee Baranowski, Neema Mbilinyi, Latifa Mrisho, Mercy Ndalahwa, James Legg, and David P. Hughes. 2019. “A Mobile Based Deep Learning Model for Cassava Disease Diagnosis.” Frontiers in Plant Science 10: 272. https://doi.org/10.3389/fpls.2019.00272.</w:t>
      </w:r>
    </w:p>
    <w:p w14:paraId="387A3D0F" w14:textId="77777777" w:rsidR="00DA00EE" w:rsidRPr="00E32832" w:rsidRDefault="00F84C4B" w:rsidP="00FB695A">
      <w:pPr>
        <w:pStyle w:val="Bibliography"/>
        <w:jc w:val="both"/>
        <w:rPr>
          <w:rFonts w:ascii="Times New Roman" w:hAnsi="Times New Roman" w:cs="Times New Roman"/>
          <w:sz w:val="18"/>
          <w:szCs w:val="18"/>
        </w:rPr>
      </w:pPr>
      <w:bookmarkStart w:id="143" w:name="ref-reddy1996"/>
      <w:bookmarkEnd w:id="142"/>
      <w:r>
        <w:rPr>
          <w:rFonts w:ascii="Times New Roman" w:hAnsi="Times New Roman" w:cs="Times New Roman"/>
          <w:sz w:val="18"/>
          <w:szCs w:val="18"/>
        </w:rPr>
        <w:t>Reddy, B. Srinivasa, and B. N. Chatterji. 1996. “An FFT Based Technique for Translation, Rotation, and Scale Invariant Image Registration.” IEEE Transactions on Image Processing 5 (8): 1266–71. https://doi.org/10.1109/83.506761</w:t>
      </w:r>
    </w:p>
    <w:p w14:paraId="4485316E" w14:textId="77777777" w:rsidR="00DA00EE" w:rsidRPr="00E32832" w:rsidRDefault="00F84C4B" w:rsidP="00FB695A">
      <w:pPr>
        <w:pStyle w:val="Bibliography"/>
        <w:jc w:val="both"/>
        <w:rPr>
          <w:rFonts w:ascii="Times New Roman" w:hAnsi="Times New Roman" w:cs="Times New Roman"/>
          <w:sz w:val="18"/>
          <w:szCs w:val="18"/>
        </w:rPr>
      </w:pPr>
      <w:bookmarkStart w:id="144" w:name="ref-ren2015"/>
      <w:bookmarkEnd w:id="143"/>
      <w:r>
        <w:rPr>
          <w:rFonts w:ascii="Times New Roman" w:hAnsi="Times New Roman" w:cs="Times New Roman"/>
          <w:sz w:val="18"/>
          <w:szCs w:val="18"/>
        </w:rPr>
        <w:t>Ren, Shaoqing, Kaiming He, Ross Girshick, and Jian Sun. 2015. “Faster R CNN: Towards Real Time Object Detection with Region Proposal Networks.” In Advances in Neural Information Processing Systems (NeurIPS). Vol. 28. https://doi.org/10.48550/arXiv.1506.01497.</w:t>
      </w:r>
    </w:p>
    <w:p w14:paraId="44C61FA7" w14:textId="77777777" w:rsidR="00DA00EE" w:rsidRPr="00E32832" w:rsidRDefault="00F84C4B" w:rsidP="00FB695A">
      <w:pPr>
        <w:pStyle w:val="Bibliography"/>
        <w:jc w:val="both"/>
        <w:rPr>
          <w:rFonts w:ascii="Times New Roman" w:hAnsi="Times New Roman" w:cs="Times New Roman"/>
          <w:sz w:val="18"/>
          <w:szCs w:val="18"/>
        </w:rPr>
      </w:pPr>
      <w:bookmarkStart w:id="145" w:name="ref-ribeiro2016"/>
      <w:bookmarkEnd w:id="144"/>
      <w:r>
        <w:rPr>
          <w:rFonts w:ascii="Times New Roman" w:hAnsi="Times New Roman" w:cs="Times New Roman"/>
          <w:sz w:val="18"/>
          <w:szCs w:val="18"/>
          <w:lang w:val="pt-BR"/>
        </w:rPr>
        <w:t xml:space="preserve">Ribeiro, Marco Tulio, Sameer Singh, and Carlos Guestrin. </w:t>
      </w:r>
      <w:r>
        <w:rPr>
          <w:rFonts w:ascii="Times New Roman" w:hAnsi="Times New Roman" w:cs="Times New Roman"/>
          <w:sz w:val="18"/>
          <w:szCs w:val="18"/>
        </w:rPr>
        <w:t xml:space="preserve">2016. “"Why Should I Trust You?": Explaining the Predictions of Any Classifier.” In Proceedings of the 22nd ACM SIGKDD International Conference on Knowledge Discovery and Data Mining, 1135–44. </w:t>
      </w:r>
      <w:hyperlink r:id="rId38">
        <w:r>
          <w:rPr>
            <w:rStyle w:val="Hyperlink"/>
            <w:rFonts w:ascii="Times New Roman" w:hAnsi="Times New Roman" w:cs="Times New Roman"/>
            <w:sz w:val="18"/>
            <w:szCs w:val="18"/>
          </w:rPr>
          <w:t>https://doi.org/10.1145/2939672.2939778</w:t>
        </w:r>
      </w:hyperlink>
      <w:r>
        <w:rPr>
          <w:rFonts w:ascii="Times New Roman" w:hAnsi="Times New Roman" w:cs="Times New Roman"/>
          <w:sz w:val="18"/>
          <w:szCs w:val="18"/>
        </w:rPr>
        <w:t>.</w:t>
      </w:r>
    </w:p>
    <w:p w14:paraId="7FB92993" w14:textId="77777777" w:rsidR="00283C42" w:rsidRPr="00E32832" w:rsidRDefault="00EF3290" w:rsidP="00FB695A">
      <w:pPr>
        <w:pStyle w:val="Bibliography"/>
        <w:jc w:val="both"/>
        <w:rPr>
          <w:rFonts w:ascii="Times New Roman" w:hAnsi="Times New Roman" w:cs="Times New Roman"/>
          <w:sz w:val="20"/>
          <w:szCs w:val="20"/>
        </w:rPr>
      </w:pPr>
      <w:bookmarkStart w:id="146" w:name="ref-rondeaux1996"/>
      <w:r>
        <w:rPr>
          <w:rFonts w:ascii="Times New Roman" w:hAnsi="Times New Roman" w:cs="Times New Roman"/>
          <w:sz w:val="20"/>
          <w:szCs w:val="20"/>
        </w:rPr>
        <w:t>Rondeaux, Geneviève, Michael Steven, and Frédéric Baret. 1996. “Optimization of Soil-Adjusted Vegetation Indices.” Remote Sensing of Environment 55 (2): 95–107. https://doi.org/10.1016/0034-4257(95)00186-7</w:t>
      </w:r>
      <w:bookmarkEnd w:id="146"/>
    </w:p>
    <w:p w14:paraId="7D7CD96B" w14:textId="77777777" w:rsidR="00283C42" w:rsidRPr="00E32832" w:rsidRDefault="00EF3290" w:rsidP="00FB695A">
      <w:pPr>
        <w:pStyle w:val="Bibliography"/>
        <w:jc w:val="both"/>
        <w:rPr>
          <w:rFonts w:ascii="Times New Roman" w:hAnsi="Times New Roman" w:cs="Times New Roman"/>
          <w:sz w:val="20"/>
          <w:szCs w:val="20"/>
        </w:rPr>
      </w:pPr>
      <w:bookmarkStart w:id="147" w:name="ref-rouse1974"/>
      <w:r>
        <w:rPr>
          <w:rFonts w:ascii="Times New Roman" w:hAnsi="Times New Roman" w:cs="Times New Roman"/>
          <w:sz w:val="20"/>
          <w:szCs w:val="20"/>
        </w:rPr>
        <w:t>Rouse, J. W., R. H. Haas, J. A. Schell, and D. W. Deering. 1974. “Monitoring Vegetation Systems in the Great Plains with ERTS.” In Third Earth Resources Technology Satellite-1 Symposium. NASA SP-351. Washington, DC: NASA, 309–17.</w:t>
      </w:r>
      <w:bookmarkEnd w:id="147"/>
    </w:p>
    <w:p w14:paraId="39ADE92A" w14:textId="77777777" w:rsidR="00DA00EE" w:rsidRPr="00E32832" w:rsidRDefault="00F84C4B" w:rsidP="00FB695A">
      <w:pPr>
        <w:pStyle w:val="Bibliography"/>
        <w:jc w:val="both"/>
        <w:rPr>
          <w:rFonts w:ascii="Times New Roman" w:hAnsi="Times New Roman" w:cs="Times New Roman"/>
          <w:sz w:val="18"/>
          <w:szCs w:val="18"/>
        </w:rPr>
      </w:pPr>
      <w:bookmarkStart w:id="148" w:name="ref-rousseeuw1987"/>
      <w:bookmarkEnd w:id="145"/>
      <w:r>
        <w:rPr>
          <w:rFonts w:ascii="Times New Roman" w:hAnsi="Times New Roman" w:cs="Times New Roman"/>
          <w:sz w:val="18"/>
          <w:szCs w:val="18"/>
        </w:rPr>
        <w:t xml:space="preserve">Rousseeuw, Peter J. 1987. “Silhouettes: A Graphical Aid to the Interpretation and Validation of Cluster Analysis.” Journal of Computational and Applied Mathematics 20: 53–65. </w:t>
      </w:r>
      <w:hyperlink r:id="rId39">
        <w:r>
          <w:rPr>
            <w:rStyle w:val="Hyperlink"/>
            <w:rFonts w:ascii="Times New Roman" w:hAnsi="Times New Roman" w:cs="Times New Roman"/>
            <w:sz w:val="18"/>
            <w:szCs w:val="18"/>
          </w:rPr>
          <w:t>https://doi.org/10.1016/0377 0427(87)90125 7</w:t>
        </w:r>
      </w:hyperlink>
      <w:r>
        <w:rPr>
          <w:rFonts w:ascii="Times New Roman" w:hAnsi="Times New Roman" w:cs="Times New Roman"/>
          <w:sz w:val="18"/>
          <w:szCs w:val="18"/>
        </w:rPr>
        <w:t>.</w:t>
      </w:r>
    </w:p>
    <w:p w14:paraId="5FD6BD82" w14:textId="77777777" w:rsidR="00DA00EE" w:rsidRPr="00E32832" w:rsidRDefault="00F84C4B" w:rsidP="00FB695A">
      <w:pPr>
        <w:pStyle w:val="Bibliography"/>
        <w:jc w:val="both"/>
        <w:rPr>
          <w:rFonts w:ascii="Times New Roman" w:hAnsi="Times New Roman" w:cs="Times New Roman"/>
          <w:sz w:val="18"/>
          <w:szCs w:val="18"/>
        </w:rPr>
      </w:pPr>
      <w:bookmarkStart w:id="149" w:name="ref-savary2019"/>
      <w:bookmarkEnd w:id="148"/>
      <w:r>
        <w:rPr>
          <w:rFonts w:ascii="Times New Roman" w:hAnsi="Times New Roman" w:cs="Times New Roman"/>
          <w:sz w:val="18"/>
          <w:szCs w:val="18"/>
        </w:rPr>
        <w:t>Savary, Serge, Laetitia Willocquet, Sarah Jane Pethybridge, Paul Esker, Neil McRoberts, and Andy Nelson. 2019. “The Global Burden of Pathogens and Pests on Major Food Crops.” Nature Ecology &amp; Evolution 3 (3): 430–39. https://doi.org/10.1038/s41559 018 0793 y.</w:t>
      </w:r>
    </w:p>
    <w:p w14:paraId="4C31087B" w14:textId="77777777" w:rsidR="00DA00EE" w:rsidRPr="00E32832" w:rsidRDefault="00F84C4B" w:rsidP="00FB695A">
      <w:pPr>
        <w:pStyle w:val="Bibliography"/>
        <w:jc w:val="both"/>
        <w:rPr>
          <w:rFonts w:ascii="Times New Roman" w:hAnsi="Times New Roman" w:cs="Times New Roman"/>
          <w:sz w:val="18"/>
          <w:szCs w:val="18"/>
        </w:rPr>
      </w:pPr>
      <w:bookmarkStart w:id="150" w:name="ref-selvaraju2017"/>
      <w:bookmarkEnd w:id="149"/>
      <w:r>
        <w:rPr>
          <w:rFonts w:ascii="Times New Roman" w:hAnsi="Times New Roman" w:cs="Times New Roman"/>
          <w:sz w:val="18"/>
          <w:szCs w:val="18"/>
        </w:rPr>
        <w:t xml:space="preserve">Selvaraju, Ramprasaath R., Michael Cogswell, Abhishek Das, Ramakrishna Vedantam, Devi Parikh, and Dhruv Batra. 2017. “Grad CAM: Visual Explanations from Deep Networks via Gradient Based Localization.” In IEEE International Conference on Computer Vision (ICCV), 618–26. </w:t>
      </w:r>
      <w:hyperlink r:id="rId40">
        <w:r>
          <w:rPr>
            <w:rStyle w:val="Hyperlink"/>
            <w:rFonts w:ascii="Times New Roman" w:hAnsi="Times New Roman" w:cs="Times New Roman"/>
            <w:sz w:val="18"/>
            <w:szCs w:val="18"/>
          </w:rPr>
          <w:t>https://doi.org/10.1109/ICCV.2017.74</w:t>
        </w:r>
      </w:hyperlink>
      <w:r>
        <w:rPr>
          <w:rFonts w:ascii="Times New Roman" w:hAnsi="Times New Roman" w:cs="Times New Roman"/>
          <w:sz w:val="18"/>
          <w:szCs w:val="18"/>
        </w:rPr>
        <w:t>.</w:t>
      </w:r>
    </w:p>
    <w:p w14:paraId="101F31E0" w14:textId="77777777" w:rsidR="00DA00EE" w:rsidRPr="00E32832" w:rsidRDefault="00F84C4B" w:rsidP="00FB695A">
      <w:pPr>
        <w:pStyle w:val="Bibliography"/>
        <w:jc w:val="both"/>
        <w:rPr>
          <w:rFonts w:ascii="Times New Roman" w:hAnsi="Times New Roman" w:cs="Times New Roman"/>
          <w:sz w:val="18"/>
          <w:szCs w:val="18"/>
        </w:rPr>
      </w:pPr>
      <w:bookmarkStart w:id="151" w:name="ref-skendzic2021"/>
      <w:bookmarkEnd w:id="150"/>
      <w:r>
        <w:rPr>
          <w:rFonts w:ascii="Times New Roman" w:hAnsi="Times New Roman" w:cs="Times New Roman"/>
          <w:sz w:val="18"/>
          <w:szCs w:val="18"/>
        </w:rPr>
        <w:t>Skendžić, Sandra, Monika Zovko, Ivana Pajac Živković, Vinko Lešić, and Darija Lemić. 2021. “The Impact of Climate Change on Agricultural Insect Pests.” Insects 12 (5): 440. https://doi.org/10.3390/insects12050440.</w:t>
      </w:r>
    </w:p>
    <w:p w14:paraId="5499D900" w14:textId="77777777" w:rsidR="00200887" w:rsidRPr="00E32832" w:rsidRDefault="00EF3290" w:rsidP="00FB695A">
      <w:pPr>
        <w:pStyle w:val="Bibliography"/>
        <w:jc w:val="both"/>
        <w:rPr>
          <w:rFonts w:ascii="Times New Roman" w:hAnsi="Times New Roman" w:cs="Times New Roman"/>
          <w:sz w:val="18"/>
          <w:szCs w:val="18"/>
        </w:rPr>
      </w:pPr>
      <w:bookmarkStart w:id="152" w:name="ref-sobelfeldman1968"/>
      <w:bookmarkEnd w:id="152"/>
      <w:r>
        <w:rPr>
          <w:rFonts w:ascii="Times New Roman" w:hAnsi="Times New Roman" w:cs="Times New Roman"/>
          <w:sz w:val="18"/>
          <w:szCs w:val="18"/>
        </w:rPr>
        <w:t>Sobel, Irwin, and Gary Feldman. 1968. “A 3x3 Isotropic Gradient Operator for Image Processing.” Presented at the Stanford Artificial Intelligence Project (SAIL). \[No DOI (unpublished conference presentation)\]</w:t>
      </w:r>
    </w:p>
    <w:p w14:paraId="17C91407" w14:textId="77777777" w:rsidR="00DA00EE" w:rsidRPr="00E32832" w:rsidRDefault="00F84C4B" w:rsidP="00FB695A">
      <w:pPr>
        <w:pStyle w:val="Bibliography"/>
        <w:jc w:val="both"/>
        <w:rPr>
          <w:rFonts w:ascii="Times New Roman" w:hAnsi="Times New Roman" w:cs="Times New Roman"/>
          <w:sz w:val="18"/>
          <w:szCs w:val="18"/>
        </w:rPr>
      </w:pPr>
      <w:bookmarkStart w:id="153" w:name="ref-stone1974"/>
      <w:bookmarkEnd w:id="151"/>
      <w:r>
        <w:rPr>
          <w:rFonts w:ascii="Times New Roman" w:hAnsi="Times New Roman" w:cs="Times New Roman"/>
          <w:sz w:val="18"/>
          <w:szCs w:val="18"/>
        </w:rPr>
        <w:t xml:space="preserve">Stone, Mervyn. 1974. “Cross Validatory Choice and Assessment of Statistical Predictions.” Journal of the Royal Statistical Society: Series B (Methodological) 36 (2): 111–33. </w:t>
      </w:r>
      <w:hyperlink r:id="rId41">
        <w:r>
          <w:rPr>
            <w:rStyle w:val="Hyperlink"/>
            <w:rFonts w:ascii="Times New Roman" w:hAnsi="Times New Roman" w:cs="Times New Roman"/>
            <w:sz w:val="18"/>
            <w:szCs w:val="18"/>
          </w:rPr>
          <w:t>https://doi.org/10.1111/j.2517 6161.1974.tb00994.x</w:t>
        </w:r>
      </w:hyperlink>
      <w:r>
        <w:rPr>
          <w:rFonts w:ascii="Times New Roman" w:hAnsi="Times New Roman" w:cs="Times New Roman"/>
          <w:sz w:val="18"/>
          <w:szCs w:val="18"/>
        </w:rPr>
        <w:t>.</w:t>
      </w:r>
    </w:p>
    <w:p w14:paraId="1812061F" w14:textId="77777777" w:rsidR="00DA00EE" w:rsidRPr="00E32832" w:rsidRDefault="00F84C4B" w:rsidP="00FB695A">
      <w:pPr>
        <w:pStyle w:val="Bibliography"/>
        <w:jc w:val="both"/>
        <w:rPr>
          <w:rFonts w:ascii="Times New Roman" w:hAnsi="Times New Roman" w:cs="Times New Roman"/>
          <w:sz w:val="18"/>
          <w:szCs w:val="18"/>
        </w:rPr>
      </w:pPr>
      <w:bookmarkStart w:id="154" w:name="ref-strobl2007"/>
      <w:bookmarkEnd w:id="153"/>
      <w:r>
        <w:rPr>
          <w:rFonts w:ascii="Times New Roman" w:hAnsi="Times New Roman" w:cs="Times New Roman"/>
          <w:sz w:val="18"/>
          <w:szCs w:val="18"/>
        </w:rPr>
        <w:t xml:space="preserve">Strobl, Carolin, Anne Laure Boulesteix, Achim Zeileis, and Torsten Hothorn. 2007. “Bias in Random Forest Variable Importance Measures: Illustrations, Sources and a Solution.” BMC Bioinformatics 8: 25. </w:t>
      </w:r>
      <w:hyperlink r:id="rId42">
        <w:r>
          <w:rPr>
            <w:rStyle w:val="Hyperlink"/>
            <w:rFonts w:ascii="Times New Roman" w:hAnsi="Times New Roman" w:cs="Times New Roman"/>
            <w:sz w:val="18"/>
            <w:szCs w:val="18"/>
          </w:rPr>
          <w:t>https://doi.org/10.1186/1471 2105 8 25</w:t>
        </w:r>
      </w:hyperlink>
      <w:r>
        <w:rPr>
          <w:rFonts w:ascii="Times New Roman" w:hAnsi="Times New Roman" w:cs="Times New Roman"/>
          <w:sz w:val="18"/>
          <w:szCs w:val="18"/>
        </w:rPr>
        <w:t>.</w:t>
      </w:r>
    </w:p>
    <w:p w14:paraId="068181DF" w14:textId="77777777" w:rsidR="00DA00EE" w:rsidRPr="00E32832" w:rsidRDefault="00F84C4B" w:rsidP="00FB695A">
      <w:pPr>
        <w:pStyle w:val="Bibliography"/>
        <w:jc w:val="both"/>
        <w:rPr>
          <w:rFonts w:ascii="Times New Roman" w:hAnsi="Times New Roman" w:cs="Times New Roman"/>
          <w:sz w:val="18"/>
          <w:szCs w:val="18"/>
        </w:rPr>
      </w:pPr>
      <w:bookmarkStart w:id="155" w:name="ref-wan2019"/>
      <w:bookmarkEnd w:id="154"/>
      <w:r>
        <w:rPr>
          <w:rFonts w:ascii="Times New Roman" w:hAnsi="Times New Roman" w:cs="Times New Roman"/>
          <w:sz w:val="18"/>
          <w:szCs w:val="18"/>
        </w:rPr>
        <w:t>Wan, Xiaqing, Chunhui Wang, and Sheng Li. 2019. “The Extension of Phase Correlation to Image Perspective Distortions Based on Particle Swarm Optimization.” Sensors 19 (14): 3117. https://doi.org/10.3390/s19143117</w:t>
      </w:r>
    </w:p>
    <w:p w14:paraId="315FFABD" w14:textId="77777777" w:rsidR="00DA00EE" w:rsidRPr="00E32832" w:rsidRDefault="00F84C4B" w:rsidP="00FB695A">
      <w:pPr>
        <w:pStyle w:val="Bibliography"/>
        <w:jc w:val="both"/>
        <w:rPr>
          <w:rFonts w:ascii="Times New Roman" w:hAnsi="Times New Roman" w:cs="Times New Roman"/>
          <w:sz w:val="18"/>
          <w:szCs w:val="18"/>
        </w:rPr>
      </w:pPr>
      <w:bookmarkStart w:id="156" w:name="ref-welford1962"/>
      <w:bookmarkEnd w:id="155"/>
      <w:r>
        <w:rPr>
          <w:rFonts w:ascii="Times New Roman" w:hAnsi="Times New Roman" w:cs="Times New Roman"/>
          <w:sz w:val="18"/>
          <w:szCs w:val="18"/>
        </w:rPr>
        <w:t xml:space="preserve">Welford, B. P. 1962. “Note on a Method for Calculating Corrected Sums of Squares and Products.” Technometrics 4 (3): 419–20. </w:t>
      </w:r>
      <w:hyperlink r:id="rId43">
        <w:r>
          <w:rPr>
            <w:rStyle w:val="Hyperlink"/>
            <w:rFonts w:ascii="Times New Roman" w:hAnsi="Times New Roman" w:cs="Times New Roman"/>
            <w:sz w:val="18"/>
            <w:szCs w:val="18"/>
          </w:rPr>
          <w:t>https://doi.org/10.1080/00401706.1962.10490022</w:t>
        </w:r>
      </w:hyperlink>
      <w:r>
        <w:rPr>
          <w:rFonts w:ascii="Times New Roman" w:hAnsi="Times New Roman" w:cs="Times New Roman"/>
          <w:sz w:val="18"/>
          <w:szCs w:val="18"/>
        </w:rPr>
        <w:t>.</w:t>
      </w:r>
    </w:p>
    <w:p w14:paraId="4A22FD60" w14:textId="77777777" w:rsidR="00DA00EE" w:rsidRPr="00E32832" w:rsidRDefault="00F84C4B" w:rsidP="00FB695A">
      <w:pPr>
        <w:pStyle w:val="Bibliography"/>
        <w:jc w:val="both"/>
        <w:rPr>
          <w:rFonts w:ascii="Times New Roman" w:hAnsi="Times New Roman" w:cs="Times New Roman"/>
          <w:sz w:val="18"/>
          <w:szCs w:val="18"/>
        </w:rPr>
      </w:pPr>
      <w:bookmarkStart w:id="157" w:name="ref-zhou2021"/>
      <w:bookmarkEnd w:id="156"/>
      <w:r>
        <w:rPr>
          <w:rFonts w:ascii="Times New Roman" w:hAnsi="Times New Roman" w:cs="Times New Roman"/>
          <w:sz w:val="18"/>
          <w:szCs w:val="18"/>
        </w:rPr>
        <w:t>Zhou, Kaiyang, Ziwei Liu, Yu Qiao, Tao Xiang, and Chen Change Loy. 2021. “Domain Generalization: A Survey.” arXiv Preprint arXiv:2103.02503. https://doi.org/10.48550/arXiv.2103.02503.</w:t>
      </w:r>
    </w:p>
    <w:p w14:paraId="2D26B0DD" w14:textId="77777777" w:rsidR="00200887" w:rsidRPr="00E32832" w:rsidRDefault="00EF3290" w:rsidP="00FB695A">
      <w:pPr>
        <w:pStyle w:val="Bibliography"/>
        <w:jc w:val="both"/>
        <w:rPr>
          <w:rFonts w:ascii="Times New Roman" w:hAnsi="Times New Roman" w:cs="Times New Roman"/>
          <w:sz w:val="18"/>
          <w:szCs w:val="18"/>
        </w:rPr>
      </w:pPr>
      <w:bookmarkStart w:id="158" w:name="ref-gorodkin2004"/>
      <w:bookmarkEnd w:id="158"/>
      <w:r>
        <w:rPr>
          <w:rFonts w:ascii="Times New Roman" w:hAnsi="Times New Roman" w:cs="Times New Roman"/>
          <w:sz w:val="18"/>
          <w:szCs w:val="18"/>
        </w:rPr>
        <w:t>Gorodkin, Jan. 2004. “Comparing Two K-Category Assignments by a K-Category Correlation Coefficient.” – Computational Biology and Chemistry 28 (5–6): 367–74. https://doi.org/10.1016/j.compbiolchem.2004.09.006</w:t>
      </w:r>
    </w:p>
    <w:p w14:paraId="405BDC49" w14:textId="77777777" w:rsidR="00200887" w:rsidRPr="00E32832" w:rsidRDefault="00EF3290" w:rsidP="00FB695A">
      <w:pPr>
        <w:pStyle w:val="Bibliography"/>
        <w:jc w:val="both"/>
        <w:rPr>
          <w:rFonts w:ascii="Times New Roman" w:hAnsi="Times New Roman" w:cs="Times New Roman"/>
          <w:sz w:val="18"/>
          <w:szCs w:val="18"/>
        </w:rPr>
      </w:pPr>
      <w:bookmarkStart w:id="159" w:name="ref-jaccard1912"/>
      <w:bookmarkEnd w:id="159"/>
      <w:r>
        <w:rPr>
          <w:rFonts w:ascii="Times New Roman" w:hAnsi="Times New Roman" w:cs="Times New Roman"/>
          <w:sz w:val="18"/>
          <w:szCs w:val="18"/>
        </w:rPr>
        <w:t>Jaccard, Paul. 1912. “The Distribution of the Flora in the Alpine Zone.” New Phytologist 11 (2): 37–50. https://doi.org/10.1111/j.1469-8137.1912.tb05611.x</w:t>
      </w:r>
    </w:p>
    <w:p w14:paraId="1F1EB9BC" w14:textId="77777777" w:rsidR="00200887" w:rsidRPr="00E32832" w:rsidRDefault="00EF3290" w:rsidP="00FB695A">
      <w:pPr>
        <w:pStyle w:val="Bibliography"/>
        <w:jc w:val="both"/>
        <w:rPr>
          <w:rFonts w:ascii="Times New Roman" w:hAnsi="Times New Roman" w:cs="Times New Roman"/>
          <w:sz w:val="18"/>
          <w:szCs w:val="18"/>
        </w:rPr>
      </w:pPr>
      <w:bookmarkStart w:id="160" w:name="ref-vandenoord2018"/>
      <w:bookmarkEnd w:id="160"/>
      <w:r>
        <w:rPr>
          <w:rFonts w:ascii="Times New Roman" w:hAnsi="Times New Roman" w:cs="Times New Roman"/>
          <w:sz w:val="18"/>
          <w:szCs w:val="18"/>
        </w:rPr>
        <w:lastRenderedPageBreak/>
        <w:t>van den Oord, Aaron, Yazhe Li, and Oriol Vinyals. 2018. “Representation Learning with Contrastive Predictive Coding.” arXiv Preprint arXiv:1807.03748. https://doi.org/10.48550/arXiv.1807.03748</w:t>
      </w:r>
    </w:p>
    <w:p w14:paraId="3B5F281D" w14:textId="77777777" w:rsidR="00DA00EE" w:rsidRPr="00E32832" w:rsidRDefault="00F84C4B" w:rsidP="00FB695A">
      <w:pPr>
        <w:pStyle w:val="Bibliography"/>
        <w:jc w:val="both"/>
        <w:rPr>
          <w:rFonts w:ascii="Times New Roman" w:hAnsi="Times New Roman" w:cs="Times New Roman"/>
          <w:sz w:val="18"/>
          <w:szCs w:val="18"/>
        </w:rPr>
      </w:pPr>
      <w:bookmarkStart w:id="161" w:name="ref-zolin2025"/>
      <w:bookmarkEnd w:id="157"/>
      <w:r>
        <w:rPr>
          <w:rFonts w:ascii="Times New Roman" w:hAnsi="Times New Roman" w:cs="Times New Roman"/>
          <w:sz w:val="18"/>
          <w:szCs w:val="18"/>
        </w:rPr>
        <w:t>Zolin, Yuriy, Alyona Popova, Lyubov Yudina, Kseniya Grebneva, Karina Abasheva, Vladimir Sukhov, and Ekaterina Sukhova. 2025. “RGB Indices Can Be Used to Estimate NDVI, PRI, and Fv/Fm in Wheat and Pea Plants Under Soil Drought and Salinization.” Plants 14 (9): 1284. https://doi.org/10.3390/plants14091284</w:t>
      </w:r>
      <w:bookmarkEnd w:id="161"/>
    </w:p>
    <w:sectPr w:rsidR="00DA00EE" w:rsidRPr="00E32832">
      <w:type w:val="continuous"/>
      <w:pgSz w:w="11906" w:h="16838"/>
      <w:pgMar w:top="1440" w:right="1080" w:bottom="1440" w:left="108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83D8" w14:textId="77777777" w:rsidR="0092519A" w:rsidRDefault="0092519A">
      <w:pPr>
        <w:spacing w:after="0"/>
      </w:pPr>
      <w:r>
        <w:separator/>
      </w:r>
    </w:p>
  </w:endnote>
  <w:endnote w:type="continuationSeparator" w:id="0">
    <w:p w14:paraId="6E812E32" w14:textId="77777777" w:rsidR="0092519A" w:rsidRDefault="009251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5201960"/>
      <w:docPartObj>
        <w:docPartGallery w:val="Page Numbers (Bottom of Page)"/>
        <w:docPartUnique/>
      </w:docPartObj>
    </w:sdtPr>
    <w:sdtEndPr>
      <w:rPr>
        <w:noProof/>
      </w:rPr>
    </w:sdtEndPr>
    <w:sdtContent>
      <w:p w14:paraId="431B827A" w14:textId="47BBF4DC" w:rsidR="00057FE4" w:rsidRDefault="00057FE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6C9EB4" w14:textId="77777777" w:rsidR="00057FE4" w:rsidRDefault="00057F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B8819" w14:textId="77777777" w:rsidR="0092519A" w:rsidRDefault="0092519A">
      <w:r>
        <w:separator/>
      </w:r>
    </w:p>
  </w:footnote>
  <w:footnote w:type="continuationSeparator" w:id="0">
    <w:p w14:paraId="305DD74C" w14:textId="77777777" w:rsidR="0092519A" w:rsidRDefault="00925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52D3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032E638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26634554">
    <w:abstractNumId w:val="0"/>
  </w:num>
  <w:num w:numId="2" w16cid:durableId="2466142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812603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215718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7900824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0EE"/>
    <w:rsid w:val="00017908"/>
    <w:rsid w:val="00022534"/>
    <w:rsid w:val="00052047"/>
    <w:rsid w:val="00057FE4"/>
    <w:rsid w:val="00094F39"/>
    <w:rsid w:val="000F55A5"/>
    <w:rsid w:val="00103811"/>
    <w:rsid w:val="00170333"/>
    <w:rsid w:val="001E7588"/>
    <w:rsid w:val="001F0ABA"/>
    <w:rsid w:val="00200887"/>
    <w:rsid w:val="00204C51"/>
    <w:rsid w:val="00264C27"/>
    <w:rsid w:val="0027311F"/>
    <w:rsid w:val="00283C42"/>
    <w:rsid w:val="002D206F"/>
    <w:rsid w:val="002D4FEE"/>
    <w:rsid w:val="002E5052"/>
    <w:rsid w:val="00310333"/>
    <w:rsid w:val="00313797"/>
    <w:rsid w:val="0036780D"/>
    <w:rsid w:val="00386AB4"/>
    <w:rsid w:val="003C2396"/>
    <w:rsid w:val="003E1B08"/>
    <w:rsid w:val="00402ECC"/>
    <w:rsid w:val="00483FDE"/>
    <w:rsid w:val="004E732A"/>
    <w:rsid w:val="00513A67"/>
    <w:rsid w:val="005404D8"/>
    <w:rsid w:val="00561835"/>
    <w:rsid w:val="00565624"/>
    <w:rsid w:val="00572809"/>
    <w:rsid w:val="0058322D"/>
    <w:rsid w:val="005D7725"/>
    <w:rsid w:val="00634C5F"/>
    <w:rsid w:val="00655E52"/>
    <w:rsid w:val="00655F78"/>
    <w:rsid w:val="006A33E9"/>
    <w:rsid w:val="006F29E1"/>
    <w:rsid w:val="00711D1D"/>
    <w:rsid w:val="00732EE1"/>
    <w:rsid w:val="00775EB7"/>
    <w:rsid w:val="007A7251"/>
    <w:rsid w:val="007C4378"/>
    <w:rsid w:val="007D28CC"/>
    <w:rsid w:val="008101A3"/>
    <w:rsid w:val="008351A6"/>
    <w:rsid w:val="00877156"/>
    <w:rsid w:val="008D4F2B"/>
    <w:rsid w:val="0090171E"/>
    <w:rsid w:val="0092519A"/>
    <w:rsid w:val="00951634"/>
    <w:rsid w:val="009B79EB"/>
    <w:rsid w:val="00A861EC"/>
    <w:rsid w:val="00A9639A"/>
    <w:rsid w:val="00AF3675"/>
    <w:rsid w:val="00BA5D5D"/>
    <w:rsid w:val="00BC4D55"/>
    <w:rsid w:val="00BC51EB"/>
    <w:rsid w:val="00BE7BE7"/>
    <w:rsid w:val="00C116A4"/>
    <w:rsid w:val="00C33AFD"/>
    <w:rsid w:val="00C60A0B"/>
    <w:rsid w:val="00C9486A"/>
    <w:rsid w:val="00CA0C56"/>
    <w:rsid w:val="00CE7B87"/>
    <w:rsid w:val="00DA00EE"/>
    <w:rsid w:val="00DF60FE"/>
    <w:rsid w:val="00E21B7D"/>
    <w:rsid w:val="00E32832"/>
    <w:rsid w:val="00E5184D"/>
    <w:rsid w:val="00E60533"/>
    <w:rsid w:val="00E76284"/>
    <w:rsid w:val="00E8414F"/>
    <w:rsid w:val="00EF3290"/>
    <w:rsid w:val="00F01427"/>
    <w:rsid w:val="00F1268D"/>
    <w:rsid w:val="00F505FF"/>
    <w:rsid w:val="00F52FF6"/>
    <w:rsid w:val="00F84C4B"/>
    <w:rsid w:val="00F85587"/>
    <w:rsid w:val="00FB695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9A84F"/>
  <w15:docId w15:val="{417479AC-A2E7-47F3-BA25-0A7D33051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2" w:uiPriority="39"/>
    <w:lsdException w:name="toc 3"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BA5D5D"/>
    <w:pPr>
      <w:spacing w:after="100"/>
      <w:ind w:left="240"/>
    </w:pPr>
  </w:style>
  <w:style w:type="paragraph" w:styleId="TOC3">
    <w:name w:val="toc 3"/>
    <w:basedOn w:val="Normal"/>
    <w:next w:val="Normal"/>
    <w:autoRedefine/>
    <w:uiPriority w:val="39"/>
    <w:rsid w:val="00BA5D5D"/>
    <w:pPr>
      <w:spacing w:after="100"/>
      <w:ind w:left="480"/>
    </w:pPr>
  </w:style>
  <w:style w:type="character" w:styleId="UnresolvedMention">
    <w:name w:val="Unresolved Mention"/>
    <w:basedOn w:val="DefaultParagraphFont"/>
    <w:uiPriority w:val="99"/>
    <w:semiHidden/>
    <w:unhideWhenUsed/>
    <w:rsid w:val="00F52FF6"/>
    <w:rPr>
      <w:color w:val="605E5C"/>
      <w:shd w:val="clear" w:color="auto" w:fill="E1DFDD"/>
    </w:rPr>
  </w:style>
  <w:style w:type="paragraph" w:styleId="Header">
    <w:name w:val="header"/>
    <w:basedOn w:val="Normal"/>
    <w:link w:val="HeaderChar"/>
    <w:rsid w:val="00057FE4"/>
    <w:pPr>
      <w:tabs>
        <w:tab w:val="center" w:pos="4680"/>
        <w:tab w:val="right" w:pos="9360"/>
      </w:tabs>
      <w:spacing w:after="0"/>
    </w:pPr>
  </w:style>
  <w:style w:type="character" w:customStyle="1" w:styleId="HeaderChar">
    <w:name w:val="Header Char"/>
    <w:basedOn w:val="DefaultParagraphFont"/>
    <w:link w:val="Header"/>
    <w:rsid w:val="00057FE4"/>
  </w:style>
  <w:style w:type="paragraph" w:styleId="Footer">
    <w:name w:val="footer"/>
    <w:basedOn w:val="Normal"/>
    <w:link w:val="FooterChar"/>
    <w:uiPriority w:val="99"/>
    <w:rsid w:val="00057FE4"/>
    <w:pPr>
      <w:tabs>
        <w:tab w:val="center" w:pos="4680"/>
        <w:tab w:val="right" w:pos="9360"/>
      </w:tabs>
      <w:spacing w:after="0"/>
    </w:pPr>
  </w:style>
  <w:style w:type="character" w:customStyle="1" w:styleId="FooterChar">
    <w:name w:val="Footer Char"/>
    <w:basedOn w:val="DefaultParagraphFont"/>
    <w:link w:val="Footer"/>
    <w:uiPriority w:val="99"/>
    <w:rsid w:val="00057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177/001316446002000104" TargetMode="External"/><Relationship Id="rId39" Type="http://schemas.openxmlformats.org/officeDocument/2006/relationships/hyperlink" Target="https://doi.org/10.1016/0377-0427(87)90125-7" TargetMode="External"/><Relationship Id="rId21" Type="http://schemas.openxmlformats.org/officeDocument/2006/relationships/image" Target="media/image11.png"/><Relationship Id="rId34" Type="http://schemas.openxmlformats.org/officeDocument/2006/relationships/hyperlink" Target="https://doi.org/10.1007/978-3-319-10602-1_48" TargetMode="External"/><Relationship Id="rId42" Type="http://schemas.openxmlformats.org/officeDocument/2006/relationships/hyperlink" Target="https://doi.org/10.1186/1471-2105-8-25"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1109/TPAMI.1979.476690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doi.org/10.1080/03610927408827101" TargetMode="External"/><Relationship Id="rId32" Type="http://schemas.openxmlformats.org/officeDocument/2006/relationships/hyperlink" Target="https://doi.org/10.1109/CVPR.2016.90" TargetMode="External"/><Relationship Id="rId37" Type="http://schemas.openxmlformats.org/officeDocument/2006/relationships/hyperlink" Target="https://doi.org/10.1080/14786440109462720" TargetMode="External"/><Relationship Id="rId40" Type="http://schemas.openxmlformats.org/officeDocument/2006/relationships/hyperlink" Target="https://doi.org/10.1109/ICCV.2017.74"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1023/A:1010933404324" TargetMode="External"/><Relationship Id="rId28" Type="http://schemas.openxmlformats.org/officeDocument/2006/relationships/hyperlink" Target="https://doi.org/10.1109/TIT.1967.1053964" TargetMode="External"/><Relationship Id="rId36" Type="http://schemas.openxmlformats.org/officeDocument/2006/relationships/hyperlink" Target="https://doi.org/10.1109/TSMC.1979.4310076" TargetMode="External"/><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hyperlink" Target="https://doi.org/10.1214/aos/1013203451"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alilunaziru73@gmail.com"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oi.org/10.1007/BF00994018" TargetMode="External"/><Relationship Id="rId30" Type="http://schemas.openxmlformats.org/officeDocument/2006/relationships/hyperlink" Target="https://doi.org/10.1109/CVPR.2009.5206848" TargetMode="External"/><Relationship Id="rId35" Type="http://schemas.openxmlformats.org/officeDocument/2006/relationships/hyperlink" Target="https://doi.org/10.1016/0005-2795(75)90109-9" TargetMode="External"/><Relationship Id="rId43" Type="http://schemas.openxmlformats.org/officeDocument/2006/relationships/hyperlink" Target="https://doi.org/10.1080/00401706.1962.10490022" TargetMode="External"/><Relationship Id="rId8" Type="http://schemas.openxmlformats.org/officeDocument/2006/relationships/hyperlink" Target="halilu.175366@e.unavarra.es"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medium.com/@a.cervantes2012/interpreting-and-validating-clustering-results-with-k-means-e98227183a4d" TargetMode="External"/><Relationship Id="rId33" Type="http://schemas.openxmlformats.org/officeDocument/2006/relationships/hyperlink" Target="https://doi.org/10.1037/h0071325" TargetMode="External"/><Relationship Id="rId38" Type="http://schemas.openxmlformats.org/officeDocument/2006/relationships/hyperlink" Target="https://doi.org/10.1145/2939672.2939778" TargetMode="External"/><Relationship Id="rId20" Type="http://schemas.openxmlformats.org/officeDocument/2006/relationships/image" Target="media/image10.png"/><Relationship Id="rId41" Type="http://schemas.openxmlformats.org/officeDocument/2006/relationships/hyperlink" Target="https://doi.org/10.1111/j.2517-6161.1974.tb00994.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0C5A2-3CF0-4011-84A0-DCA0A2397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32</Pages>
  <Words>20347</Words>
  <Characters>115978</Characters>
  <Application>Microsoft Office Word</Application>
  <DocSecurity>0</DocSecurity>
  <Lines>966</Lines>
  <Paragraphs>272</Paragraphs>
  <ScaleCrop>false</ScaleCrop>
  <Company/>
  <LinksUpToDate>false</LinksUpToDate>
  <CharactersWithSpaces>136053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HomePC</dc:creator>
  <cp:keywords/>
  <cp:lastModifiedBy>Naziru Halilu</cp:lastModifiedBy>
  <cp:revision>44</cp:revision>
  <dcterms:created xsi:type="dcterms:W3CDTF">2026-07-12T14:53:00Z</dcterms:created>
  <dcterms:modified xsi:type="dcterms:W3CDTF">2026-07-31T10:26:00Z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csl">
    <vt:lpwstr>/usr/share/pandoc/data/default.csl</vt:lpwstr>
  </property>
  <property fmtid="{D5CDD505-2E9C-101B-9397-08002B2CF9AE}" pid="4" name="link-citations">
    <vt:lpwstr>True</vt:lpwstr>
  </property>
  <property fmtid="{D5CDD505-2E9C-101B-9397-08002B2CF9AE}" pid="5" name="GrammarlyDocumentId">
    <vt:lpwstr>2e2cc9ad-ae28-496e-bae9-f11cee766975</vt:lpwstr>
  </property>
</Properties>
</file>