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rPr>
      </w:pPr>
      <w:r>
        <w:rPr>
          <w:rFonts w:hint="default" w:ascii="Times New Roman" w:hAnsi="Times New Roman" w:cs="Times New Roman"/>
          <w:sz w:val="28"/>
          <w:szCs w:val="28"/>
        </w:rPr>
        <w:t xml:space="preserve">TUGAS LAPORAN KEBINEKAAN </w:t>
      </w:r>
      <w:r>
        <w:rPr>
          <w:rFonts w:hint="default" w:ascii="Times New Roman" w:hAnsi="Times New Roman" w:cs="Times New Roman"/>
          <w:sz w:val="28"/>
          <w:szCs w:val="28"/>
          <w:lang w:val="en-US"/>
        </w:rPr>
        <w:t>10</w:t>
      </w:r>
      <w:r>
        <w:rPr>
          <w:rFonts w:hint="default" w:ascii="Times New Roman" w:hAnsi="Times New Roman" w:cs="Times New Roman"/>
          <w:sz w:val="28"/>
          <w:szCs w:val="28"/>
        </w:rPr>
        <w:t xml:space="preserve"> </w:t>
      </w:r>
    </w:p>
    <w:p>
      <w:pPr>
        <w:jc w:val="center"/>
        <w:rPr>
          <w:rFonts w:hint="default" w:ascii="Times New Roman" w:hAnsi="Times New Roman" w:cs="Times New Roman"/>
          <w:sz w:val="28"/>
          <w:szCs w:val="28"/>
        </w:rPr>
      </w:pPr>
      <w:r>
        <w:rPr>
          <w:rFonts w:hint="default" w:ascii="Times New Roman" w:hAnsi="Times New Roman" w:cs="Times New Roman"/>
          <w:sz w:val="28"/>
          <w:szCs w:val="28"/>
        </w:rPr>
        <w:t>KUNJUNGAN ONLINE KE TEMPAT IBADAH</w:t>
      </w: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ind w:left="168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Dibuat Oleh :</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Nama</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Muhamad Faisal Halim</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NIM</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19.240.0163</w:t>
      </w:r>
      <w:r>
        <w:rPr>
          <w:rFonts w:hint="default" w:ascii="Times New Roman" w:hAnsi="Times New Roman" w:cs="Times New Roman"/>
          <w:sz w:val="24"/>
          <w:szCs w:val="24"/>
        </w:rPr>
        <w:br w:type="textWrapping"/>
      </w:r>
      <w:r>
        <w:rPr>
          <w:rFonts w:hint="default" w:ascii="Times New Roman" w:hAnsi="Times New Roman" w:cs="Times New Roman"/>
          <w:sz w:val="24"/>
          <w:szCs w:val="24"/>
        </w:rPr>
        <w:tab/>
      </w:r>
      <w:r>
        <w:rPr>
          <w:rFonts w:hint="default" w:ascii="Times New Roman" w:hAnsi="Times New Roman" w:cs="Times New Roman"/>
          <w:sz w:val="24"/>
          <w:szCs w:val="24"/>
        </w:rPr>
        <w:t>Mata Kuliah</w:t>
      </w:r>
      <w:r>
        <w:rPr>
          <w:rFonts w:hint="default" w:ascii="Times New Roman" w:hAnsi="Times New Roman" w:cs="Times New Roman"/>
          <w:sz w:val="24"/>
          <w:szCs w:val="24"/>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 Module Nusantara</w:t>
      </w:r>
    </w:p>
    <w:p>
      <w:pPr>
        <w:ind w:left="2100" w:leftChars="0" w:firstLine="420" w:firstLineChars="0"/>
        <w:jc w:val="left"/>
        <w:rPr>
          <w:rFonts w:hint="default" w:ascii="Times New Roman" w:hAnsi="Times New Roman" w:cs="Times New Roman"/>
          <w:sz w:val="24"/>
          <w:szCs w:val="24"/>
        </w:rPr>
      </w:pPr>
    </w:p>
    <w:p>
      <w:pPr>
        <w:ind w:left="2100" w:leftChars="0" w:firstLine="420" w:firstLineChars="0"/>
        <w:jc w:val="left"/>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Mahasiswa Pertukaran Mahasiswa.</w:t>
      </w:r>
    </w:p>
    <w:p>
      <w:pPr>
        <w:ind w:firstLine="420" w:firstLineChars="0"/>
        <w:jc w:val="center"/>
        <w:rPr>
          <w:rFonts w:hint="default" w:ascii="Times New Roman" w:hAnsi="Times New Roman" w:cs="Times New Roman"/>
          <w:b/>
          <w:bCs/>
          <w:sz w:val="22"/>
          <w:szCs w:val="22"/>
        </w:rPr>
      </w:pPr>
      <w:r>
        <w:rPr>
          <w:rFonts w:hint="default" w:ascii="Times New Roman" w:hAnsi="Times New Roman" w:cs="Times New Roman"/>
          <w:b/>
          <w:bCs/>
          <w:sz w:val="22"/>
          <w:szCs w:val="22"/>
        </w:rPr>
        <w:t>Universitas Muhammadiyah Kalimantan Timur</w:t>
      </w:r>
    </w:p>
    <w:p>
      <w:pPr>
        <w:jc w:val="center"/>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STMIK Widya Pratama Pekalongan</w:t>
      </w:r>
    </w:p>
    <w:p>
      <w:pPr>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br w:type="page"/>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2059" w:type="dxa"/>
            <w:vAlign w:val="center"/>
          </w:tcPr>
          <w:p>
            <w:pPr>
              <w:widowControl w:val="0"/>
              <w:jc w:val="left"/>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Nama kegiatan</w:t>
            </w:r>
          </w:p>
        </w:tc>
        <w:tc>
          <w:tcPr>
            <w:tcW w:w="6463" w:type="dxa"/>
            <w:vAlign w:val="center"/>
          </w:tcPr>
          <w:p>
            <w:pPr>
              <w:keepNext w:val="0"/>
              <w:keepLines w:val="0"/>
              <w:widowControl/>
              <w:suppressLineNumbers w:val="0"/>
              <w:jc w:val="left"/>
              <w:rPr>
                <w:rFonts w:hint="default" w:ascii="Times New Roman" w:hAnsi="Times New Roman" w:cs="Times New Roman"/>
                <w:b w:val="0"/>
                <w:bCs w:val="0"/>
                <w:sz w:val="22"/>
                <w:szCs w:val="22"/>
                <w:vertAlign w:val="baseline"/>
              </w:rPr>
            </w:pPr>
            <w:r>
              <w:rPr>
                <w:rFonts w:hint="default" w:ascii="Times New Roman"/>
                <w:sz w:val="22"/>
                <w:szCs w:val="22"/>
                <w:lang w:eastAsia="zh-CN"/>
              </w:rPr>
              <w:t>Kunjungan Museum Kayu Tenggarong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2059" w:type="dxa"/>
            <w:vAlign w:val="center"/>
          </w:tcPr>
          <w:p>
            <w:pPr>
              <w:widowControl w:val="0"/>
              <w:jc w:val="left"/>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Tujuan kegiatan</w:t>
            </w:r>
          </w:p>
        </w:tc>
        <w:tc>
          <w:tcPr>
            <w:tcW w:w="6463" w:type="dxa"/>
            <w:vAlign w:val="center"/>
          </w:tcPr>
          <w:p>
            <w:pPr>
              <w:widowControl w:val="0"/>
              <w:jc w:val="both"/>
              <w:rPr>
                <w:rFonts w:hint="default" w:ascii="Times New Roman" w:hAnsi="Times New Roman" w:cs="Times New Roman"/>
                <w:b w:val="0"/>
                <w:bCs w:val="0"/>
                <w:sz w:val="22"/>
                <w:szCs w:val="22"/>
                <w:vertAlign w:val="baseline"/>
              </w:rPr>
            </w:pPr>
            <w:r>
              <w:rPr>
                <w:rFonts w:hint="default" w:ascii="Times New Roman" w:hAnsi="Times New Roman"/>
                <w:b w:val="0"/>
                <w:bCs w:val="0"/>
                <w:sz w:val="22"/>
                <w:szCs w:val="22"/>
                <w:vertAlign w:val="baseline"/>
              </w:rPr>
              <w:t>Mengenal Alam dan Kearifannya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059" w:type="dxa"/>
            <w:vAlign w:val="center"/>
          </w:tcPr>
          <w:p>
            <w:pPr>
              <w:widowControl w:val="0"/>
              <w:jc w:val="left"/>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Tanggal kegiatan</w:t>
            </w:r>
          </w:p>
        </w:tc>
        <w:tc>
          <w:tcPr>
            <w:tcW w:w="6463" w:type="dxa"/>
            <w:vAlign w:val="center"/>
          </w:tcPr>
          <w:p>
            <w:pPr>
              <w:widowControl w:val="0"/>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lang w:val="en-US"/>
              </w:rPr>
              <w:t>06</w:t>
            </w:r>
            <w:r>
              <w:rPr>
                <w:rFonts w:hint="default" w:ascii="Times New Roman" w:hAnsi="Times New Roman" w:cs="Times New Roman"/>
                <w:b w:val="0"/>
                <w:bCs w:val="0"/>
                <w:sz w:val="22"/>
                <w:szCs w:val="22"/>
                <w:vertAlign w:val="baseline"/>
              </w:rPr>
              <w:t xml:space="preserve"> / 1</w:t>
            </w:r>
            <w:r>
              <w:rPr>
                <w:rFonts w:hint="default" w:ascii="Times New Roman" w:hAnsi="Times New Roman" w:cs="Times New Roman"/>
                <w:b w:val="0"/>
                <w:bCs w:val="0"/>
                <w:sz w:val="22"/>
                <w:szCs w:val="22"/>
                <w:vertAlign w:val="baseline"/>
                <w:lang w:val="en-US"/>
              </w:rPr>
              <w:t>1</w:t>
            </w:r>
            <w:r>
              <w:rPr>
                <w:rFonts w:hint="default" w:ascii="Times New Roman" w:hAnsi="Times New Roman" w:cs="Times New Roman"/>
                <w:b w:val="0"/>
                <w:bCs w:val="0"/>
                <w:sz w:val="22"/>
                <w:szCs w:val="22"/>
                <w:vertAlign w:val="baseline"/>
              </w:rPr>
              <w:t xml:space="preserve"> / 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059" w:type="dxa"/>
            <w:vAlign w:val="center"/>
          </w:tcPr>
          <w:p>
            <w:pPr>
              <w:widowControl w:val="0"/>
              <w:jc w:val="left"/>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Tempat</w:t>
            </w:r>
          </w:p>
        </w:tc>
        <w:tc>
          <w:tcPr>
            <w:tcW w:w="6463" w:type="dxa"/>
            <w:vAlign w:val="center"/>
          </w:tcPr>
          <w:p>
            <w:pPr>
              <w:widowControl w:val="0"/>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Daring (Google Meet)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5" w:hRule="atLeast"/>
        </w:trPr>
        <w:tc>
          <w:tcPr>
            <w:tcW w:w="2059" w:type="dxa"/>
            <w:vAlign w:val="center"/>
          </w:tcPr>
          <w:p>
            <w:pPr>
              <w:widowControl w:val="0"/>
              <w:jc w:val="left"/>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Deskripsi singkat hasil pelaksanaan kegiatan</w:t>
            </w:r>
          </w:p>
        </w:tc>
        <w:tc>
          <w:tcPr>
            <w:tcW w:w="6463" w:type="dxa"/>
            <w:vAlign w:val="center"/>
          </w:tcPr>
          <w:p>
            <w:pPr>
              <w:widowControl w:val="0"/>
              <w:numPr>
                <w:ilvl w:val="0"/>
                <w:numId w:val="1"/>
              </w:numPr>
              <w:ind w:left="420" w:leftChars="0" w:hanging="420" w:firstLineChars="0"/>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Mahasiswa melakukan pengamatan melalui vidoe converence dan video youtube yang disediakan</w:t>
            </w:r>
            <w:r>
              <w:rPr>
                <w:rFonts w:hint="default" w:ascii="Times New Roman" w:hAnsi="Times New Roman" w:cs="Times New Roman"/>
                <w:b w:val="0"/>
                <w:bCs w:val="0"/>
                <w:sz w:val="22"/>
                <w:szCs w:val="22"/>
                <w:vertAlign w:val="baseline"/>
                <w:lang w:val="en-US"/>
              </w:rPr>
              <w:t>. Serta berbagai foto menarik dari tempat yang dituju.</w:t>
            </w:r>
          </w:p>
          <w:p>
            <w:pPr>
              <w:widowControl w:val="0"/>
              <w:numPr>
                <w:ilvl w:val="0"/>
                <w:numId w:val="1"/>
              </w:numPr>
              <w:ind w:left="420" w:leftChars="0" w:hanging="420" w:firstLineChars="0"/>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 xml:space="preserve">Dosen pembimbing melakukan penjelasaa module, diskusi serta tanya jawab terkait module ini.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6" w:hRule="atLeast"/>
        </w:trPr>
        <w:tc>
          <w:tcPr>
            <w:tcW w:w="2059" w:type="dxa"/>
            <w:vAlign w:val="center"/>
          </w:tcPr>
          <w:p>
            <w:pPr>
              <w:widowControl w:val="0"/>
              <w:jc w:val="left"/>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Tempat dan tindak lanjut</w:t>
            </w:r>
          </w:p>
        </w:tc>
        <w:tc>
          <w:tcPr>
            <w:tcW w:w="6463" w:type="dxa"/>
            <w:vAlign w:val="center"/>
          </w:tcPr>
          <w:p>
            <w:pPr>
              <w:widowControl w:val="0"/>
              <w:numPr>
                <w:ilvl w:val="0"/>
                <w:numId w:val="1"/>
              </w:numPr>
              <w:ind w:left="420" w:leftChars="0" w:hanging="420" w:firstLineChars="0"/>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Kegiatan dilakukan secara daring, oleh karena itu dengan gambaran lebih lanjut berupa video sangat di perlukkan untuk menambahkan wawasan lebih.</w:t>
            </w:r>
          </w:p>
          <w:p>
            <w:pPr>
              <w:widowControl w:val="0"/>
              <w:numPr>
                <w:ilvl w:val="0"/>
                <w:numId w:val="1"/>
              </w:numPr>
              <w:ind w:left="420" w:leftChars="0" w:hanging="420" w:firstLineChars="0"/>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 xml:space="preserve">Moderator aktif, </w:t>
            </w:r>
            <w:r>
              <w:rPr>
                <w:rFonts w:hint="default" w:ascii="Times New Roman" w:hAnsi="Times New Roman" w:cs="Times New Roman"/>
                <w:b w:val="0"/>
                <w:bCs w:val="0"/>
                <w:sz w:val="22"/>
                <w:szCs w:val="22"/>
                <w:vertAlign w:val="baseline"/>
                <w:lang w:val="en-US"/>
              </w:rPr>
              <w:t xml:space="preserve">dan proses </w:t>
            </w:r>
            <w:r>
              <w:rPr>
                <w:rFonts w:hint="default" w:ascii="Times New Roman" w:hAnsi="Times New Roman" w:cs="Times New Roman"/>
                <w:b w:val="0"/>
                <w:bCs w:val="0"/>
                <w:sz w:val="22"/>
                <w:szCs w:val="22"/>
                <w:vertAlign w:val="baseline"/>
              </w:rPr>
              <w:t>pembelajaran bisa berjalan menarik.</w:t>
            </w:r>
          </w:p>
          <w:p>
            <w:pPr>
              <w:widowControl w:val="0"/>
              <w:numPr>
                <w:ilvl w:val="0"/>
                <w:numId w:val="1"/>
              </w:numPr>
              <w:ind w:left="420" w:leftChars="0" w:hanging="420" w:firstLineChars="0"/>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Peserta juga aktif dalam kegiatan pembelajaran.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5" w:hRule="atLeast"/>
        </w:trPr>
        <w:tc>
          <w:tcPr>
            <w:tcW w:w="2059" w:type="dxa"/>
            <w:vAlign w:val="center"/>
          </w:tcPr>
          <w:p>
            <w:pPr>
              <w:widowControl w:val="0"/>
              <w:jc w:val="left"/>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Kesan pesan</w:t>
            </w:r>
          </w:p>
        </w:tc>
        <w:tc>
          <w:tcPr>
            <w:tcW w:w="6463" w:type="dxa"/>
            <w:vAlign w:val="center"/>
          </w:tcPr>
          <w:p>
            <w:pPr>
              <w:widowControl w:val="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Pem</w:t>
            </w:r>
            <w:r>
              <w:rPr>
                <w:rFonts w:hint="default" w:ascii="Times New Roman" w:hAnsi="Times New Roman" w:cs="Times New Roman"/>
                <w:b w:val="0"/>
                <w:bCs w:val="0"/>
                <w:sz w:val="22"/>
                <w:szCs w:val="22"/>
                <w:vertAlign w:val="baseline"/>
              </w:rPr>
              <w:t>b</w:t>
            </w:r>
            <w:r>
              <w:rPr>
                <w:rFonts w:hint="default" w:ascii="Times New Roman" w:hAnsi="Times New Roman" w:cs="Times New Roman"/>
                <w:b w:val="0"/>
                <w:bCs w:val="0"/>
                <w:sz w:val="22"/>
                <w:szCs w:val="22"/>
                <w:vertAlign w:val="baseline"/>
                <w:lang w:val="en-US"/>
              </w:rPr>
              <w:t xml:space="preserve">elajaran daring secara keseluruhan sangat </w:t>
            </w:r>
            <w:r>
              <w:rPr>
                <w:rFonts w:hint="default" w:ascii="Times New Roman" w:hAnsi="Times New Roman" w:cs="Times New Roman"/>
                <w:b w:val="0"/>
                <w:bCs w:val="0"/>
                <w:sz w:val="22"/>
                <w:szCs w:val="22"/>
                <w:vertAlign w:val="baseline"/>
              </w:rPr>
              <w:t>menarik</w:t>
            </w:r>
            <w:r>
              <w:rPr>
                <w:rFonts w:hint="default" w:ascii="Times New Roman" w:hAnsi="Times New Roman" w:cs="Times New Roman"/>
                <w:b w:val="0"/>
                <w:bCs w:val="0"/>
                <w:sz w:val="22"/>
                <w:szCs w:val="22"/>
                <w:vertAlign w:val="baseline"/>
                <w:lang w:val="en-US"/>
              </w:rPr>
              <w:t>, dilengkapi dengan video converence dan video pengenalan dari youtube cukup membantu memberikan pemahaman yang jauh lebih efektif daripada hanya disuruh membanca secara mandiri. Kita juga diberikan referensi mengenai hal lai yang searah dengan pembahasannya.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8" w:hRule="atLeast"/>
        </w:trPr>
        <w:tc>
          <w:tcPr>
            <w:tcW w:w="2059" w:type="dxa"/>
            <w:vAlign w:val="center"/>
          </w:tcPr>
          <w:p>
            <w:pPr>
              <w:widowControl w:val="0"/>
              <w:jc w:val="left"/>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2"/>
                <w:szCs w:val="22"/>
                <w:vertAlign w:val="baseline"/>
              </w:rPr>
              <w:t>Lampiran</w:t>
            </w:r>
          </w:p>
        </w:tc>
        <w:tc>
          <w:tcPr>
            <w:tcW w:w="6463" w:type="dxa"/>
            <w:vAlign w:val="center"/>
          </w:tcPr>
          <w:p>
            <w:pPr>
              <w:widowControl w:val="0"/>
              <w:jc w:val="center"/>
              <w:rPr>
                <w:rFonts w:hint="default" w:ascii="Times New Roman" w:hAnsi="Times New Roman" w:cs="Times New Roman"/>
                <w:b w:val="0"/>
                <w:bCs w:val="0"/>
                <w:color w:val="auto"/>
                <w:sz w:val="21"/>
                <w:szCs w:val="21"/>
                <w:vertAlign w:val="baseline"/>
                <w:lang w:val="en-US"/>
                <w14:textFill>
                  <w14:gradFill>
                    <w14:gsLst>
                      <w14:gs w14:pos="0">
                        <w14:srgbClr w14:val="FE4444"/>
                      </w14:gs>
                      <w14:gs w14:pos="100000">
                        <w14:srgbClr w14:val="832B2B"/>
                      </w14:gs>
                    </w14:gsLst>
                    <w14:lin w14:scaled="0"/>
                  </w14:gradFill>
                </w14:textFill>
              </w:rPr>
            </w:pPr>
            <w:r>
              <w:rPr>
                <w:rFonts w:hint="default" w:ascii="Times New Roman" w:hAnsi="Times New Roman" w:cs="Times New Roman"/>
                <w:b w:val="0"/>
                <w:bCs w:val="0"/>
                <w:color w:val="auto"/>
                <w:sz w:val="21"/>
                <w:szCs w:val="21"/>
                <w:vertAlign w:val="baseline"/>
                <w14:textFill>
                  <w14:gradFill>
                    <w14:gsLst>
                      <w14:gs w14:pos="0">
                        <w14:srgbClr w14:val="FE4444"/>
                      </w14:gs>
                      <w14:gs w14:pos="100000">
                        <w14:srgbClr w14:val="832B2B"/>
                      </w14:gs>
                    </w14:gsLst>
                    <w14:lin w14:scaled="0"/>
                  </w14:gradFill>
                </w14:textFill>
              </w:rPr>
              <w:drawing>
                <wp:inline distT="0" distB="0" distL="114300" distR="114300">
                  <wp:extent cx="3955415" cy="2223770"/>
                  <wp:effectExtent l="0" t="0" r="6985" b="5080"/>
                  <wp:docPr id="1" name="Picture 1" descr="061121 - kebinekaa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61121 - kebinekaan 10"/>
                          <pic:cNvPicPr>
                            <a:picLocks noChangeAspect="1"/>
                          </pic:cNvPicPr>
                        </pic:nvPicPr>
                        <pic:blipFill>
                          <a:blip r:embed="rId4"/>
                          <a:stretch>
                            <a:fillRect/>
                          </a:stretch>
                        </pic:blipFill>
                        <pic:spPr>
                          <a:xfrm>
                            <a:off x="0" y="0"/>
                            <a:ext cx="3955415" cy="2223770"/>
                          </a:xfrm>
                          <a:prstGeom prst="rect">
                            <a:avLst/>
                          </a:prstGeom>
                        </pic:spPr>
                      </pic:pic>
                    </a:graphicData>
                  </a:graphic>
                </wp:inline>
              </w:drawing>
            </w:r>
            <w:r>
              <w:rPr>
                <w:rFonts w:hint="default" w:ascii="Times New Roman" w:hAnsi="Times New Roman" w:cs="Times New Roman"/>
                <w:b w:val="0"/>
                <w:bCs w:val="0"/>
                <w:color w:val="auto"/>
                <w:sz w:val="21"/>
                <w:szCs w:val="21"/>
                <w:vertAlign w:val="baseline"/>
                <w14:textFill>
                  <w14:gradFill>
                    <w14:gsLst>
                      <w14:gs w14:pos="0">
                        <w14:srgbClr w14:val="FE4444"/>
                      </w14:gs>
                      <w14:gs w14:pos="100000">
                        <w14:srgbClr w14:val="832B2B"/>
                      </w14:gs>
                    </w14:gsLst>
                    <w14:lin w14:scaled="0"/>
                  </w14:gradFill>
                </w14:textFill>
              </w:rPr>
              <w:t xml:space="preserve">    </w:t>
            </w:r>
          </w:p>
        </w:tc>
      </w:tr>
    </w:tbl>
    <w:p>
      <w:pPr>
        <w:jc w:val="both"/>
        <w:rPr>
          <w:rFonts w:hint="default" w:ascii="Times New Roman" w:hAnsi="Times New Roman" w:cs="Times New Roman"/>
          <w:b w:val="0"/>
          <w:bCs w:val="0"/>
          <w:sz w:val="22"/>
          <w:szCs w:val="22"/>
        </w:rPr>
      </w:pPr>
    </w:p>
    <w:p>
      <w:pPr>
        <w:jc w:val="both"/>
        <w:rPr>
          <w:rFonts w:hint="default" w:ascii="Times New Roman" w:hAnsi="Times New Roman" w:cs="Times New Roman"/>
          <w:b w:val="0"/>
          <w:bCs w:val="0"/>
          <w:sz w:val="22"/>
          <w:szCs w:val="22"/>
        </w:rPr>
      </w:pPr>
    </w:p>
    <w:p>
      <w:pPr>
        <w:jc w:val="both"/>
        <w:rPr>
          <w:rFonts w:hint="default" w:ascii="Times New Roman" w:hAnsi="Times New Roman"/>
          <w:b w:val="0"/>
          <w:bCs w:val="0"/>
          <w:sz w:val="22"/>
          <w:szCs w:val="22"/>
          <w:lang w:val="en-US"/>
        </w:rPr>
      </w:pPr>
    </w:p>
    <w:p>
      <w:p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Museum Kayu Tenggarong atau museum Kayu Tuah Himba, Nama tersebut juga diambil dari nama semboyan yang berbunyi Tuah Himba Untung Langgong, yang berartikan menjaga dan melestarikan kekayaan alam atau hutan, Sesuai dengan namanya sebagai museum kayu, bangunan museum ini terbuat dari bahan dasar kayu dengan rupa bangunan berbentuk rumah panggung khas Kalimantan.</w:t>
      </w:r>
    </w:p>
    <w:p>
      <w:pPr>
        <w:ind w:firstLine="420" w:firstLineChars="0"/>
        <w:jc w:val="both"/>
        <w:rPr>
          <w:rFonts w:hint="default" w:ascii="Times New Roman" w:hAnsi="Times New Roman"/>
          <w:b w:val="0"/>
          <w:bCs w:val="0"/>
          <w:sz w:val="22"/>
          <w:szCs w:val="22"/>
          <w:lang w:val="en-US"/>
        </w:rPr>
      </w:pPr>
    </w:p>
    <w:p>
      <w:p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Museum ini tidak diperuntukan untuk menyimpan barang-barang sejarah belanda atau sejarah daerah kalimantan timur atau lainnya. Museum ini memang diperuntukan untuk menyimpan sesuatu yg mungkin bisa digunakan untuk masa yang akan datang ketika ada sesuatu yang tidak kita inginkan, misal kepunahan suatu pohon tertentu.</w:t>
      </w:r>
    </w:p>
    <w:p>
      <w:pPr>
        <w:ind w:firstLine="420" w:firstLineChars="0"/>
        <w:jc w:val="both"/>
        <w:rPr>
          <w:rFonts w:hint="default" w:ascii="Times New Roman" w:hAnsi="Times New Roman"/>
          <w:b w:val="0"/>
          <w:bCs w:val="0"/>
          <w:sz w:val="22"/>
          <w:szCs w:val="22"/>
          <w:lang w:val="en-US"/>
        </w:rPr>
      </w:pPr>
    </w:p>
    <w:p>
      <w:p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Dalam Museum ini terdapat banyak koleksi sebagai berikut</w:t>
      </w:r>
    </w:p>
    <w:p>
      <w:pPr>
        <w:ind w:firstLine="420" w:firstLineChars="0"/>
        <w:jc w:val="both"/>
        <w:rPr>
          <w:rFonts w:hint="default" w:ascii="Times New Roman" w:hAnsi="Times New Roman"/>
          <w:b w:val="0"/>
          <w:bCs w:val="0"/>
          <w:sz w:val="10"/>
          <w:szCs w:val="10"/>
          <w:lang w:val="en-US"/>
        </w:rPr>
      </w:pPr>
    </w:p>
    <w:p>
      <w:pPr>
        <w:numPr>
          <w:ilvl w:val="0"/>
          <w:numId w:val="2"/>
        </w:num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Kerajinan Kutai Dari Rotan</w:t>
      </w:r>
    </w:p>
    <w:p>
      <w:pPr>
        <w:numPr>
          <w:ilvl w:val="0"/>
          <w:numId w:val="2"/>
        </w:num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Kerajinan Dayak</w:t>
      </w:r>
    </w:p>
    <w:p>
      <w:pPr>
        <w:numPr>
          <w:ilvl w:val="0"/>
          <w:numId w:val="2"/>
        </w:num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Miniatur Rumah Khas Dayak</w:t>
      </w:r>
    </w:p>
    <w:p>
      <w:pPr>
        <w:numPr>
          <w:ilvl w:val="0"/>
          <w:numId w:val="2"/>
        </w:num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Jenis Dan Koleksi Kayu</w:t>
      </w:r>
    </w:p>
    <w:p>
      <w:pPr>
        <w:numPr>
          <w:ilvl w:val="0"/>
          <w:numId w:val="2"/>
        </w:num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Koleksi dan jenis dedaunan</w:t>
      </w:r>
    </w:p>
    <w:p>
      <w:pPr>
        <w:numPr>
          <w:ilvl w:val="0"/>
          <w:numId w:val="2"/>
        </w:num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Koleksi Biji-Bijian</w:t>
      </w:r>
    </w:p>
    <w:p>
      <w:pPr>
        <w:numPr>
          <w:ilvl w:val="0"/>
          <w:numId w:val="2"/>
        </w:num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Buaya Muara</w:t>
      </w:r>
    </w:p>
    <w:p>
      <w:pPr>
        <w:numPr>
          <w:ilvl w:val="0"/>
          <w:numId w:val="2"/>
        </w:numPr>
        <w:ind w:firstLine="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Kepiting Pemakan Sari Kelapa, dll</w:t>
      </w:r>
    </w:p>
    <w:p>
      <w:pPr>
        <w:numPr>
          <w:numId w:val="0"/>
        </w:numPr>
        <w:jc w:val="both"/>
        <w:rPr>
          <w:rFonts w:hint="default" w:ascii="Times New Roman" w:hAnsi="Times New Roman"/>
          <w:b w:val="0"/>
          <w:bCs w:val="0"/>
          <w:sz w:val="22"/>
          <w:szCs w:val="22"/>
          <w:lang w:val="en-US"/>
        </w:rPr>
      </w:pPr>
    </w:p>
    <w:p>
      <w:pPr>
        <w:ind w:firstLine="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rPr>
        <w:t>Sejarah Museum Kayu Tenggarong ini berdiri dilatarbelakangi oleh kekhawatiran musnahnya jenis-jenis kayu yang ada di Kalimantan karena penebangan hutan sehingga generasi penerus tidak mengenali berbagai jenis kayu asli pulau Kalimantan ini. Bangunan dari museum ini berdiri pada tahun 1990-an dan diresmikan secara simbolis pada 1991.</w:t>
      </w:r>
      <w:r>
        <w:rPr>
          <w:rFonts w:hint="default" w:ascii="Times New Roman" w:hAnsi="Times New Roman" w:cs="Times New Roman"/>
          <w:sz w:val="22"/>
          <w:szCs w:val="22"/>
          <w:lang w:val="en-US"/>
        </w:rPr>
        <w:t xml:space="preserve"> </w:t>
      </w:r>
      <w:r>
        <w:rPr>
          <w:rFonts w:hint="default" w:ascii="Times New Roman" w:hAnsi="Times New Roman" w:eastAsia="Helvetica" w:cs="Times New Roman"/>
          <w:i w:val="0"/>
          <w:iCs w:val="0"/>
          <w:caps w:val="0"/>
          <w:color w:val="161616"/>
          <w:spacing w:val="0"/>
          <w:sz w:val="22"/>
          <w:szCs w:val="22"/>
          <w:shd w:val="clear" w:fill="FFFFFF"/>
        </w:rPr>
        <w:t>Tujuan dari dibangunnya museum ini juga untuk memperkenalkan kekayaan hutan kepada masyarakat yang diharapkan bisa menumbuhkan kesadaran dan kecintaan untuk melestarikan alam serta menjaganya</w:t>
      </w:r>
    </w:p>
    <w:p>
      <w:pPr>
        <w:numPr>
          <w:numId w:val="0"/>
        </w:numPr>
        <w:jc w:val="both"/>
        <w:rPr>
          <w:rFonts w:hint="default" w:ascii="Times New Roman" w:hAnsi="Times New Roman"/>
          <w:b w:val="0"/>
          <w:bCs w:val="0"/>
          <w:sz w:val="22"/>
          <w:szCs w:val="22"/>
          <w:lang w:val="en-US"/>
        </w:rPr>
      </w:pPr>
    </w:p>
    <w:p>
      <w:pPr>
        <w:numPr>
          <w:numId w:val="0"/>
        </w:numPr>
        <w:jc w:val="both"/>
        <w:rPr>
          <w:rFonts w:hint="default" w:ascii="Times New Roman" w:hAnsi="Times New Roman"/>
          <w:b w:val="0"/>
          <w:bCs w:val="0"/>
          <w:sz w:val="22"/>
          <w:szCs w:val="22"/>
          <w:lang w:val="en-US"/>
        </w:rPr>
      </w:pPr>
    </w:p>
    <w:p>
      <w:pPr>
        <w:numPr>
          <w:numId w:val="0"/>
        </w:numPr>
        <w:jc w:val="both"/>
        <w:rPr>
          <w:rFonts w:hint="default" w:ascii="Times New Roman" w:hAnsi="Times New Roman"/>
          <w:b w:val="0"/>
          <w:bCs w:val="0"/>
          <w:sz w:val="22"/>
          <w:szCs w:val="22"/>
          <w:lang w:val="en-US"/>
        </w:rPr>
      </w:pPr>
    </w:p>
    <w:p>
      <w:pPr>
        <w:numPr>
          <w:numId w:val="0"/>
        </w:numPr>
        <w:jc w:val="both"/>
        <w:rPr>
          <w:rFonts w:hint="default" w:ascii="Times New Roman" w:hAnsi="Times New Roman"/>
          <w:b w:val="0"/>
          <w:bCs w:val="0"/>
          <w:sz w:val="22"/>
          <w:szCs w:val="22"/>
          <w:lang w:val="en-US"/>
        </w:rPr>
      </w:pPr>
      <w:bookmarkStart w:id="0" w:name="_GoBack"/>
      <w:r>
        <w:rPr>
          <w:rFonts w:hint="default" w:ascii="Times New Roman" w:hAnsi="Times New Roman"/>
          <w:b w:val="0"/>
          <w:bCs w:val="0"/>
          <w:sz w:val="22"/>
          <w:szCs w:val="22"/>
          <w:lang w:val="en-US"/>
        </w:rPr>
        <w:t>Museum Di Tempat Saya ( Pekalongan )</w:t>
      </w:r>
    </w:p>
    <w:p>
      <w:pPr>
        <w:numPr>
          <w:numId w:val="0"/>
        </w:numPr>
        <w:jc w:val="both"/>
        <w:rPr>
          <w:rFonts w:hint="default" w:ascii="Times New Roman" w:hAnsi="Times New Roman"/>
          <w:b w:val="0"/>
          <w:bCs w:val="0"/>
          <w:sz w:val="22"/>
          <w:szCs w:val="22"/>
          <w:lang w:val="en-US"/>
        </w:rPr>
      </w:pPr>
    </w:p>
    <w:p>
      <w:pPr>
        <w:numPr>
          <w:numId w:val="0"/>
        </w:numPr>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b/>
        <w:t xml:space="preserve">Pekalongan juga memiliki museum, yaitu museum batik yang tepatnya terletak di kota pekalongan. Museum ini berisi semua hal mengenai batik membatik. Didalamnya terdapat berbagai macam motif dan corak batik baik itu khas pekalongan ataupun bukan. Kita juga bisa mencoba menggambar batik di museum ini. </w:t>
      </w:r>
    </w:p>
    <w:bookmarkEnd w:id="0"/>
    <w:p>
      <w:pPr>
        <w:numPr>
          <w:numId w:val="0"/>
        </w:numPr>
        <w:jc w:val="both"/>
        <w:rPr>
          <w:rFonts w:hint="default" w:ascii="Times New Roman" w:hAnsi="Times New Roman"/>
          <w:b w:val="0"/>
          <w:bCs w:val="0"/>
          <w:sz w:val="22"/>
          <w:szCs w:val="22"/>
          <w:lang w:val="en-US"/>
        </w:rPr>
      </w:pPr>
    </w:p>
    <w:p>
      <w:pPr>
        <w:numPr>
          <w:numId w:val="0"/>
        </w:numPr>
        <w:jc w:val="center"/>
        <w:rPr>
          <w:rFonts w:hint="default" w:ascii="Times New Roman" w:hAnsi="Times New Roman"/>
          <w:b w:val="0"/>
          <w:bCs w:val="0"/>
          <w:sz w:val="22"/>
          <w:szCs w:val="22"/>
          <w:lang w:val="en-US"/>
        </w:rPr>
      </w:pPr>
      <w:r>
        <w:rPr>
          <w:rFonts w:ascii="SimSun" w:hAnsi="SimSun" w:eastAsia="SimSun" w:cs="SimSun"/>
          <w:sz w:val="24"/>
          <w:szCs w:val="24"/>
        </w:rPr>
        <w:drawing>
          <wp:inline distT="0" distB="0" distL="114300" distR="114300">
            <wp:extent cx="5019675" cy="3764915"/>
            <wp:effectExtent l="0" t="0" r="9525" b="698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5"/>
                    <a:stretch>
                      <a:fillRect/>
                    </a:stretch>
                  </pic:blipFill>
                  <pic:spPr>
                    <a:xfrm>
                      <a:off x="0" y="0"/>
                      <a:ext cx="5019675" cy="3764915"/>
                    </a:xfrm>
                    <a:prstGeom prst="rect">
                      <a:avLst/>
                    </a:prstGeom>
                    <a:noFill/>
                    <a:ln w="9525">
                      <a:noFill/>
                    </a:ln>
                  </pic:spPr>
                </pic:pic>
              </a:graphicData>
            </a:graphic>
          </wp:inline>
        </w:drawing>
      </w:r>
    </w:p>
    <w:p>
      <w:pPr>
        <w:numPr>
          <w:numId w:val="0"/>
        </w:numPr>
        <w:jc w:val="both"/>
        <w:rPr>
          <w:rFonts w:hint="default" w:ascii="Times New Roman" w:hAnsi="Times New Roman"/>
          <w:b w:val="0"/>
          <w:bCs w:val="0"/>
          <w:sz w:val="22"/>
          <w:szCs w:val="22"/>
          <w:lang w:val="en-US"/>
        </w:rPr>
      </w:pPr>
    </w:p>
    <w:p>
      <w:pPr>
        <w:numPr>
          <w:numId w:val="0"/>
        </w:numPr>
        <w:jc w:val="center"/>
        <w:rPr>
          <w:rFonts w:hint="default" w:ascii="Times New Roman" w:hAnsi="Times New Roman"/>
          <w:b w:val="0"/>
          <w:bCs w:val="0"/>
          <w:sz w:val="22"/>
          <w:szCs w:val="22"/>
          <w:lang w:val="en-US"/>
        </w:rPr>
      </w:pPr>
      <w:r>
        <w:rPr>
          <w:rFonts w:ascii="SimSun" w:hAnsi="SimSun" w:eastAsia="SimSun" w:cs="SimSun"/>
          <w:sz w:val="24"/>
          <w:szCs w:val="24"/>
        </w:rPr>
        <w:drawing>
          <wp:inline distT="0" distB="0" distL="114300" distR="114300">
            <wp:extent cx="5155565" cy="2904490"/>
            <wp:effectExtent l="0" t="0" r="6985" b="1016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6"/>
                    <a:stretch>
                      <a:fillRect/>
                    </a:stretch>
                  </pic:blipFill>
                  <pic:spPr>
                    <a:xfrm>
                      <a:off x="0" y="0"/>
                      <a:ext cx="5155565" cy="290449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84B47B"/>
    <w:multiLevelType w:val="singleLevel"/>
    <w:tmpl w:val="A684B47B"/>
    <w:lvl w:ilvl="0" w:tentative="0">
      <w:start w:val="1"/>
      <w:numFmt w:val="decimal"/>
      <w:suff w:val="space"/>
      <w:lvlText w:val="%1."/>
      <w:lvlJc w:val="left"/>
    </w:lvl>
  </w:abstractNum>
  <w:abstractNum w:abstractNumId="1">
    <w:nsid w:val="E59E24F1"/>
    <w:multiLevelType w:val="singleLevel"/>
    <w:tmpl w:val="E59E24F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FBC36"/>
    <w:rsid w:val="07F7025C"/>
    <w:rsid w:val="0B9E9F45"/>
    <w:rsid w:val="0C152247"/>
    <w:rsid w:val="0E7D681F"/>
    <w:rsid w:val="0F2F153E"/>
    <w:rsid w:val="0FFF941A"/>
    <w:rsid w:val="11263370"/>
    <w:rsid w:val="112A7A2C"/>
    <w:rsid w:val="1AC94665"/>
    <w:rsid w:val="1C1A58AA"/>
    <w:rsid w:val="1D28446D"/>
    <w:rsid w:val="22F4686C"/>
    <w:rsid w:val="26C475C4"/>
    <w:rsid w:val="298C1BB0"/>
    <w:rsid w:val="2AD50DBE"/>
    <w:rsid w:val="2B4C3579"/>
    <w:rsid w:val="2D9E4C5E"/>
    <w:rsid w:val="2E47544E"/>
    <w:rsid w:val="2F6E28B9"/>
    <w:rsid w:val="2FA54B0E"/>
    <w:rsid w:val="364327BF"/>
    <w:rsid w:val="37063123"/>
    <w:rsid w:val="37244353"/>
    <w:rsid w:val="38027E54"/>
    <w:rsid w:val="38726796"/>
    <w:rsid w:val="3A1E74D3"/>
    <w:rsid w:val="3D567A39"/>
    <w:rsid w:val="3E4B38C2"/>
    <w:rsid w:val="3F9FD3B5"/>
    <w:rsid w:val="3FFEDDBE"/>
    <w:rsid w:val="407C6DEB"/>
    <w:rsid w:val="421F4884"/>
    <w:rsid w:val="422829EC"/>
    <w:rsid w:val="4239774B"/>
    <w:rsid w:val="44390468"/>
    <w:rsid w:val="45EC307F"/>
    <w:rsid w:val="4857022E"/>
    <w:rsid w:val="4B47230B"/>
    <w:rsid w:val="4FFF46EA"/>
    <w:rsid w:val="52467DC5"/>
    <w:rsid w:val="53FB3B7A"/>
    <w:rsid w:val="5538729C"/>
    <w:rsid w:val="57A2284B"/>
    <w:rsid w:val="57EB47A7"/>
    <w:rsid w:val="5BE3B32D"/>
    <w:rsid w:val="61FE3AE5"/>
    <w:rsid w:val="62AC708B"/>
    <w:rsid w:val="65AC7BC7"/>
    <w:rsid w:val="6BBA60CF"/>
    <w:rsid w:val="6E343D3E"/>
    <w:rsid w:val="6FF6AD78"/>
    <w:rsid w:val="70CC6C97"/>
    <w:rsid w:val="70FD141C"/>
    <w:rsid w:val="71103348"/>
    <w:rsid w:val="73895C17"/>
    <w:rsid w:val="73FF640A"/>
    <w:rsid w:val="76826EE0"/>
    <w:rsid w:val="76B90742"/>
    <w:rsid w:val="77BF6B8D"/>
    <w:rsid w:val="77BFBC36"/>
    <w:rsid w:val="77F54D8C"/>
    <w:rsid w:val="795F6322"/>
    <w:rsid w:val="7BEE53AA"/>
    <w:rsid w:val="7FBF1FBA"/>
    <w:rsid w:val="7FFF9A33"/>
    <w:rsid w:val="8B74850F"/>
    <w:rsid w:val="95FFBDA6"/>
    <w:rsid w:val="9F7ECC1D"/>
    <w:rsid w:val="A7977AD6"/>
    <w:rsid w:val="B13F209D"/>
    <w:rsid w:val="B9FD4AFB"/>
    <w:rsid w:val="C7BB1C18"/>
    <w:rsid w:val="CBDF5410"/>
    <w:rsid w:val="CDF58924"/>
    <w:rsid w:val="D3F5DDE5"/>
    <w:rsid w:val="D6DB66CA"/>
    <w:rsid w:val="DCFF780A"/>
    <w:rsid w:val="DDBF1E95"/>
    <w:rsid w:val="DFE7D2B8"/>
    <w:rsid w:val="E75DAF26"/>
    <w:rsid w:val="EB6F95EC"/>
    <w:rsid w:val="EEFEA4E4"/>
    <w:rsid w:val="F8FC27FB"/>
    <w:rsid w:val="FAB4E6C9"/>
    <w:rsid w:val="FBD717C0"/>
    <w:rsid w:val="FCEFEE67"/>
    <w:rsid w:val="FD56920C"/>
    <w:rsid w:val="FDE7A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428</Words>
  <Characters>2670</Characters>
  <Lines>0</Lines>
  <Paragraphs>0</Paragraphs>
  <TotalTime>10</TotalTime>
  <ScaleCrop>false</ScaleCrop>
  <LinksUpToDate>false</LinksUpToDate>
  <CharactersWithSpaces>3095</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2021-09-24T09:38:00Z</dcterms:created>
  <dc:creator>halim</dc:creator>
  <cp:lastModifiedBy>FAISAL HALIM</cp:lastModifiedBy>
  <dcterms:modified xsi:type="dcterms:W3CDTF">2021-11-06T07:19:55Z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E91A679529E74812B8F0D1B7386E5EFA</vt:lpwstr>
  </property>
</Properties>
</file>