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0" w:after="0"/>
        <w:jc w:val="center"/>
      </w:pPr>
      <w:r>
        <w:rPr>
          <w:rFonts w:ascii="Times New Roman" w:cs="Times New Roman" w:eastAsia="Times New Roman" w:hAnsi="Times New Roman"/>
          <w:b/>
          <w:bCs/>
          <w:sz w:val="28"/>
          <w:szCs w:val="28"/>
        </w:rPr>
        <w:t xml:space="preserve">BAB VI</w:t>
      </w:r>
    </w:p>
    <w:p>
      <w:pPr>
        <w:spacing w:line="360" w:lineRule="auto" w:before="0" w:after="480"/>
        <w:jc w:val="center"/>
      </w:pPr>
      <w:r>
        <w:rPr>
          <w:rFonts w:ascii="Times New Roman" w:cs="Times New Roman" w:eastAsia="Times New Roman" w:hAnsi="Times New Roman"/>
          <w:b/>
          <w:bCs/>
          <w:sz w:val="28"/>
          <w:szCs w:val="28"/>
        </w:rPr>
        <w:t xml:space="preserve">PEMBAHASAN</w:t>
      </w:r>
    </w:p>
    <w:p>
      <w:pPr>
        <w:spacing w:line="360" w:lineRule="auto" w:before="0" w:after="160"/>
        <w:ind w:firstLine="567"/>
        <w:jc w:val="both"/>
      </w:pPr>
      <w:r>
        <w:rPr>
          <w:rFonts w:ascii="Times New Roman" w:cs="Times New Roman" w:eastAsia="Times New Roman" w:hAnsi="Times New Roman"/>
          <w:sz w:val="24"/>
          <w:szCs w:val="24"/>
        </w:rPr>
        <w:t xml:space="preserve">Bab ini membahas hasil penelitian secara mendalam dengan empat fokus utama: (1) interpretasi hasil eksperimen pipeline IR-KG secara substantif, (2) perbandingan performa model dengan baseline dan pendekatan sejenis, (3) analisis kontribusi ilmiah terhadap bidang IR, KG, dan evaluasi kurikulum, serta (4) evaluasi konsistensi hasil dengan landasan teori dan kerangka konseptual yang dibangun pada Bab II dan Bab III.</w:t>
      </w:r>
    </w:p>
    <w:p>
      <w:pPr>
        <w:spacing w:line="360" w:lineRule="auto" w:before="400" w:after="200"/>
        <w:jc w:val="both"/>
      </w:pPr>
      <w:r>
        <w:rPr>
          <w:rFonts w:ascii="Times New Roman" w:cs="Times New Roman" w:eastAsia="Times New Roman" w:hAnsi="Times New Roman"/>
          <w:b/>
          <w:bCs/>
          <w:sz w:val="24"/>
          <w:szCs w:val="24"/>
        </w:rPr>
        <w:t xml:space="preserve">6.1  Interpretasi Hasil Eksperimen</w:t>
      </w:r>
    </w:p>
    <w:p>
      <w:pPr>
        <w:spacing w:line="360" w:lineRule="auto" w:before="300" w:after="160"/>
        <w:ind w:left="360"/>
        <w:jc w:val="both"/>
      </w:pPr>
      <w:r>
        <w:rPr>
          <w:rFonts w:ascii="Times New Roman" w:cs="Times New Roman" w:eastAsia="Times New Roman" w:hAnsi="Times New Roman"/>
          <w:b/>
          <w:bCs/>
          <w:sz w:val="24"/>
          <w:szCs w:val="24"/>
        </w:rPr>
        <w:t xml:space="preserve">6.1.1  Makna Konfigurasi v1.2 sebagai Konfigurasi Optimal</w:t>
      </w:r>
    </w:p>
    <w:p>
      <w:pPr>
        <w:spacing w:line="360" w:lineRule="auto" w:before="0" w:after="160"/>
        <w:ind w:firstLine="567"/>
        <w:jc w:val="both"/>
      </w:pPr>
      <w:r>
        <w:rPr>
          <w:rFonts w:ascii="Times New Roman" w:cs="Times New Roman" w:eastAsia="Times New Roman" w:hAnsi="Times New Roman"/>
          <w:sz w:val="24"/>
          <w:szCs w:val="24"/>
        </w:rPr>
        <w:t xml:space="preserve">Temuan bahwa konfigurasi v1.2 (Balanced: α=0,34, β=0,33, γ=0,33) secara konsisten menghasilkan </w:t>
      </w:r>
      <w:r>
        <w:rPr>
          <w:rFonts w:ascii="Times New Roman" w:cs="Times New Roman" w:eastAsia="Times New Roman" w:hAnsi="Times New Roman"/>
          <w:i/>
          <w:iCs/>
          <w:sz w:val="24"/>
          <w:szCs w:val="24"/>
        </w:rPr>
        <w:t xml:space="preserve">selection_objective</w:t>
      </w:r>
      <w:r>
        <w:rPr>
          <w:rFonts w:ascii="Times New Roman" w:cs="Times New Roman" w:eastAsia="Times New Roman" w:hAnsi="Times New Roman"/>
          <w:sz w:val="24"/>
          <w:szCs w:val="24"/>
        </w:rPr>
        <w:t xml:space="preserve"> tertinggi pada ketiga ESCO-target tasks bukan sekadar hasil numerik, melainkan mencerminkan satu prinsip penting: dalam konteks pemetaan kompetensi lintas standar, </w:t>
      </w:r>
      <w:r>
        <w:rPr>
          <w:rFonts w:ascii="Times New Roman" w:cs="Times New Roman" w:eastAsia="Times New Roman" w:hAnsi="Times New Roman"/>
          <w:b/>
          <w:bCs/>
          <w:sz w:val="24"/>
          <w:szCs w:val="24"/>
        </w:rPr>
        <w:t xml:space="preserve">tidak ada satu dimensi yang secara absolut mendominasi</w:t>
      </w:r>
      <w:r>
        <w:rPr>
          <w:rFonts w:ascii="Times New Roman" w:cs="Times New Roman" w:eastAsia="Times New Roman" w:hAnsi="Times New Roman"/>
          <w:sz w:val="24"/>
          <w:szCs w:val="24"/>
        </w:rPr>
        <w:t xml:space="preserve">. Bobot seimbang ketiga komponen merefleksikan bahwa kemiripan semantik teks (S_sem) perlu ditambatkan pada koherensi dalam struktur knowledge graph (S_gr) dan relevansi terhadap domain keilmuan program studi (S_con).</w:t>
      </w:r>
    </w:p>
    <w:p>
      <w:pPr>
        <w:spacing w:line="360" w:lineRule="auto" w:before="0" w:after="160"/>
        <w:ind w:firstLine="567"/>
        <w:jc w:val="both"/>
      </w:pPr>
      <w:r>
        <w:rPr>
          <w:rFonts w:ascii="Times New Roman" w:cs="Times New Roman" w:eastAsia="Times New Roman" w:hAnsi="Times New Roman"/>
          <w:sz w:val="24"/>
          <w:szCs w:val="24"/>
        </w:rPr>
        <w:t xml:space="preserve">Konfigurasi dengan α=1,0 (v0.9, pure semantic) menghasilkan false positive tinggi seperti skill </w:t>
      </w:r>
      <w:r>
        <w:rPr>
          <w:rFonts w:ascii="Times New Roman" w:cs="Times New Roman" w:eastAsia="Times New Roman" w:hAnsi="Times New Roman"/>
          <w:i/>
          <w:iCs/>
          <w:sz w:val="24"/>
          <w:szCs w:val="24"/>
        </w:rPr>
        <w:t xml:space="preserve">"record wood treatment information"</w:t>
      </w:r>
      <w:r>
        <w:rPr>
          <w:rFonts w:ascii="Times New Roman" w:cs="Times New Roman" w:eastAsia="Times New Roman" w:hAnsi="Times New Roman"/>
          <w:sz w:val="24"/>
          <w:szCs w:val="24"/>
        </w:rPr>
        <w:t xml:space="preserve"> yang terpetakan ke CPL SI karena kemiripan leksikal kata "information", namun tanpa penalti domain. Filter S_con dalam v1.2 menekan S_final kasus tersebut dari ~0,19 menjadi ~0,06 — di bawah threshold tau — sehingga tidak diterima. Ini merupakan bukti empiris bahwa integrasi komponen domain constraint (S_con) secara nyata meningkatkan presisi pemetaan.</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6.1  Perbandingan Perilaku Enam Konfigurasi Ablation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650"/>
        <w:gridCol w:w="650"/>
        <w:gridCol w:w="650"/>
        <w:gridCol w:w="1000"/>
        <w:gridCol w:w="1000"/>
        <w:gridCol w:w="1000"/>
        <w:gridCol w:w="2476"/>
      </w:tblGrid>
      <w:tr>
        <w:trPr>
          <w:tblHeader/>
        </w:trPr>
        <w:tc>
          <w:tcPr>
            <w:tcW w:type="dxa" w:w="16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Config</w:t>
            </w:r>
          </w:p>
        </w:tc>
        <w:tc>
          <w:tcPr>
            <w:tcW w:type="dxa" w:w="65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α</w:t>
            </w:r>
          </w:p>
        </w:tc>
        <w:tc>
          <w:tcPr>
            <w:tcW w:type="dxa" w:w="65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β</w:t>
            </w:r>
          </w:p>
        </w:tc>
        <w:tc>
          <w:tcPr>
            <w:tcW w:type="dxa" w:w="65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γ</w:t>
            </w:r>
          </w:p>
        </w:tc>
        <w:tc>
          <w:tcPr>
            <w:tcW w:type="dxa" w:w="1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T1a sel_obj</w:t>
            </w:r>
          </w:p>
        </w:tc>
        <w:tc>
          <w:tcPr>
            <w:tcW w:type="dxa" w:w="1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T1b sel_obj</w:t>
            </w:r>
          </w:p>
        </w:tc>
        <w:tc>
          <w:tcPr>
            <w:tcW w:type="dxa" w:w="1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T4 sel_obj</w:t>
            </w:r>
          </w:p>
        </w:tc>
        <w:tc>
          <w:tcPr>
            <w:tcW w:type="dxa" w:w="247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Interpretasi Perilaku</w:t>
            </w:r>
          </w:p>
        </w:tc>
      </w:tr>
      <w:tr>
        <w:tc>
          <w:tcPr>
            <w:tcW w:type="dxa" w:w="1600"/>
            <w:tcBorders>
              <w:top w:val="single" w:color="AAAAAA" w:sz="4"/>
              <w:left w:val="single" w:color="AAAAAA" w:sz="4"/>
              <w:bottom w:val="single" w:color="AAAAAA" w:sz="4"/>
              <w:right w:val="single" w:color="AAAAAA" w:sz="4"/>
            </w:tcBorders>
            <w:shd w:fill="F8D7D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v0.9 (Pure Sem.)</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0.4141</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0.4729</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0.4295</w:t>
            </w:r>
          </w:p>
        </w:tc>
        <w:tc>
          <w:tcPr>
            <w:tcW w:type="dxa" w:w="247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False positive domain tinggi; coverage baik namun presisi rendah</w:t>
            </w:r>
          </w:p>
        </w:tc>
      </w:tr>
      <w:tr>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v1.0 (Baseline)</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0.25</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0.4229</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0.4622</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0.4664</w:t>
            </w:r>
          </w:p>
        </w:tc>
        <w:tc>
          <w:tcPr>
            <w:tcW w:type="dxa" w:w="247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S_con lemah (γ=0,15); graph mulai membantu namun domain filter masih lemah</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v1.1 (Max Accept)</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0.25</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0.4469</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0.4551</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0.4452</w:t>
            </w:r>
          </w:p>
        </w:tc>
        <w:tc>
          <w:tcPr>
            <w:tcW w:type="dxa" w:w="247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Tau=0: tidak ada forced, namun banyak kandidat berkualitas rendah diterima</w:t>
            </w:r>
          </w:p>
        </w:tc>
      </w:tr>
      <w:tr>
        <w:tc>
          <w:tcPr>
            <w:tcW w:type="dxa" w:w="16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v1.2 (Balanced) ★</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0.34</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0.33</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0.33</w:t>
            </w:r>
          </w:p>
        </w:tc>
        <w:tc>
          <w:tcPr>
            <w:tcW w:type="dxa" w:w="10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0.4474</w:t>
            </w:r>
          </w:p>
        </w:tc>
        <w:tc>
          <w:tcPr>
            <w:tcW w:type="dxa" w:w="10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0.4878</w:t>
            </w:r>
          </w:p>
        </w:tc>
        <w:tc>
          <w:tcPr>
            <w:tcW w:type="dxa" w:w="10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0.4925</w:t>
            </w:r>
          </w:p>
        </w:tc>
        <w:tc>
          <w:tcPr>
            <w:tcW w:type="dxa" w:w="2476"/>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Optimal: domain filter kuat, graph cohesion seimbang</w:t>
            </w:r>
          </w:p>
        </w:tc>
      </w:tr>
      <w:tr>
        <w:tc>
          <w:tcPr>
            <w:tcW w:type="dxa" w:w="1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v1.3 (Precision)</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0.25</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0.4279</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0.4700</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0.4546</w:t>
            </w:r>
          </w:p>
        </w:tc>
        <w:tc>
          <w:tcPr>
            <w:tcW w:type="dxa" w:w="247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Tau=Q75: forced_ratio naik, mean_final lebih tinggi namun coverage turun</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v1.4 (Hybrid)</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0.55</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0.30</w:t>
            </w:r>
          </w:p>
        </w:tc>
        <w:tc>
          <w:tcPr>
            <w:tcW w:type="dxa" w:w="65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0.15</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0.4202</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0.4593</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0.4642</w:t>
            </w:r>
          </w:p>
        </w:tc>
        <w:tc>
          <w:tcPr>
            <w:tcW w:type="dxa" w:w="247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S_con masih lemah, tidak melampaui v1.2 meskipun β ditingkatkan</w:t>
            </w:r>
          </w:p>
        </w:tc>
      </w:tr>
    </w:tbl>
    <w:p>
      <w:pPr>
        <w:spacing w:line="360" w:lineRule="auto"/>
      </w:pPr>
      <w:r>
        <w:rPr>
          <w:rFonts w:ascii="Times New Roman" w:cs="Times New Roman" w:eastAsia="Times New Roman" w:hAnsi="Times New Roman"/>
          <w:sz w:val="24"/>
          <w:szCs w:val="24"/>
        </w:rPr>
        <w:t xml:space="preserve"/>
      </w:r>
    </w:p>
    <w:p>
      <w:pPr>
        <w:spacing w:line="360" w:lineRule="auto" w:before="300" w:after="160"/>
        <w:ind w:left="360"/>
        <w:jc w:val="both"/>
      </w:pPr>
      <w:r>
        <w:rPr>
          <w:rFonts w:ascii="Times New Roman" w:cs="Times New Roman" w:eastAsia="Times New Roman" w:hAnsi="Times New Roman"/>
          <w:b/>
          <w:bCs/>
          <w:sz w:val="24"/>
          <w:szCs w:val="24"/>
        </w:rPr>
        <w:t xml:space="preserve">6.1.2  Interpretasi Peningkatan v0.9 → v1.2</w:t>
      </w:r>
    </w:p>
    <w:p>
      <w:pPr>
        <w:spacing w:line="360" w:lineRule="auto" w:before="0" w:after="160"/>
        <w:ind w:firstLine="567"/>
        <w:jc w:val="both"/>
      </w:pPr>
      <w:r>
        <w:rPr>
          <w:rFonts w:ascii="Times New Roman" w:cs="Times New Roman" w:eastAsia="Times New Roman" w:hAnsi="Times New Roman"/>
          <w:sz w:val="24"/>
          <w:szCs w:val="24"/>
        </w:rPr>
        <w:t xml:space="preserve">Peningkatan </w:t>
      </w:r>
      <w:r>
        <w:rPr>
          <w:rFonts w:ascii="Times New Roman" w:cs="Times New Roman" w:eastAsia="Times New Roman" w:hAnsi="Times New Roman"/>
          <w:i/>
          <w:iCs/>
          <w:sz w:val="24"/>
          <w:szCs w:val="24"/>
        </w:rPr>
        <w:t xml:space="preserve">selection_objective</w:t>
      </w:r>
      <w:r>
        <w:rPr>
          <w:rFonts w:ascii="Times New Roman" w:cs="Times New Roman" w:eastAsia="Times New Roman" w:hAnsi="Times New Roman"/>
          <w:sz w:val="24"/>
          <w:szCs w:val="24"/>
        </w:rPr>
        <w:t xml:space="preserve"> dari baseline pure semantic (v0.9) ke Balanced (v1.2) terukur secara berbeda per task, mencerminkan heterogenitas karakteristik sumber data masing-masing task.</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6.2  Kuantifikasi Peningkatan Kualitas v0.9 → v1.2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200"/>
        <w:gridCol w:w="2726"/>
      </w:tblGrid>
      <w:tr>
        <w:trPr>
          <w:tblHeader/>
        </w:trPr>
        <w:tc>
          <w:tcPr>
            <w:tcW w:type="dxa" w:w="18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Task</w:t>
            </w:r>
          </w:p>
        </w:tc>
        <w:tc>
          <w:tcPr>
            <w:tcW w:type="dxa" w:w="11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v0.9 sel_obj</w:t>
            </w:r>
          </w:p>
        </w:tc>
        <w:tc>
          <w:tcPr>
            <w:tcW w:type="dxa" w:w="11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v1.2 sel_obj</w:t>
            </w:r>
          </w:p>
        </w:tc>
        <w:tc>
          <w:tcPr>
            <w:tcW w:type="dxa" w:w="11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Delta</w:t>
            </w:r>
          </w:p>
        </w:tc>
        <w:tc>
          <w:tcPr>
            <w:tcW w:type="dxa" w:w="12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Delta (%)</w:t>
            </w:r>
          </w:p>
        </w:tc>
        <w:tc>
          <w:tcPr>
            <w:tcW w:type="dxa" w:w="272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Signifikansi dan Penyebab</w:t>
            </w:r>
          </w:p>
        </w:tc>
      </w:tr>
      <w:tr>
        <w:tc>
          <w:tcPr>
            <w:tcW w:type="dxa" w:w="18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T1a (CPL SI→ESCO)</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0.4141</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0.4474</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+0.0333</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+8,0%</w:t>
            </w:r>
          </w:p>
        </w:tc>
        <w:tc>
          <w:tcPr>
            <w:tcW w:type="dxa" w:w="27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Sedang — S_con mengeliminasi skill non-ICT yang mirip "information"</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T1b (CPL TI→ESCO)</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0.4729</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0.4878</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+0.0149</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+3,2%</w:t>
            </w:r>
          </w:p>
        </w:tc>
        <w:tc>
          <w:tcPr>
            <w:tcW w:type="dxa" w:w="27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Rendah-sedang — CPL TI sudah lebih teknis sehingga baseline lebih tinggi</w:t>
            </w:r>
          </w:p>
        </w:tc>
      </w:tr>
      <w:tr>
        <w:tc>
          <w:tcPr>
            <w:tcW w:type="dxa" w:w="18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T4 (SKKNI→ESCO)</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0.4295</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0.4925</w:t>
            </w:r>
          </w:p>
        </w:tc>
        <w:tc>
          <w:tcPr>
            <w:tcW w:type="dxa" w:w="11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+0.0630</w:t>
            </w:r>
          </w:p>
        </w:tc>
        <w:tc>
          <w:tcPr>
            <w:tcW w:type="dxa" w:w="12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+14,7%</w:t>
            </w:r>
          </w:p>
        </w:tc>
        <w:tc>
          <w:tcPr>
            <w:tcW w:type="dxa" w:w="2726"/>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Signifikan</w:t>
            </w:r>
            <w:r>
              <w:rPr>
                <w:rFonts w:ascii="Times New Roman" w:cs="Times New Roman" w:eastAsia="Times New Roman" w:hAnsi="Times New Roman"/>
                <w:sz w:val="22"/>
                <w:szCs w:val="22"/>
              </w:rPr>
              <w:t xml:space="preserve"> — SKKNI heterogen (non-computing), S_con mengeliminasi false domain</w:t>
            </w:r>
          </w:p>
        </w:tc>
      </w:tr>
    </w:tbl>
    <w:p>
      <w:pPr>
        <w:spacing w:line="360" w:lineRule="auto"/>
      </w:pPr>
      <w:r>
        <w:rPr>
          <w:rFonts w:ascii="Times New Roman" w:cs="Times New Roman" w:eastAsia="Times New Roman" w:hAnsi="Times New Roman"/>
          <w:sz w:val="24"/>
          <w:szCs w:val="24"/>
        </w:rPr>
        <w:t xml:space="preserve"/>
      </w:r>
    </w:p>
    <w:p>
      <w:pPr>
        <w:spacing w:line="360" w:lineRule="auto" w:before="0" w:after="160"/>
        <w:ind w:firstLine="567"/>
        <w:jc w:val="both"/>
      </w:pPr>
      <w:r>
        <w:rPr>
          <w:rFonts w:ascii="Times New Roman" w:cs="Times New Roman" w:eastAsia="Times New Roman" w:hAnsi="Times New Roman"/>
          <w:sz w:val="24"/>
          <w:szCs w:val="24"/>
        </w:rPr>
        <w:t xml:space="preserve">Peningkatan terbesar pada T4 (+14,7%) terjadi karena SKKNI memiliki sumber yang sangat heterogen — banyak unit dari sektor non-computing (animasi, telekomunikasi) yang tanpa S_con akan menghasilkan pemetaan ESCO yang tidak relevan secara domain. Dengan γ=0,33 pada v1.2, skill ESCO outside domain mendapat penalti kuat sehingga hanya skill domain computing yang lolos dengan skor tinggi, menaikkan </w:t>
      </w:r>
      <w:r>
        <w:rPr>
          <w:rFonts w:ascii="Times New Roman" w:cs="Times New Roman" w:eastAsia="Times New Roman" w:hAnsi="Times New Roman"/>
          <w:i/>
          <w:iCs/>
          <w:sz w:val="24"/>
          <w:szCs w:val="24"/>
        </w:rPr>
        <w:t xml:space="preserve">mean_final</w:t>
      </w:r>
      <w:r>
        <w:rPr>
          <w:rFonts w:ascii="Times New Roman" w:cs="Times New Roman" w:eastAsia="Times New Roman" w:hAnsi="Times New Roman"/>
          <w:sz w:val="24"/>
          <w:szCs w:val="24"/>
        </w:rPr>
        <w:t xml:space="preserve"> sebesar 0,0915.</w:t>
      </w:r>
    </w:p>
    <w:p>
      <w:pPr>
        <w:spacing w:line="360" w:lineRule="auto" w:before="300" w:after="160"/>
        <w:ind w:left="360"/>
        <w:jc w:val="both"/>
      </w:pPr>
      <w:r>
        <w:rPr>
          <w:rFonts w:ascii="Times New Roman" w:cs="Times New Roman" w:eastAsia="Times New Roman" w:hAnsi="Times New Roman"/>
          <w:b/>
          <w:bCs/>
          <w:sz w:val="24"/>
          <w:szCs w:val="24"/>
        </w:rPr>
        <w:t xml:space="preserve">6.1.3  Interpretasi Hasil CRI-KG</w:t>
      </w:r>
    </w:p>
    <w:p>
      <w:pPr>
        <w:spacing w:line="360" w:lineRule="auto" w:before="0" w:after="160"/>
        <w:ind w:firstLine="567"/>
        <w:jc w:val="both"/>
      </w:pPr>
      <w:r>
        <w:rPr>
          <w:rFonts w:ascii="Times New Roman" w:cs="Times New Roman" w:eastAsia="Times New Roman" w:hAnsi="Times New Roman"/>
          <w:sz w:val="24"/>
          <w:szCs w:val="24"/>
        </w:rPr>
        <w:t xml:space="preserve">CRI rata-rata SI (0,2196) dan TI (0,2721) berada pada rentang rendah-sedang dalam skala [0,1]. Angka ini </w:t>
      </w:r>
      <w:r>
        <w:rPr>
          <w:rFonts w:ascii="Times New Roman" w:cs="Times New Roman" w:eastAsia="Times New Roman" w:hAnsi="Times New Roman"/>
          <w:b/>
          <w:bCs/>
          <w:sz w:val="24"/>
          <w:szCs w:val="24"/>
        </w:rPr>
        <w:t xml:space="preserve">tidak mengukur kualitas kurikulum secara absolut</w:t>
      </w:r>
      <w:r>
        <w:rPr>
          <w:rFonts w:ascii="Times New Roman" w:cs="Times New Roman" w:eastAsia="Times New Roman" w:hAnsi="Times New Roman"/>
          <w:sz w:val="24"/>
          <w:szCs w:val="24"/>
        </w:rPr>
        <w:t xml:space="preserve">, melainkan mengukur keterwakilan CPL dalam tiga framework standar kompetensi internasional/nasional. Pola R_SKKNI &gt;&gt; R_ONET &gt; R_ESCO mengungkapkan gradasi kesulitan pemetaan yang sistematis:</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6.3  Gradasi Kesulitan Pemetaan per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200"/>
        <w:gridCol w:w="4626"/>
      </w:tblGrid>
      <w:tr>
        <w:trPr>
          <w:tblHeader/>
        </w:trPr>
        <w:tc>
          <w:tcPr>
            <w:tcW w:type="dxa" w:w="14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Framework</w:t>
            </w:r>
          </w:p>
        </w:tc>
        <w:tc>
          <w:tcPr>
            <w:tcW w:type="dxa" w:w="9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 rata SI</w:t>
            </w:r>
          </w:p>
        </w:tc>
        <w:tc>
          <w:tcPr>
            <w:tcW w:type="dxa" w:w="9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 rata TI</w:t>
            </w:r>
          </w:p>
        </w:tc>
        <w:tc>
          <w:tcPr>
            <w:tcW w:type="dxa" w:w="12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Tingkat Kesulitan</w:t>
            </w:r>
          </w:p>
        </w:tc>
        <w:tc>
          <w:tcPr>
            <w:tcW w:type="dxa" w:w="462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Penyebab Utama</w:t>
            </w:r>
          </w:p>
        </w:tc>
      </w:tr>
      <w:tr>
        <w:tc>
          <w:tcPr>
            <w:tcW w:type="dxa" w:w="14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SKKNI</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0.498</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0.523</w:t>
            </w:r>
          </w:p>
        </w:tc>
        <w:tc>
          <w:tcPr>
            <w:tcW w:type="dxa" w:w="12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Paling mudah</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Monolingual Indonesia→Indonesia; 1.711 unit ICT kontekstual; s_con=1,0 semua target</w:t>
            </w:r>
          </w:p>
        </w:tc>
      </w:tr>
      <w:tr>
        <w:tc>
          <w:tcPr>
            <w:tcW w:type="dxa" w:w="14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O*NET</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0.171</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0.205</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Menengah</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Lintas bahasa; 879 computing occupations; CPL Pengetahuan teknis match, Sikap/Umum tidak</w:t>
            </w:r>
          </w:p>
        </w:tc>
      </w:tr>
      <w:tr>
        <w:tc>
          <w:tcPr>
            <w:tcW w:type="dxa" w:w="1400"/>
            <w:tcBorders>
              <w:top w:val="single" w:color="AAAAAA" w:sz="4"/>
              <w:left w:val="single" w:color="AAAAAA" w:sz="4"/>
              <w:bottom w:val="single" w:color="AAAAAA" w:sz="4"/>
              <w:right w:val="single" w:color="AAAAAA" w:sz="4"/>
            </w:tcBorders>
            <w:shd w:fill="F8D7D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ESCO</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0.088</w:t>
            </w:r>
          </w:p>
        </w:tc>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0.174</w:t>
            </w:r>
          </w:p>
        </w:tc>
        <w:tc>
          <w:tcPr>
            <w:tcW w:type="dxa" w:w="1200"/>
            <w:tcBorders>
              <w:top w:val="single" w:color="AAAAAA" w:sz="4"/>
              <w:left w:val="single" w:color="AAAAAA" w:sz="4"/>
              <w:bottom w:val="single" w:color="AAAAAA" w:sz="4"/>
              <w:right w:val="single" w:color="AAAAAA" w:sz="4"/>
            </w:tcBorders>
            <w:shd w:fill="F8D7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Paling sulit</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Lintas bahasa; scope 13.939 skills; domain filter ketat (~3,5%); CPL abstrak sulit dipetakan</w:t>
            </w:r>
          </w:p>
        </w:tc>
      </w:tr>
    </w:tbl>
    <w:p>
      <w:pPr>
        <w:spacing w:line="360" w:lineRule="auto"/>
      </w:pPr>
      <w:r>
        <w:rPr>
          <w:rFonts w:ascii="Times New Roman" w:cs="Times New Roman" w:eastAsia="Times New Roman" w:hAnsi="Times New Roman"/>
          <w:sz w:val="24"/>
          <w:szCs w:val="24"/>
        </w:rPr>
        <w:t xml:space="preserve"/>
      </w:r>
    </w:p>
    <w:p>
      <w:pPr>
        <w:spacing w:line="360" w:lineRule="auto" w:before="0" w:after="160"/>
        <w:ind w:firstLine="567"/>
        <w:jc w:val="both"/>
      </w:pPr>
      <w:r>
        <w:rPr>
          <w:rFonts w:ascii="Times New Roman" w:cs="Times New Roman" w:eastAsia="Times New Roman" w:hAnsi="Times New Roman"/>
          <w:sz w:val="24"/>
          <w:szCs w:val="24"/>
        </w:rPr>
        <w:t xml:space="preserve">Perbedaan CRI SI (0,2196) vs TI (0,2721) sebesar 24% bukan mengindikasikan kurikulum TI lebih baik, melainkan mencerminkan bahwa CPL TI memiliki proporsi butir Pengetahuan teknis lebih banyak (6 dari 15) dibanding CPL SI (3 dari 15). Butir Pengetahuan teknis secara inheren lebih mudah dipetakan ke standar kompetensi berbasis skill/occupation.</w:t>
      </w:r>
    </w:p>
    <w:p>
      <w:pPr>
        <w:spacing w:line="360" w:lineRule="auto" w:before="300" w:after="160"/>
        <w:ind w:left="360"/>
        <w:jc w:val="both"/>
      </w:pPr>
      <w:r>
        <w:rPr>
          <w:rFonts w:ascii="Times New Roman" w:cs="Times New Roman" w:eastAsia="Times New Roman" w:hAnsi="Times New Roman"/>
          <w:b/>
          <w:bCs/>
          <w:sz w:val="24"/>
          <w:szCs w:val="24"/>
        </w:rPr>
        <w:t xml:space="preserve">6.1.4  Interpretasi Hasil ECV</w:t>
      </w:r>
    </w:p>
    <w:p>
      <w:pPr>
        <w:spacing w:line="360" w:lineRule="auto" w:before="0" w:after="160"/>
        <w:ind w:firstLine="567"/>
        <w:jc w:val="both"/>
      </w:pPr>
      <w:r>
        <w:rPr>
          <w:rFonts w:ascii="Times New Roman" w:cs="Times New Roman" w:eastAsia="Times New Roman" w:hAnsi="Times New Roman"/>
          <w:sz w:val="24"/>
          <w:szCs w:val="24"/>
        </w:rPr>
        <w:t xml:space="preserve">Relaxed consistency rate Chain 2 sebesar 27,05% (455 dari 1.682 SKKNI units) harus diinterpretasikan dalam konteks desain validasi. ECV bukan mengukur kebenaran pemetaan secara absolut, melainkan mengukur sejauh mana dua jalur pemetaan independen (SKKNI→ESCO via T4 dan SKKNI→O*NET via T5) menghasilkan kesimpulan yang konsisten ketika dihubungkan via crosswalk resmi European Commission.</w:t>
      </w:r>
    </w:p>
    <w:p>
      <w:pPr>
        <w:spacing w:line="360" w:lineRule="auto" w:before="0" w:after="160"/>
        <w:ind w:firstLine="567"/>
        <w:jc w:val="both"/>
      </w:pPr>
      <w:r>
        <w:rPr>
          <w:rFonts w:ascii="Times New Roman" w:cs="Times New Roman" w:eastAsia="Times New Roman" w:hAnsi="Times New Roman"/>
          <w:sz w:val="24"/>
          <w:szCs w:val="24"/>
        </w:rPr>
        <w:t xml:space="preserve">Jika pipeline memilih O*NET secara acak dari 879 occupations, probabilitas interseksi dengan expected set E(src) sangat kecil — rata-rata setiap ESCO occupation hanya terhubung ke ~3–5 O*NET codes dari 879 yang tersedia. Konsistensi 27,05% yang dicapir pipeline secara non-random menunjukkan </w:t>
      </w:r>
      <w:r>
        <w:rPr>
          <w:rFonts w:ascii="Times New Roman" w:cs="Times New Roman" w:eastAsia="Times New Roman" w:hAnsi="Times New Roman"/>
          <w:b/>
          <w:bCs/>
          <w:sz w:val="24"/>
          <w:szCs w:val="24"/>
        </w:rPr>
        <w:t xml:space="preserve">sinyal yang ditangkap model melebihi 8,7× baseline acak</w:t>
      </w:r>
      <w:r>
        <w:rPr>
          <w:rFonts w:ascii="Times New Roman" w:cs="Times New Roman" w:eastAsia="Times New Roman" w:hAnsi="Times New Roman"/>
          <w:sz w:val="24"/>
          <w:szCs w:val="24"/>
        </w:rPr>
        <w:t xml:space="preserve"> (~3,1%), memvalidasi bahwa TF-IDF hybrid scoring menghasilkan pemetaan yang bermakna secara statistis.</w:t>
      </w:r>
    </w:p>
    <w:p>
      <w:r>
        <w:br w:type="page"/>
      </w:r>
    </w:p>
    <w:p>
      <w:pPr>
        <w:spacing w:line="360" w:lineRule="auto" w:before="400" w:after="200"/>
        <w:jc w:val="both"/>
      </w:pPr>
      <w:r>
        <w:rPr>
          <w:rFonts w:ascii="Times New Roman" w:cs="Times New Roman" w:eastAsia="Times New Roman" w:hAnsi="Times New Roman"/>
          <w:b/>
          <w:bCs/>
          <w:sz w:val="24"/>
          <w:szCs w:val="24"/>
        </w:rPr>
        <w:t xml:space="preserve">6.2  Perbandingan Performa dengan Baseline dan Pendekatan Sejenis</w:t>
      </w:r>
    </w:p>
    <w:p>
      <w:pPr>
        <w:spacing w:line="360" w:lineRule="auto" w:before="300" w:after="160"/>
        <w:ind w:left="360"/>
        <w:jc w:val="both"/>
      </w:pPr>
      <w:r>
        <w:rPr>
          <w:rFonts w:ascii="Times New Roman" w:cs="Times New Roman" w:eastAsia="Times New Roman" w:hAnsi="Times New Roman"/>
          <w:b/>
          <w:bCs/>
          <w:sz w:val="24"/>
          <w:szCs w:val="24"/>
        </w:rPr>
        <w:t xml:space="preserve">6.2.1  Baseline Internal: Pure Semantic (v0.9) vs Usulan (v1.2)</w:t>
      </w:r>
    </w:p>
    <w:p>
      <w:pPr>
        <w:spacing w:line="360" w:lineRule="auto" w:before="0" w:after="160"/>
        <w:ind w:firstLine="567"/>
        <w:jc w:val="both"/>
      </w:pPr>
      <w:r>
        <w:rPr>
          <w:rFonts w:ascii="Times New Roman" w:cs="Times New Roman" w:eastAsia="Times New Roman" w:hAnsi="Times New Roman"/>
          <w:sz w:val="24"/>
          <w:szCs w:val="24"/>
        </w:rPr>
        <w:t xml:space="preserve">Baseline paling langsung adalah konfigurasi v0.9 (pure TF-IDF cosine similarity tanpa S_gr maupun S_con). Perbedaan kualitatif utama terletak pada presisi domain dan kemampuan reduksi false positive:</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6.4  Perbandingan Kualitatif v0.9 (Baseline) vs v1.2 (Usulan)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426"/>
      </w:tblGrid>
      <w:tr>
        <w:trPr>
          <w:tblHeader/>
        </w:trPr>
        <w:tc>
          <w:tcPr>
            <w:tcW w:type="dxa" w:w="2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Aspek</w:t>
            </w:r>
          </w:p>
        </w:tc>
        <w:tc>
          <w:tcPr>
            <w:tcW w:type="dxa" w:w="28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v0.9 (Baseline Pure Semantic)</w:t>
            </w:r>
          </w:p>
        </w:tc>
        <w:tc>
          <w:tcPr>
            <w:tcW w:type="dxa" w:w="28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v1.2 (Usulan Balanced)</w:t>
            </w:r>
          </w:p>
        </w:tc>
        <w:tc>
          <w:tcPr>
            <w:tcW w:type="dxa" w:w="142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Keunggulan Usulan</w:t>
            </w:r>
          </w:p>
        </w:tc>
      </w:tr>
      <w:tr>
        <w:tc>
          <w:tcPr>
            <w:tcW w:type="dxa" w:w="20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False positive domain</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Tinggi — skill non-ICT masuk jika S_sem tinggi</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Rendah — S_con=0 menekan skill outside domain</w:t>
            </w:r>
          </w:p>
        </w:tc>
        <w:tc>
          <w:tcPr>
            <w:tcW w:type="dxa" w:w="1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Filter domain aktif</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Koherensi graph</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 ada — kandidat dipilih pure individual</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Ada — skill bertetangga dalam KG diutamakan via S_gr</w:t>
            </w:r>
          </w:p>
        </w:tc>
        <w:tc>
          <w:tcPr>
            <w:tcW w:type="dxa" w:w="1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Sinyal structural KG</w:t>
            </w:r>
          </w:p>
        </w:tc>
      </w:tr>
      <w:tr>
        <w:tc>
          <w:tcPr>
            <w:tcW w:type="dxa" w:w="20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Forced_top1 T4</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14,92%</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1,72%</w:t>
            </w:r>
          </w:p>
        </w:tc>
        <w:tc>
          <w:tcPr>
            <w:tcW w:type="dxa" w:w="1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Reduksi 88,5%</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mean_final T4</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0,1483</w:t>
            </w:r>
          </w:p>
        </w:tc>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0,2398</w:t>
            </w:r>
          </w:p>
        </w:tc>
        <w:tc>
          <w:tcPr>
            <w:tcW w:type="dxa" w:w="1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+61,7% kualitas</w:t>
            </w:r>
          </w:p>
        </w:tc>
      </w:tr>
    </w:tbl>
    <w:p>
      <w:pPr>
        <w:spacing w:line="360" w:lineRule="auto"/>
      </w:pPr>
      <w:r>
        <w:rPr>
          <w:rFonts w:ascii="Times New Roman" w:cs="Times New Roman" w:eastAsia="Times New Roman" w:hAnsi="Times New Roman"/>
          <w:sz w:val="24"/>
          <w:szCs w:val="24"/>
        </w:rPr>
        <w:t xml:space="preserve"/>
      </w:r>
    </w:p>
    <w:p>
      <w:pPr>
        <w:spacing w:line="360" w:lineRule="auto" w:before="300" w:after="160"/>
        <w:ind w:left="360"/>
        <w:jc w:val="both"/>
      </w:pPr>
      <w:r>
        <w:rPr>
          <w:rFonts w:ascii="Times New Roman" w:cs="Times New Roman" w:eastAsia="Times New Roman" w:hAnsi="Times New Roman"/>
          <w:b/>
          <w:bCs/>
          <w:sz w:val="24"/>
          <w:szCs w:val="24"/>
        </w:rPr>
        <w:t xml:space="preserve">6.2.2  Perbandingan dengan Pendekatan O*NET Single-Framework</w:t>
      </w:r>
    </w:p>
    <w:p>
      <w:pPr>
        <w:spacing w:line="360" w:lineRule="auto" w:before="0" w:after="160"/>
        <w:ind w:firstLine="567"/>
        <w:jc w:val="both"/>
      </w:pPr>
      <w:r>
        <w:rPr>
          <w:rFonts w:ascii="Times New Roman" w:cs="Times New Roman" w:eastAsia="Times New Roman" w:hAnsi="Times New Roman"/>
          <w:sz w:val="24"/>
          <w:szCs w:val="24"/>
        </w:rPr>
        <w:t xml:space="preserve">Beberapa studi terdahulu menggunakan O*NET sebagai satu-satunya referensi untuk pemetaan kompetensi kurikulum (Tondeur et al., 2017; Dawson et al., 2019). Pendekatan ini memiliki keterbatasan struktural yang diatasi oleh penelitian ini:</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6.5  Perbandingan Pendekatan O*NET Single-Framework vs IR-KG Multi-Framework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Dimensi</w:t>
            </w:r>
          </w:p>
        </w:tc>
        <w:tc>
          <w:tcPr>
            <w:tcW w:type="dxa" w:w="3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Pendekatan O*NET Single-Framework</w:t>
            </w:r>
          </w:p>
        </w:tc>
        <w:tc>
          <w:tcPr>
            <w:tcW w:type="dxa" w:w="382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Pendekatan IR-KG Multi-Framework</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Cakupan framework</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framework (O*NET)</w:t>
            </w:r>
          </w:p>
        </w:tc>
        <w:tc>
          <w:tcPr>
            <w:tcW w:type="dxa" w:w="3826"/>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3 framework: ESCO + O*NET + SKKNI</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Konteks lokal</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 — O*NET berbasis pasar kerja AS</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Ya</w:t>
            </w:r>
            <w:r>
              <w:rPr>
                <w:rFonts w:ascii="Times New Roman" w:cs="Times New Roman" w:eastAsia="Times New Roman" w:hAnsi="Times New Roman"/>
                <w:sz w:val="22"/>
                <w:szCs w:val="22"/>
              </w:rPr>
              <w:t xml:space="preserve"> — SKKNI sebagai komponen standar nasional Indonesia</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Struktur pengetahuan</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Flat occupational matching</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Graph-aware via S_gr dari ESCO knowledge graph</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Filter domain</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Manual atau tidak ada</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Otomatis via Hybrid ISCED + TF-IDF (Stage 00)</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Validasi konsistensi</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 sistematis</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ECV Chain 1 &amp; 2 via crosswalk ESCO–O*NET resmi</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Output metrik</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Alignment score tunggal</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CRI multi-komponen (R_ESCO, R_ONET, R_SKKNI, CRI)</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Granularitas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Level occupation</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Level skill (ESCO), occupation (O*NET), unit kompetensi (SKKNI)</w:t>
            </w:r>
          </w:p>
        </w:tc>
      </w:tr>
    </w:tbl>
    <w:p>
      <w:pPr>
        <w:spacing w:line="360" w:lineRule="auto"/>
      </w:pPr>
      <w:r>
        <w:rPr>
          <w:rFonts w:ascii="Times New Roman" w:cs="Times New Roman" w:eastAsia="Times New Roman" w:hAnsi="Times New Roman"/>
          <w:sz w:val="24"/>
          <w:szCs w:val="24"/>
        </w:rPr>
        <w:t xml:space="preserve"/>
      </w:r>
    </w:p>
    <w:p>
      <w:pPr>
        <w:spacing w:line="360" w:lineRule="auto" w:before="300" w:after="160"/>
        <w:ind w:left="360"/>
        <w:jc w:val="both"/>
      </w:pPr>
      <w:r>
        <w:rPr>
          <w:rFonts w:ascii="Times New Roman" w:cs="Times New Roman" w:eastAsia="Times New Roman" w:hAnsi="Times New Roman"/>
          <w:b/>
          <w:bCs/>
          <w:sz w:val="24"/>
          <w:szCs w:val="24"/>
        </w:rPr>
        <w:t xml:space="preserve">6.2.3  Perbandingan dengan Pendekatan NLP Berbasis Transformer/BERT</w:t>
      </w:r>
    </w:p>
    <w:p>
      <w:pPr>
        <w:spacing w:line="360" w:lineRule="auto" w:before="0" w:after="160"/>
        <w:ind w:firstLine="567"/>
        <w:jc w:val="both"/>
      </w:pPr>
      <w:r>
        <w:rPr>
          <w:rFonts w:ascii="Times New Roman" w:cs="Times New Roman" w:eastAsia="Times New Roman" w:hAnsi="Times New Roman"/>
          <w:sz w:val="24"/>
          <w:szCs w:val="24"/>
        </w:rPr>
        <w:t xml:space="preserve">Pendekatan berbasis transformer/BERT untuk </w:t>
      </w:r>
      <w:r>
        <w:rPr>
          <w:rFonts w:ascii="Times New Roman" w:cs="Times New Roman" w:eastAsia="Times New Roman" w:hAnsi="Times New Roman"/>
          <w:i/>
          <w:iCs/>
          <w:sz w:val="24"/>
          <w:szCs w:val="24"/>
        </w:rPr>
        <w:t xml:space="preserve">skill matching</w:t>
      </w:r>
      <w:r>
        <w:rPr>
          <w:rFonts w:ascii="Times New Roman" w:cs="Times New Roman" w:eastAsia="Times New Roman" w:hAnsi="Times New Roman"/>
          <w:sz w:val="24"/>
          <w:szCs w:val="24"/>
        </w:rPr>
        <w:t xml:space="preserve"> (Decorte et al., 2021; Zhang et al., 2022) menawarkan representasi semantik lebih dalam. Pilihan TF-IDF dalam penelitian ini adalah keputusan desain yang disengaja berdasarkan konteks dan kebutuhan penelitian:</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6.6  Perbandingan TF-IDF (IR-KG) vs Transformer/BERT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Karakteristik</w:t>
            </w:r>
          </w:p>
        </w:tc>
        <w:tc>
          <w:tcPr>
            <w:tcW w:type="dxa" w:w="3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TF-IDF (IR-KG)</w:t>
            </w:r>
          </w:p>
        </w:tc>
        <w:tc>
          <w:tcPr>
            <w:tcW w:type="dxa" w:w="382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Transformer/BERT</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Representasi semantik</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Leksikal (bag-of-words TF-IDF)</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Kontekstual (embedding dense)</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Kebutuhan komputasi</w:t>
            </w:r>
          </w:p>
        </w:tc>
        <w:tc>
          <w:tcPr>
            <w:tcW w:type="dxa" w:w="30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Ringan</w:t>
            </w:r>
            <w:r>
              <w:rPr>
                <w:rFonts w:ascii="Times New Roman" w:cs="Times New Roman" w:eastAsia="Times New Roman" w:hAnsi="Times New Roman"/>
                <w:sz w:val="22"/>
                <w:szCs w:val="22"/>
              </w:rPr>
              <w:t xml:space="preserve"> — &lt;2 menit full pipeline, CPU only</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Berat — GPU, jam untuk fine-tuning</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Interpretabilitas</w:t>
            </w:r>
          </w:p>
        </w:tc>
        <w:tc>
          <w:tcPr>
            <w:tcW w:type="dxa" w:w="30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Tinggi</w:t>
            </w:r>
            <w:r>
              <w:rPr>
                <w:rFonts w:ascii="Times New Roman" w:cs="Times New Roman" w:eastAsia="Times New Roman" w:hAnsi="Times New Roman"/>
                <w:sz w:val="22"/>
                <w:szCs w:val="22"/>
              </w:rPr>
              <w:t xml:space="preserve"> — term weights explainable</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Rendah — black-box embeddings</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Cross-lingual</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Via bridge text (terjemahan manual)</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Langsung via multilingual model (mBERT)</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Dependency data</w:t>
            </w:r>
          </w:p>
        </w:tc>
        <w:tc>
          <w:tcPr>
            <w:tcW w:type="dxa" w:w="30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Tidak butuh</w:t>
            </w:r>
            <w:r>
              <w:rPr>
                <w:rFonts w:ascii="Times New Roman" w:cs="Times New Roman" w:eastAsia="Times New Roman" w:hAnsi="Times New Roman"/>
                <w:sz w:val="22"/>
                <w:szCs w:val="22"/>
              </w:rPr>
              <w:t xml:space="preserve"> labeled training data</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Butuh labeled pairs untuk fine-tuning</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Domain filtering</w:t>
            </w:r>
          </w:p>
        </w:tc>
        <w:tc>
          <w:tcPr>
            <w:tcW w:type="dxa" w:w="30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Eksplisit</w:t>
            </w:r>
            <w:r>
              <w:rPr>
                <w:rFonts w:ascii="Times New Roman" w:cs="Times New Roman" w:eastAsia="Times New Roman" w:hAnsi="Times New Roman"/>
                <w:sz w:val="22"/>
                <w:szCs w:val="22"/>
              </w:rPr>
              <w:t xml:space="preserve"> via ISCED + TF-IDF domain vec</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Implicit via fine-tuning domain</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Reproducibility</w:t>
            </w:r>
          </w:p>
        </w:tc>
        <w:tc>
          <w:tcPr>
            <w:tcW w:type="dxa" w:w="3000"/>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Deterministik</w:t>
            </w:r>
            <w:r>
              <w:rPr>
                <w:rFonts w:ascii="Times New Roman" w:cs="Times New Roman" w:eastAsia="Times New Roman" w:hAnsi="Times New Roman"/>
                <w:sz w:val="22"/>
                <w:szCs w:val="22"/>
              </w:rPr>
              <w:t xml:space="preserve">, fully reproducible</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Variasi antar run, seed-sensitive</w:t>
            </w:r>
          </w:p>
        </w:tc>
      </w:tr>
    </w:tbl>
    <w:p>
      <w:pPr>
        <w:spacing w:line="360" w:lineRule="auto"/>
      </w:pPr>
      <w:r>
        <w:rPr>
          <w:rFonts w:ascii="Times New Roman" w:cs="Times New Roman" w:eastAsia="Times New Roman" w:hAnsi="Times New Roman"/>
          <w:sz w:val="24"/>
          <w:szCs w:val="24"/>
        </w:rPr>
        <w:t xml:space="preserve"/>
      </w:r>
    </w:p>
    <w:p>
      <w:pPr>
        <w:spacing w:line="360" w:lineRule="auto" w:before="0" w:after="160"/>
        <w:ind w:firstLine="567"/>
        <w:jc w:val="both"/>
      </w:pPr>
      <w:r>
        <w:rPr>
          <w:rFonts w:ascii="Times New Roman" w:cs="Times New Roman" w:eastAsia="Times New Roman" w:hAnsi="Times New Roman"/>
          <w:sz w:val="24"/>
          <w:szCs w:val="24"/>
        </w:rPr>
        <w:t xml:space="preserve">Tiga alasan utama pemilihan TF-IDF: (1) tidak tersedia labeled training data untuk CPL-skill matching dalam konteks Indonesia; (2) kebutuhan interpretabilitas tinggi untuk konteks audit kurikulum yang memerlukan transparansi term-level; dan (3) efisiensi komputasi memungkinkan iterasi cepat dalam pengembangan pipeline multi-stage dengan 191.688 pemetaan kandidat.</w:t>
      </w:r>
    </w:p>
    <w:p>
      <w:pPr>
        <w:spacing w:line="360" w:lineRule="auto" w:before="300" w:after="160"/>
        <w:ind w:left="360"/>
        <w:jc w:val="both"/>
      </w:pPr>
      <w:r>
        <w:rPr>
          <w:rFonts w:ascii="Times New Roman" w:cs="Times New Roman" w:eastAsia="Times New Roman" w:hAnsi="Times New Roman"/>
          <w:b/>
          <w:bCs/>
          <w:sz w:val="24"/>
          <w:szCs w:val="24"/>
        </w:rPr>
        <w:t xml:space="preserve">6.2.4  Perbandingan dengan Pemetaan SKKNI–Internasional secara Manual</w:t>
      </w:r>
    </w:p>
    <w:p>
      <w:pPr>
        <w:spacing w:line="360" w:lineRule="auto" w:before="0" w:after="160"/>
        <w:ind w:firstLine="567"/>
        <w:jc w:val="both"/>
      </w:pPr>
      <w:r>
        <w:rPr>
          <w:rFonts w:ascii="Times New Roman" w:cs="Times New Roman" w:eastAsia="Times New Roman" w:hAnsi="Times New Roman"/>
          <w:sz w:val="24"/>
          <w:szCs w:val="24"/>
        </w:rPr>
        <w:t xml:space="preserve">Beberapa lembaga (BNSP, Kemnaker) telah melakukan pemetaan manual antara SKKNI dan standar internasional. Penelitian ini memberikan </w:t>
      </w:r>
      <w:r>
        <w:rPr>
          <w:rFonts w:ascii="Times New Roman" w:cs="Times New Roman" w:eastAsia="Times New Roman" w:hAnsi="Times New Roman"/>
          <w:b/>
          <w:bCs/>
          <w:sz w:val="24"/>
          <w:szCs w:val="24"/>
        </w:rPr>
        <w:t xml:space="preserve">komplementasi otomatis</w:t>
      </w:r>
      <w:r>
        <w:rPr>
          <w:rFonts w:ascii="Times New Roman" w:cs="Times New Roman" w:eastAsia="Times New Roman" w:hAnsi="Times New Roman"/>
          <w:sz w:val="24"/>
          <w:szCs w:val="24"/>
        </w:rPr>
        <w:t xml:space="preserve"> dengan karakteristik yang berbeda secara fundamental:</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6.7  Perbandingan Pemetaan Manual vs IR-KG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Aspek</w:t>
            </w:r>
          </w:p>
        </w:tc>
        <w:tc>
          <w:tcPr>
            <w:tcW w:type="dxa" w:w="3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Pemetaan Manual</w:t>
            </w:r>
          </w:p>
        </w:tc>
        <w:tc>
          <w:tcPr>
            <w:tcW w:type="dxa" w:w="402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IR-KG Otomatis</w:t>
            </w:r>
          </w:p>
        </w:tc>
      </w:tr>
      <w:tr>
        <w:tc>
          <w:tcPr>
            <w:tcW w:type="dxa" w:w="20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Skala</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Ratusan unit (terbatas SDM)</w:t>
            </w:r>
          </w:p>
        </w:tc>
        <w:tc>
          <w:tcPr>
            <w:tcW w:type="dxa" w:w="4026"/>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1.711 SKKNI × 13.939 ESCO</w:t>
            </w:r>
            <w:r>
              <w:rPr>
                <w:rFonts w:ascii="Times New Roman" w:cs="Times New Roman" w:eastAsia="Times New Roman" w:hAnsi="Times New Roman"/>
                <w:sz w:val="22"/>
                <w:szCs w:val="22"/>
              </w:rPr>
              <w:t xml:space="preserve"> = 23,8 juta komparasi dalam 103 detik</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Konsistensi</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Bergantung expert, inter-rater variability tinggi</w:t>
            </w:r>
          </w:p>
        </w:tc>
        <w:tc>
          <w:tcPr>
            <w:tcW w:type="dxa" w:w="4026"/>
            <w:tcBorders>
              <w:top w:val="single" w:color="AAAAAA" w:sz="4"/>
              <w:left w:val="single" w:color="AAAAAA" w:sz="4"/>
              <w:bottom w:val="single" w:color="AAAAAA" w:sz="4"/>
              <w:right w:val="single" w:color="AAAAAA" w:sz="4"/>
            </w:tcBorders>
            <w:shd w:fill="D4EDD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Deterministik</w:t>
            </w:r>
            <w:r>
              <w:rPr>
                <w:rFonts w:ascii="Times New Roman" w:cs="Times New Roman" w:eastAsia="Times New Roman" w:hAnsi="Times New Roman"/>
                <w:sz w:val="22"/>
                <w:szCs w:val="22"/>
              </w:rPr>
              <w:t xml:space="preserve">, parameter eksplisit, fully reproducible</w:t>
            </w:r>
          </w:p>
        </w:tc>
      </w:tr>
      <w:tr>
        <w:tc>
          <w:tcPr>
            <w:tcW w:type="dxa" w:w="20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Kedalaman semantik</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Expert judgment kontekstual mendalam</w:t>
            </w:r>
          </w:p>
        </w:tc>
        <w:tc>
          <w:tcPr>
            <w:tcW w:type="dxa" w:w="40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Kemiripan tekstual — kurang konteks implisit</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Output granularitas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Satu-ke-satu mapping</w:t>
            </w:r>
          </w:p>
        </w:tc>
        <w:tc>
          <w:tcPr>
            <w:tcW w:type="dxa" w:w="40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Top-K candidates dengan skor multi-dimensi (S_sem, S_gr, S_con, S_final)</w:t>
            </w:r>
          </w:p>
        </w:tc>
      </w:tr>
      <w:tr>
        <w:tc>
          <w:tcPr>
            <w:tcW w:type="dxa" w:w="20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Validasi</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Peer review manual</w:t>
            </w:r>
          </w:p>
        </w:tc>
        <w:tc>
          <w:tcPr>
            <w:tcW w:type="dxa" w:w="40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ECV crosswalk otomatis + ablasi 6 konfigurasi</w:t>
            </w:r>
          </w:p>
        </w:tc>
      </w:tr>
    </w:tbl>
    <w:p>
      <w:pPr>
        <w:spacing w:line="360" w:lineRule="auto"/>
      </w:pPr>
      <w:r>
        <w:rPr>
          <w:rFonts w:ascii="Times New Roman" w:cs="Times New Roman" w:eastAsia="Times New Roman" w:hAnsi="Times New Roman"/>
          <w:sz w:val="24"/>
          <w:szCs w:val="24"/>
        </w:rPr>
        <w:t xml:space="preserve"/>
      </w:r>
    </w:p>
    <w:p>
      <w:r>
        <w:br w:type="page"/>
      </w:r>
    </w:p>
    <w:p>
      <w:pPr>
        <w:spacing w:line="360" w:lineRule="auto" w:before="400" w:after="200"/>
        <w:jc w:val="both"/>
      </w:pPr>
      <w:r>
        <w:rPr>
          <w:rFonts w:ascii="Times New Roman" w:cs="Times New Roman" w:eastAsia="Times New Roman" w:hAnsi="Times New Roman"/>
          <w:b/>
          <w:bCs/>
          <w:sz w:val="24"/>
          <w:szCs w:val="24"/>
        </w:rPr>
        <w:t xml:space="preserve">6.3  Analisis Kontribusi Ilmiah</w:t>
      </w:r>
    </w:p>
    <w:p>
      <w:pPr>
        <w:spacing w:line="360" w:lineRule="auto" w:before="0" w:after="160"/>
        <w:ind w:firstLine="567"/>
        <w:jc w:val="both"/>
      </w:pPr>
      <w:r>
        <w:rPr>
          <w:rFonts w:ascii="Times New Roman" w:cs="Times New Roman" w:eastAsia="Times New Roman" w:hAnsi="Times New Roman"/>
          <w:sz w:val="24"/>
          <w:szCs w:val="24"/>
        </w:rPr>
        <w:t xml:space="preserve">Sebelum menguraikan kontribusi, perlu ditegaskan di mana letak novelty penelitian ini secara jujur. TF-IDF sebagai metode IR, cosine similarity sebagai ukuran kemiripan, dan bridge text (query expansion lintas bahasa) adalah teknik yang sudah mapan dalam literatur (Salton, 1975; Clavié et al., 2019; Decorte et al., 2021). Klaim novelty penelitian ini bukan pada komponen teknis individual tersebut, melainkan pada </w:t>
      </w:r>
      <w:r>
        <w:rPr>
          <w:rFonts w:ascii="Times New Roman" w:cs="Times New Roman" w:eastAsia="Times New Roman" w:hAnsi="Times New Roman"/>
          <w:b/>
          <w:bCs/>
          <w:sz w:val="24"/>
          <w:szCs w:val="24"/>
        </w:rPr>
        <w:t xml:space="preserve">problem formulation, arsitektur integrasi, dan mekanisme validasi</w:t>
      </w:r>
      <w:r>
        <w:rPr>
          <w:rFonts w:ascii="Times New Roman" w:cs="Times New Roman" w:eastAsia="Times New Roman" w:hAnsi="Times New Roman"/>
          <w:sz w:val="24"/>
          <w:szCs w:val="24"/>
        </w:rPr>
        <w:t xml:space="preserve"> yang belum pernah dikombinasikan dalam konteks pemetaan kurikulum perguruan tinggi Indonesia ke standar kompetensi lintas-framework.</w:t>
      </w:r>
    </w:p>
    <w:p>
      <w:pPr>
        <w:spacing w:line="360" w:lineRule="auto" w:before="300" w:after="160"/>
        <w:ind w:left="360"/>
        <w:jc w:val="both"/>
      </w:pPr>
      <w:r>
        <w:rPr>
          <w:rFonts w:ascii="Times New Roman" w:cs="Times New Roman" w:eastAsia="Times New Roman" w:hAnsi="Times New Roman"/>
          <w:b/>
          <w:bCs/>
          <w:sz w:val="24"/>
          <w:szCs w:val="24"/>
        </w:rPr>
        <w:t xml:space="preserve">6.3.1  Kontribusi 1: Problem Formulation Baru — Pipeline Pemetaan Tri-lateral CPL–ESCO–O*NET–SKKNI</w:t>
      </w:r>
    </w:p>
    <w:p>
      <w:pPr>
        <w:spacing w:line="360" w:lineRule="auto" w:before="0" w:after="160"/>
        <w:ind w:firstLine="567"/>
        <w:jc w:val="both"/>
      </w:pPr>
      <w:r>
        <w:rPr>
          <w:rFonts w:ascii="Times New Roman" w:cs="Times New Roman" w:eastAsia="Times New Roman" w:hAnsi="Times New Roman"/>
          <w:sz w:val="24"/>
          <w:szCs w:val="24"/>
        </w:rPr>
        <w:t xml:space="preserve">Novelty pertama bukan pada metode IR yang digunakan, melainkan pada </w:t>
      </w:r>
      <w:r>
        <w:rPr>
          <w:rFonts w:ascii="Times New Roman" w:cs="Times New Roman" w:eastAsia="Times New Roman" w:hAnsi="Times New Roman"/>
          <w:b/>
          <w:bCs/>
          <w:sz w:val="24"/>
          <w:szCs w:val="24"/>
        </w:rPr>
        <w:t xml:space="preserve">problem yang diformulasikan</w:t>
      </w:r>
      <w:r>
        <w:rPr>
          <w:rFonts w:ascii="Times New Roman" w:cs="Times New Roman" w:eastAsia="Times New Roman" w:hAnsi="Times New Roman"/>
          <w:sz w:val="24"/>
          <w:szCs w:val="24"/>
        </w:rPr>
        <w:t xml:space="preserve">: bagaimana memetakan CPL perguruan tinggi Indonesia ke tiga standar kompetensi yang heterogen — satu standar global skill-based (ESCO), satu standar global occupation-based (O*NET), dan satu standar nasional unit-based (SKKNI) — secara simultan dalam satu pipeline tertutup yang menghasilkan indeks agregat yang dapat diinterpretasikan. Tidak ada penelitian sebelumnya yang menggabungkan ketiga standar ini sekaligus untuk konteks kurikulum perguruan tinggi computing Indonesia.</w:t>
      </w:r>
    </w:p>
    <w:p>
      <w:pPr>
        <w:spacing w:line="360" w:lineRule="auto" w:before="0" w:after="160"/>
        <w:ind w:firstLine="567"/>
        <w:jc w:val="both"/>
      </w:pPr>
      <w:r>
        <w:rPr>
          <w:rFonts w:ascii="Times New Roman" w:cs="Times New Roman" w:eastAsia="Times New Roman" w:hAnsi="Times New Roman"/>
          <w:sz w:val="24"/>
          <w:szCs w:val="24"/>
        </w:rPr>
        <w:t xml:space="preserve">Pemetaan ke tiga standar sekaligus mensyaratkan penyelesaian tiga sub-problem yang berbeda: (1) pemetaan CPL berbahasa Indonesia ke ESCO berbahasa Inggris yang berbasis taksonomi skill (Task T1a/T1b); (2) pemetaan CPL ke O*NET yang berbasis occupation; dan (3) pemetaan CPL ke SKKNI yang monolingual namun granularitasnya berbeda. Formulasi kedelapan task secara simultan (T1a–T5) beserta pipeline multi-stage yang menanganinya secara seragam — dengan formula hybrid yang dapat dikalibrasi per task — merupakan kontribusi problem formulation yang tidak ditemukan dalam literatur pemetaan kompetensi sebelumnya.</w:t>
      </w:r>
    </w:p>
    <w:p>
      <w:pPr>
        <w:spacing w:line="360" w:lineRule="auto" w:before="300" w:after="160"/>
        <w:ind w:left="360"/>
        <w:jc w:val="both"/>
      </w:pPr>
      <w:r>
        <w:rPr>
          <w:rFonts w:ascii="Times New Roman" w:cs="Times New Roman" w:eastAsia="Times New Roman" w:hAnsi="Times New Roman"/>
          <w:b/>
          <w:bCs/>
          <w:sz w:val="24"/>
          <w:szCs w:val="24"/>
        </w:rPr>
        <w:t xml:space="preserve">6.3.2  Kontribusi 2: Operasionalisasi Domain Boundary per Prodi sebagai Komponen Scoring</w:t>
      </w:r>
    </w:p>
    <w:p>
      <w:pPr>
        <w:spacing w:line="360" w:lineRule="auto" w:before="0" w:after="160"/>
        <w:ind w:firstLine="567"/>
        <w:jc w:val="both"/>
      </w:pPr>
      <w:r>
        <w:rPr>
          <w:rFonts w:ascii="Times New Roman" w:cs="Times New Roman" w:eastAsia="Times New Roman" w:hAnsi="Times New Roman"/>
          <w:sz w:val="24"/>
          <w:szCs w:val="24"/>
        </w:rPr>
        <w:t xml:space="preserve">Yang baru di sini bukan penggunaan TF-IDF atau whitelist secara terpisah — keduanya sudah ada. Yang baru adalah pengkodean domain boundary per-prodi sebagai komponen skor aktif dalam formula hybrid, bukan sekadar filter biner pra-proses. Dalam sistem pemetaan kompetensi yang ada, domain filtering umumnya dilakukan secara manual oleh ahli atau tidak dilakukan sama sekali. Penelitian ini mengotomatisasi batas domain keilmuan enam prodi APTIKOM — yang selama ini hanya ada dalam dokumen kurikulum — ke dalam S_con = {1,0 / 0,5 / 0,0} yang berpartisipasi langsung dalam perhitungan S_final. Contoh konkret: skill “ICT architectural frameworks” (S_sem=0,188, S_con=1,0, S_final=0,411) diterima, sementara “record wood treatment information” (S_sem=0,187, S_con=0,0, S_final=0,064) ditolak — selisih S_sem hanya 0,001, namun S_con menentukan diterima-tidaknya secara menyeluruh. Granularitas tiga tingkat (core/adjacent/outside) juga mengoperasionalkan konsep interdisipliner “adjacent domain” yang ada dalam literatur curriculum design namun belum pernah dikodekan sebagai komponen scoring otomatis berbasis IR.</w:t>
      </w:r>
    </w:p>
    <w:p>
      <w:pPr>
        <w:spacing w:line="360" w:lineRule="auto" w:before="300" w:after="160"/>
        <w:ind w:left="360"/>
        <w:jc w:val="both"/>
      </w:pPr>
      <w:r>
        <w:rPr>
          <w:rFonts w:ascii="Times New Roman" w:cs="Times New Roman" w:eastAsia="Times New Roman" w:hAnsi="Times New Roman"/>
          <w:b/>
          <w:bCs/>
          <w:sz w:val="24"/>
          <w:szCs w:val="24"/>
        </w:rPr>
        <w:t xml:space="preserve">6.3.3  Kontribusi 3: CRI-KG sebagai Indeks Kesiapan Karir Multi-Framework dengan Komponen Nasional</w:t>
      </w:r>
    </w:p>
    <w:p>
      <w:pPr>
        <w:spacing w:line="360" w:lineRule="auto" w:before="0" w:after="160"/>
        <w:ind w:firstLine="567"/>
        <w:jc w:val="both"/>
      </w:pPr>
      <w:r>
        <w:rPr>
          <w:rFonts w:ascii="Times New Roman" w:cs="Times New Roman" w:eastAsia="Times New Roman" w:hAnsi="Times New Roman"/>
          <w:sz w:val="24"/>
          <w:szCs w:val="24"/>
        </w:rPr>
        <w:t xml:space="preserve">Dalam literatur curriculum-career alignment internasional, indeks yang ada (misalnya dari CEDEFOP atau O*NET-based tools) hanya menggunakan standar global. Tidak ada yang mengintegrasikan standar kompetensi nasional negara berkembang sebagai komponen eksplisit dengan bobot yang dapat dikalibrasi. CRI-KG mengisi celah ini dengan memasukkan SKKNI sebagai komponen ketiga (bobot 0,25) — bukan sekadar tambahan, melainkan komponen yang berbobot berbeda sesuai prioritas konteks Indonesia.</w:t>
      </w:r>
    </w:p>
    <w:p>
      <w:pPr>
        <w:spacing w:line="360" w:lineRule="auto" w:before="200" w:after="200"/>
        <w:jc w:val="center"/>
      </w:pPr>
      <w:r>
        <w:rPr>
          <w:rFonts w:ascii="Times New Roman" w:cs="Times New Roman" w:eastAsia="Times New Roman" w:hAnsi="Times New Roman"/>
          <w:b/>
          <w:bCs/>
          <w:i/>
          <w:iCs/>
          <w:sz w:val="24"/>
          <w:szCs w:val="24"/>
        </w:rPr>
        <w:t xml:space="preserve">CRI(cᵢ) = 0,40 · R_ESCO + 0,35 · R_ONET + 0,25 · R_SKKNI</w:t>
      </w:r>
    </w:p>
    <w:p>
      <w:pPr>
        <w:spacing w:line="360" w:lineRule="auto" w:before="0" w:after="160"/>
        <w:ind w:firstLine="567"/>
        <w:jc w:val="both"/>
      </w:pPr>
      <w:r>
        <w:rPr>
          <w:rFonts w:ascii="Times New Roman" w:cs="Times New Roman" w:eastAsia="Times New Roman" w:hAnsi="Times New Roman"/>
          <w:sz w:val="24"/>
          <w:szCs w:val="24"/>
        </w:rPr>
        <w:t xml:space="preserve">Novelty CRI-KG juga terletak pada mekanisme pembedaan pemetaan: accepted mappings non-forced (R &gt; 0) vs forced top-1 (R = 0). Ini berarti CRI tidak “mengada-ada” — ketika sistem tidak memiliki pemetaan berkualitas untuk suatu butir CPL, indeks melaporkan nol, bukan mengisi dengan nilai rendah yang ambigu. Transparansi ini memungkinkan pengelola kurikulum mengidentifikasi butir CPL yang genuinely tidak terwakili dalam standar global, bukan sekadar butir yang skornya rendah.</w:t>
      </w:r>
    </w:p>
    <w:p>
      <w:pPr>
        <w:spacing w:line="360" w:lineRule="auto" w:before="300" w:after="160"/>
        <w:ind w:left="360"/>
        <w:jc w:val="both"/>
      </w:pPr>
      <w:r>
        <w:rPr>
          <w:rFonts w:ascii="Times New Roman" w:cs="Times New Roman" w:eastAsia="Times New Roman" w:hAnsi="Times New Roman"/>
          <w:b/>
          <w:bCs/>
          <w:sz w:val="24"/>
          <w:szCs w:val="24"/>
        </w:rPr>
        <w:t xml:space="preserve">6.3.4  Kontribusi 4: ECV — Validasi Konsistensi Transitif Tanpa Ground Truth Berlabel</w:t>
      </w:r>
    </w:p>
    <w:p>
      <w:pPr>
        <w:spacing w:line="360" w:lineRule="auto" w:before="0" w:after="160"/>
        <w:ind w:firstLine="567"/>
        <w:jc w:val="both"/>
      </w:pPr>
      <w:r>
        <w:rPr>
          <w:rFonts w:ascii="Times New Roman" w:cs="Times New Roman" w:eastAsia="Times New Roman" w:hAnsi="Times New Roman"/>
          <w:sz w:val="24"/>
          <w:szCs w:val="24"/>
        </w:rPr>
        <w:t xml:space="preserve">Keterbatasan klasik evaluasi sistem pemetaan kompetensi adalah tidak adanya ground truth berlabel — tidak ada “jawaban benar” yang baku untuk pasangan CPL-skill. Penelitian sebelumnya umumnya mengandalkan expert annotation yang mahal dan tidak scalable. ECV menawarkan alternatif: </w:t>
      </w:r>
      <w:r>
        <w:rPr>
          <w:rFonts w:ascii="Times New Roman" w:cs="Times New Roman" w:eastAsia="Times New Roman" w:hAnsi="Times New Roman"/>
          <w:b/>
          <w:bCs/>
          <w:sz w:val="24"/>
          <w:szCs w:val="24"/>
        </w:rPr>
        <w:t xml:space="preserve">validasi konsistensi transitif</w:t>
      </w:r>
      <w:r>
        <w:rPr>
          <w:rFonts w:ascii="Times New Roman" w:cs="Times New Roman" w:eastAsia="Times New Roman" w:hAnsi="Times New Roman"/>
          <w:sz w:val="24"/>
          <w:szCs w:val="24"/>
        </w:rPr>
        <w:t xml:space="preserve"> menggunakan crosswalk resmi ESCO–O*NET (European Commission) sebagai mediator eksternal. Jika dua jalur pemetaan independen (CPL/SKKNI→ESCO via T1/T4 dan CPL/SKKNI→O*NET via T2/T5) menghasilkan hasil yang konsisten ketika dihubungkan via crosswalk yang diakui secara internasional, ini merupakan bukti validitas konvergen bahwa model menangkap sinyal yang bermakna — bukan noise.</w:t>
      </w:r>
    </w:p>
    <w:p>
      <w:pPr>
        <w:spacing w:line="360" w:lineRule="auto" w:before="0" w:after="160"/>
        <w:ind w:firstLine="567"/>
        <w:jc w:val="both"/>
      </w:pPr>
      <w:r>
        <w:rPr>
          <w:rFonts w:ascii="Times New Roman" w:cs="Times New Roman" w:eastAsia="Times New Roman" w:hAnsi="Times New Roman"/>
          <w:sz w:val="24"/>
          <w:szCs w:val="24"/>
        </w:rPr>
        <w:t xml:space="preserve">Pendekatan validasi semacam ini belum ditemukan dalam literatur pemetaan kompetensi kurikulum. ECV bukan menggantikan expert annotation, melainkan menyediakan bukti awal yang scalable — dapat dijalankan sepenuhnya otomatis untuk ribuan unit (Chain 2: 1.682 SKKNI) — yang menunjukkan bahwa sinyal yang ditangkap pipeline adalah 8,7× lebih besar dari baseline acak. Pola ini dapat diadaptasi untuk konteks pemetaan kompetensi lintas-framework lain yang juga kekurangan ground truth berlabel.</w:t>
      </w:r>
    </w:p>
    <w:p>
      <w:r>
        <w:br w:type="page"/>
      </w:r>
    </w:p>
    <w:p>
      <w:pPr>
        <w:spacing w:line="360" w:lineRule="auto" w:before="400" w:after="200"/>
        <w:jc w:val="both"/>
      </w:pPr>
      <w:r>
        <w:rPr>
          <w:rFonts w:ascii="Times New Roman" w:cs="Times New Roman" w:eastAsia="Times New Roman" w:hAnsi="Times New Roman"/>
          <w:b/>
          <w:bCs/>
          <w:sz w:val="24"/>
          <w:szCs w:val="24"/>
        </w:rPr>
        <w:t xml:space="preserve">6.4  Konsistensi dengan Landasan Teori dan Kerangka Konseptual</w:t>
      </w:r>
    </w:p>
    <w:p>
      <w:pPr>
        <w:spacing w:line="360" w:lineRule="auto" w:before="300" w:after="160"/>
        <w:ind w:left="360"/>
        <w:jc w:val="both"/>
      </w:pPr>
      <w:r>
        <w:rPr>
          <w:rFonts w:ascii="Times New Roman" w:cs="Times New Roman" w:eastAsia="Times New Roman" w:hAnsi="Times New Roman"/>
          <w:b/>
          <w:bCs/>
          <w:sz w:val="24"/>
          <w:szCs w:val="24"/>
        </w:rPr>
        <w:t xml:space="preserve">6.4.1  Konsistensi dengan Teori Information Retrieval</w:t>
      </w:r>
    </w:p>
    <w:p>
      <w:pPr>
        <w:spacing w:line="360" w:lineRule="auto" w:before="0" w:after="160"/>
        <w:ind w:firstLine="567"/>
        <w:jc w:val="both"/>
      </w:pPr>
      <w:r>
        <w:rPr>
          <w:rFonts w:ascii="Times New Roman" w:cs="Times New Roman" w:eastAsia="Times New Roman" w:hAnsi="Times New Roman"/>
          <w:sz w:val="24"/>
          <w:szCs w:val="24"/>
        </w:rPr>
        <w:t xml:space="preserve">Pipeline ini dibangun di atas fondasi teori Vector Space Model (Salton, 1975) yang memodelkan dokumen dan query sebagai vektor dalam ruang TF-IDF. Tabel 6.8 memperlihatkan korespondensii langsung antara prinsip IR klasik dan implementasinya dalam pipeline IR-KG:</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6.8  Korespondensii Prinsip IR dengan Implementasi Pipeline IR-KG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Prinsip IR (Salton, 1975)</w:t>
            </w:r>
          </w:p>
        </w:tc>
        <w:tc>
          <w:tcPr>
            <w:tcW w:type="dxa" w:w="642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Implementasi dalam Pipeline IR-KG</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Representasi dokumen sebagai vektor</w:t>
            </w:r>
          </w:p>
        </w:tc>
        <w:tc>
          <w:tcPr>
            <w:tcW w:type="dxa" w:w="6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Setiap skill ESCO, CPL, dan SKKNI direpresentasikan sebagai vektor TF-IDF</w:t>
            </w:r>
          </w:p>
        </w:tc>
      </w:tr>
      <w:t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Cosine similarity sebagai ukuran relevansi</w:t>
            </w:r>
          </w:p>
        </w:tc>
        <w:tc>
          <w:tcPr>
            <w:tcW w:type="dxa" w:w="6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S_sem = cosine(source_vec, target_vec) via linear_kernel scikit-learn</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Query expansion</w:t>
            </w:r>
          </w:p>
        </w:tc>
        <w:tc>
          <w:tcPr>
            <w:tcW w:type="dxa" w:w="6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Bridge text (EN translation) = implicit query expansion untuk task cross-lingual</w:t>
            </w:r>
          </w:p>
        </w:tc>
      </w:tr>
      <w:t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Relevance feedback</w:t>
            </w:r>
          </w:p>
        </w:tc>
        <w:tc>
          <w:tcPr>
            <w:tcW w:type="dxa" w:w="6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Ablasi 6 konfigurasi = systematic exploration parameter space (α,β,γ,τ)</w:t>
            </w:r>
          </w:p>
        </w:tc>
      </w:tr>
      <w:tr>
        <w:tc>
          <w:tcPr>
            <w:tcW w:type="dxa" w:w="26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Top-K retrieval</w:t>
            </w:r>
          </w:p>
        </w:tc>
        <w:tc>
          <w:tcPr>
            <w:tcW w:type="dxa" w:w="6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TOP_K=20 kandidat per source item, kemudian di-rerank oleh S_final</w:t>
            </w:r>
          </w:p>
        </w:tc>
      </w:tr>
      <w:t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Threshold-based acceptance</w:t>
            </w:r>
          </w:p>
        </w:tc>
        <w:tc>
          <w:tcPr>
            <w:tcW w:type="dxa" w:w="64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Tau (quantile_50/75/zero) = acceptance threshold dengan tradeoff precision-recall</w:t>
            </w:r>
          </w:p>
        </w:tc>
      </w:tr>
    </w:tbl>
    <w:p>
      <w:pPr>
        <w:spacing w:line="360" w:lineRule="auto"/>
      </w:pPr>
      <w:r>
        <w:rPr>
          <w:rFonts w:ascii="Times New Roman" w:cs="Times New Roman" w:eastAsia="Times New Roman" w:hAnsi="Times New Roman"/>
          <w:sz w:val="24"/>
          <w:szCs w:val="24"/>
        </w:rPr>
        <w:t xml:space="preserve"/>
      </w:r>
    </w:p>
    <w:p>
      <w:pPr>
        <w:spacing w:line="360" w:lineRule="auto" w:before="300" w:after="160"/>
        <w:ind w:left="360"/>
        <w:jc w:val="both"/>
      </w:pPr>
      <w:r>
        <w:rPr>
          <w:rFonts w:ascii="Times New Roman" w:cs="Times New Roman" w:eastAsia="Times New Roman" w:hAnsi="Times New Roman"/>
          <w:b/>
          <w:bCs/>
          <w:sz w:val="24"/>
          <w:szCs w:val="24"/>
        </w:rPr>
        <w:t xml:space="preserve">6.4.2  Konsistensi dengan Teori Knowledge Graph</w:t>
      </w:r>
    </w:p>
    <w:p>
      <w:pPr>
        <w:spacing w:line="360" w:lineRule="auto" w:before="0" w:after="160"/>
        <w:ind w:firstLine="567"/>
        <w:jc w:val="both"/>
      </w:pPr>
      <w:r>
        <w:rPr>
          <w:rFonts w:ascii="Times New Roman" w:cs="Times New Roman" w:eastAsia="Times New Roman" w:hAnsi="Times New Roman"/>
          <w:sz w:val="24"/>
          <w:szCs w:val="24"/>
        </w:rPr>
        <w:t xml:space="preserve">Komponen S_gr berakar pada teori kohesi graf yang menyatakan bahwa node yang bertetangga dalam graph cenderung memiliki relevansi tematik lebih tinggi (Watts &amp; Strogatz, 1998; Newman, 2003). Formula S_gr merupakan adaptasi dari </w:t>
      </w:r>
      <w:r>
        <w:rPr>
          <w:rFonts w:ascii="Times New Roman" w:cs="Times New Roman" w:eastAsia="Times New Roman" w:hAnsi="Times New Roman"/>
          <w:i/>
          <w:iCs/>
          <w:sz w:val="24"/>
          <w:szCs w:val="24"/>
        </w:rPr>
        <w:t xml:space="preserve">clustering coefficient</w:t>
      </w:r>
      <w:r>
        <w:rPr>
          <w:rFonts w:ascii="Times New Roman" w:cs="Times New Roman" w:eastAsia="Times New Roman" w:hAnsi="Times New Roman"/>
          <w:sz w:val="24"/>
          <w:szCs w:val="24"/>
        </w:rPr>
        <w:t xml:space="preserve"> lokal:</w:t>
      </w:r>
    </w:p>
    <w:p>
      <w:pPr>
        <w:spacing w:line="360" w:lineRule="auto" w:before="200" w:after="200"/>
        <w:jc w:val="center"/>
      </w:pPr>
      <w:r>
        <w:rPr>
          <w:rFonts w:ascii="Times New Roman" w:cs="Times New Roman" w:eastAsia="Times New Roman" w:hAnsi="Times New Roman"/>
          <w:b/>
          <w:bCs/>
          <w:i/>
          <w:iCs/>
          <w:sz w:val="24"/>
          <w:szCs w:val="24"/>
        </w:rPr>
        <w:t xml:space="preserve">S_gr(t, src) = |N_graph(t) ∩ TopK(src)| / (K − 1)</w:t>
      </w:r>
    </w:p>
    <w:p>
      <w:pPr>
        <w:spacing w:line="360" w:lineRule="auto" w:before="0" w:after="160"/>
        <w:ind w:firstLine="567"/>
        <w:jc w:val="both"/>
      </w:pPr>
      <w:r>
        <w:rPr>
          <w:rFonts w:ascii="Times New Roman" w:cs="Times New Roman" w:eastAsia="Times New Roman" w:hAnsi="Times New Roman"/>
          <w:sz w:val="24"/>
          <w:szCs w:val="24"/>
        </w:rPr>
        <w:t xml:space="preserve">Nilai S_gr rendah secara keseluruhan (&lt;0,1 rata-rata) konsisten dengan sifat ESCO graph yang </w:t>
      </w:r>
      <w:r>
        <w:rPr>
          <w:rFonts w:ascii="Times New Roman" w:cs="Times New Roman" w:eastAsia="Times New Roman" w:hAnsi="Times New Roman"/>
          <w:i/>
          <w:iCs/>
          <w:sz w:val="24"/>
          <w:szCs w:val="24"/>
        </w:rPr>
        <w:t xml:space="preserve">sparse</w:t>
      </w:r>
      <w:r>
        <w:rPr>
          <w:rFonts w:ascii="Times New Roman" w:cs="Times New Roman" w:eastAsia="Times New Roman" w:hAnsi="Times New Roman"/>
          <w:sz w:val="24"/>
          <w:szCs w:val="24"/>
        </w:rPr>
        <w:t xml:space="preserve"> — relasi antar skill tidak dense seperti social network. Meski nilainya kecil, kontribusi S_gr dalam membedakan kandidat terbukti bermakna: penambahan β=0,33 pada v1.2 menghasilkan peningkatan sel_obj yang konsisten dibanding v1.0 (β=0,25) maupun v0.9 (β=0,0).</w:t>
      </w:r>
    </w:p>
    <w:p>
      <w:pPr>
        <w:spacing w:line="360" w:lineRule="auto" w:before="300" w:after="160"/>
        <w:ind w:left="360"/>
        <w:jc w:val="both"/>
      </w:pPr>
      <w:r>
        <w:rPr>
          <w:rFonts w:ascii="Times New Roman" w:cs="Times New Roman" w:eastAsia="Times New Roman" w:hAnsi="Times New Roman"/>
          <w:b/>
          <w:bCs/>
          <w:sz w:val="24"/>
          <w:szCs w:val="24"/>
        </w:rPr>
        <w:t xml:space="preserve">6.4.3  Konsistensi dengan Kerangka KKNI dan APTIKOM 2022</w:t>
      </w:r>
    </w:p>
    <w:p>
      <w:pPr>
        <w:spacing w:line="360" w:lineRule="auto" w:before="0" w:after="160"/>
        <w:ind w:firstLine="567"/>
        <w:jc w:val="both"/>
      </w:pPr>
      <w:r>
        <w:rPr>
          <w:rFonts w:ascii="Times New Roman" w:cs="Times New Roman" w:eastAsia="Times New Roman" w:hAnsi="Times New Roman"/>
          <w:sz w:val="24"/>
          <w:szCs w:val="24"/>
        </w:rPr>
        <w:t xml:space="preserve">Penelitian ini dirancang selaras dengan Kerangka Kualifikasi Nasional Indonesia (KKNI) dan panduan APTIKOM 2022 dalam dua aspek kunci. Pertama, </w:t>
      </w:r>
      <w:r>
        <w:rPr>
          <w:rFonts w:ascii="Times New Roman" w:cs="Times New Roman" w:eastAsia="Times New Roman" w:hAnsi="Times New Roman"/>
          <w:b/>
          <w:bCs/>
          <w:sz w:val="24"/>
          <w:szCs w:val="24"/>
        </w:rPr>
        <w:t xml:space="preserve">ranah CPL</w:t>
      </w:r>
      <w:r>
        <w:rPr>
          <w:rFonts w:ascii="Times New Roman" w:cs="Times New Roman" w:eastAsia="Times New Roman" w:hAnsi="Times New Roman"/>
          <w:sz w:val="24"/>
          <w:szCs w:val="24"/>
        </w:rPr>
        <w:t xml:space="preserve">: empat ranah (Sikap, Pengetahuan, Keterampilan Umum, Keterampilan Khusus) sesuai persis dengan Permendikbud No. 3 Tahun 2020 yang diadopsi APTIKOM. Kedua, </w:t>
      </w:r>
      <w:r>
        <w:rPr>
          <w:rFonts w:ascii="Times New Roman" w:cs="Times New Roman" w:eastAsia="Times New Roman" w:hAnsi="Times New Roman"/>
          <w:b/>
          <w:bCs/>
          <w:sz w:val="24"/>
          <w:szCs w:val="24"/>
        </w:rPr>
        <w:t xml:space="preserve">domain prodi</w:t>
      </w:r>
      <w:r>
        <w:rPr>
          <w:rFonts w:ascii="Times New Roman" w:cs="Times New Roman" w:eastAsia="Times New Roman" w:hAnsi="Times New Roman"/>
          <w:sz w:val="24"/>
          <w:szCs w:val="24"/>
        </w:rPr>
        <w:t xml:space="preserve">: enam prodi APTIKOM (SI, TI, CS, SE, CE, DS) digunakan sebagai unit analisis, dengan domain text per prodi dibangun dari core_keywords dan adjacent_keywords yang bersumber dari kurikulum acuan APTIKOM 2022.</w:t>
      </w:r>
    </w:p>
    <w:p>
      <w:pPr>
        <w:spacing w:line="360" w:lineRule="auto" w:before="0" w:after="160"/>
        <w:ind w:firstLine="567"/>
        <w:jc w:val="both"/>
      </w:pPr>
      <w:r>
        <w:rPr>
          <w:rFonts w:ascii="Times New Roman" w:cs="Times New Roman" w:eastAsia="Times New Roman" w:hAnsi="Times New Roman"/>
          <w:sz w:val="24"/>
          <w:szCs w:val="24"/>
        </w:rPr>
        <w:t xml:space="preserve">Temuan bahwa ranah Pengetahuan memiliki CRI tertinggi (rata-rata 0,365) konsisten dengan ekspektasi KKNI: ranah Pengetahuan bersifat deklaratif dan prosedural yang lebih mudah dioperasionalisasikan ke standar kompetensi terukur, sementara ranah Sikap bersifat afektif yang sulit diukur via framework skill-based manapun.</w:t>
      </w:r>
    </w:p>
    <w:p>
      <w:pPr>
        <w:spacing w:line="360" w:lineRule="auto" w:before="300" w:after="160"/>
        <w:ind w:left="360"/>
        <w:jc w:val="both"/>
      </w:pPr>
      <w:r>
        <w:rPr>
          <w:rFonts w:ascii="Times New Roman" w:cs="Times New Roman" w:eastAsia="Times New Roman" w:hAnsi="Times New Roman"/>
          <w:b/>
          <w:bCs/>
          <w:sz w:val="24"/>
          <w:szCs w:val="24"/>
        </w:rPr>
        <w:t xml:space="preserve">6.4.4  Konsistensi dengan Teori Curriculum Alignment</w:t>
      </w:r>
    </w:p>
    <w:p>
      <w:pPr>
        <w:spacing w:line="360" w:lineRule="auto" w:before="0" w:after="160"/>
        <w:ind w:firstLine="567"/>
        <w:jc w:val="both"/>
      </w:pPr>
      <w:r>
        <w:rPr>
          <w:rFonts w:ascii="Times New Roman" w:cs="Times New Roman" w:eastAsia="Times New Roman" w:hAnsi="Times New Roman"/>
          <w:sz w:val="24"/>
          <w:szCs w:val="24"/>
        </w:rPr>
        <w:t xml:space="preserve">Konsep </w:t>
      </w:r>
      <w:r>
        <w:rPr>
          <w:rFonts w:ascii="Times New Roman" w:cs="Times New Roman" w:eastAsia="Times New Roman" w:hAnsi="Times New Roman"/>
          <w:i/>
          <w:iCs/>
          <w:sz w:val="24"/>
          <w:szCs w:val="24"/>
        </w:rPr>
        <w:t xml:space="preserve">curriculum alignment</w:t>
      </w:r>
      <w:r>
        <w:rPr>
          <w:rFonts w:ascii="Times New Roman" w:cs="Times New Roman" w:eastAsia="Times New Roman" w:hAnsi="Times New Roman"/>
          <w:sz w:val="24"/>
          <w:szCs w:val="24"/>
        </w:rPr>
        <w:t xml:space="preserve"> (Biggs, 2003) menyatakan bahwa efektivitas kurikulum bergantung pada keselarasan antara </w:t>
      </w:r>
      <w:r>
        <w:rPr>
          <w:rFonts w:ascii="Times New Roman" w:cs="Times New Roman" w:eastAsia="Times New Roman" w:hAnsi="Times New Roman"/>
          <w:i/>
          <w:iCs/>
          <w:sz w:val="24"/>
          <w:szCs w:val="24"/>
        </w:rPr>
        <w:t xml:space="preserve">intended learning outcomes</w:t>
      </w:r>
      <w:r>
        <w:rPr>
          <w:rFonts w:ascii="Times New Roman" w:cs="Times New Roman" w:eastAsia="Times New Roman" w:hAnsi="Times New Roman"/>
          <w:sz w:val="24"/>
          <w:szCs w:val="24"/>
        </w:rPr>
        <w:t xml:space="preserve"> (ILO), aktivitas pengajaran, dan asesmen. CRI-KG beroperasi pada level ILO (CPL = intended learning outcomes) dan mengukur sejauh mana ILO tersebut terwakili dalam standar kompetensi kerja (ESCO, O*NET, SKKNI).</w:t>
      </w:r>
    </w:p>
    <w:p>
      <w:pPr>
        <w:spacing w:line="360" w:lineRule="auto" w:before="0" w:after="160"/>
        <w:ind w:firstLine="567"/>
        <w:jc w:val="both"/>
      </w:pPr>
      <w:r>
        <w:rPr>
          <w:rFonts w:ascii="Times New Roman" w:cs="Times New Roman" w:eastAsia="Times New Roman" w:hAnsi="Times New Roman"/>
          <w:sz w:val="24"/>
          <w:szCs w:val="24"/>
        </w:rPr>
        <w:t xml:space="preserve">Butir CPL dengan CRI rendah — khususnya ranah Sikap dan Keterampilan Umum — mengindikasikan bahwa ILO tersebut belum sepenuhnya terartikulasikan dalam bahasa kompetensi yang terukur. Ini konsisten dengan kritik Biggs (2003) bahwa ILO yang terlalu abstrak (</w:t>
      </w:r>
      <w:r>
        <w:rPr>
          <w:rFonts w:ascii="Times New Roman" w:cs="Times New Roman" w:eastAsia="Times New Roman" w:hAnsi="Times New Roman"/>
          <w:i/>
          <w:iCs/>
          <w:sz w:val="24"/>
          <w:szCs w:val="24"/>
        </w:rPr>
        <w:t xml:space="preserve">"menginternalisasi"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"memiliki kepekaan"</w:t>
      </w:r>
      <w:r>
        <w:rPr>
          <w:rFonts w:ascii="Times New Roman" w:cs="Times New Roman" w:eastAsia="Times New Roman" w:hAnsi="Times New Roman"/>
          <w:sz w:val="24"/>
          <w:szCs w:val="24"/>
        </w:rPr>
        <w:t xml:space="preserve">) sulit diassess dan sulit diselaraskan dengan tuntutan dunia kerja. CRI-KG dengan demikian berfungsi sebagai </w:t>
      </w:r>
      <w:r>
        <w:rPr>
          <w:rFonts w:ascii="Times New Roman" w:cs="Times New Roman" w:eastAsia="Times New Roman" w:hAnsi="Times New Roman"/>
          <w:b/>
          <w:bCs/>
          <w:sz w:val="24"/>
          <w:szCs w:val="24"/>
        </w:rPr>
        <w:t xml:space="preserve">instrumen diagnostik curriculum alignment</w:t>
      </w:r>
      <w:r>
        <w:rPr>
          <w:rFonts w:ascii="Times New Roman" w:cs="Times New Roman" w:eastAsia="Times New Roman" w:hAnsi="Times New Roman"/>
          <w:sz w:val="24"/>
          <w:szCs w:val="24"/>
        </w:rPr>
        <w:t xml:space="preserve"> yang memberikan sinyal berbasis data kepada pengelola kurikulum.</w:t>
      </w:r>
    </w:p>
    <w:p>
      <w:pPr>
        <w:spacing w:line="360" w:lineRule="auto" w:before="300" w:after="160"/>
        <w:ind w:left="360"/>
        <w:jc w:val="both"/>
      </w:pPr>
      <w:r>
        <w:rPr>
          <w:rFonts w:ascii="Times New Roman" w:cs="Times New Roman" w:eastAsia="Times New Roman" w:hAnsi="Times New Roman"/>
          <w:b/>
          <w:bCs/>
          <w:sz w:val="24"/>
          <w:szCs w:val="24"/>
        </w:rPr>
        <w:t xml:space="preserve">6.4.5  Konsistensi dengan Teori Multi-Criteria Decision Making</w:t>
      </w:r>
    </w:p>
    <w:p>
      <w:pPr>
        <w:spacing w:line="360" w:lineRule="auto" w:before="0" w:after="160"/>
        <w:ind w:firstLine="567"/>
        <w:jc w:val="both"/>
      </w:pPr>
      <w:r>
        <w:rPr>
          <w:rFonts w:ascii="Times New Roman" w:cs="Times New Roman" w:eastAsia="Times New Roman" w:hAnsi="Times New Roman"/>
          <w:sz w:val="24"/>
          <w:szCs w:val="24"/>
        </w:rPr>
        <w:t xml:space="preserve">Formula CRI-KG adalah penerapan </w:t>
      </w:r>
      <w:r>
        <w:rPr>
          <w:rFonts w:ascii="Times New Roman" w:cs="Times New Roman" w:eastAsia="Times New Roman" w:hAnsi="Times New Roman"/>
          <w:i/>
          <w:iCs/>
          <w:sz w:val="24"/>
          <w:szCs w:val="24"/>
        </w:rPr>
        <w:t xml:space="preserve">Weighted Sum Model</w:t>
      </w:r>
      <w:r>
        <w:rPr>
          <w:rFonts w:ascii="Times New Roman" w:cs="Times New Roman" w:eastAsia="Times New Roman" w:hAnsi="Times New Roman"/>
          <w:sz w:val="24"/>
          <w:szCs w:val="24"/>
        </w:rPr>
        <w:t xml:space="preserve"> (WSM) dari teori Multi-Criteria Decision Making (MCDM). Bobot (wᴼ=0,40, wₒ=0,35, wₛ=0,25) mencerminkan preferensi yang ditentukan secara eksplisit berdasarkan pertimbangan cakupan dan relevansi: ESCO terluas cakupannya (bobot tertinggi); O*NET kaya data pekerjaan (bobot sedang); SKKNI kontekstual namun nasional (bobot terendah).</w:t>
      </w:r>
    </w:p>
    <w:p>
      <w:pPr>
        <w:spacing w:line="360" w:lineRule="auto" w:before="0" w:after="160"/>
        <w:ind w:firstLine="567"/>
        <w:jc w:val="both"/>
      </w:pPr>
      <w:r>
        <w:rPr>
          <w:rFonts w:ascii="Times New Roman" w:cs="Times New Roman" w:eastAsia="Times New Roman" w:hAnsi="Times New Roman"/>
          <w:sz w:val="24"/>
          <w:szCs w:val="24"/>
        </w:rPr>
        <w:t xml:space="preserve">Analisis sensitivitas sederhana menunjukkan bahwa perubahan ±0,05 pada setiap bobot tidak mengubah </w:t>
      </w:r>
      <w:r>
        <w:rPr>
          <w:rFonts w:ascii="Times New Roman" w:cs="Times New Roman" w:eastAsia="Times New Roman" w:hAnsi="Times New Roman"/>
          <w:i/>
          <w:iCs/>
          <w:sz w:val="24"/>
          <w:szCs w:val="24"/>
        </w:rPr>
        <w:t xml:space="preserve">ranking</w:t>
      </w:r>
      <w:r>
        <w:rPr>
          <w:rFonts w:ascii="Times New Roman" w:cs="Times New Roman" w:eastAsia="Times New Roman" w:hAnsi="Times New Roman"/>
          <w:sz w:val="24"/>
          <w:szCs w:val="24"/>
        </w:rPr>
        <w:t xml:space="preserve"> CPL secara signifikan — urutan SI_PLO-4 &gt; SI_PLO-5 &gt; SI_PLO-11 &gt; SI_PLO-1 tetap konsisten pada berbagai variasi bobot yang reasonable. Ini mengindikasikan bahwa CRI-KG memiliki </w:t>
      </w:r>
      <w:r>
        <w:rPr>
          <w:rFonts w:ascii="Times New Roman" w:cs="Times New Roman" w:eastAsia="Times New Roman" w:hAnsi="Times New Roman"/>
          <w:b/>
          <w:bCs/>
          <w:sz w:val="24"/>
          <w:szCs w:val="24"/>
        </w:rPr>
        <w:t xml:space="preserve">stabilitas ordinat</w:t>
      </w:r>
      <w:r>
        <w:rPr>
          <w:rFonts w:ascii="Times New Roman" w:cs="Times New Roman" w:eastAsia="Times New Roman" w:hAnsi="Times New Roman"/>
          <w:sz w:val="24"/>
          <w:szCs w:val="24"/>
        </w:rPr>
        <w:t xml:space="preserve"> yang baik sebagai instrumen perbandingan antar butir CPL.</w:t>
      </w:r>
    </w:p>
    <w:p>
      <w:r>
        <w:br w:type="page"/>
      </w:r>
    </w:p>
    <w:p>
      <w:pPr>
        <w:spacing w:line="360" w:lineRule="auto" w:before="400" w:after="200"/>
        <w:jc w:val="both"/>
      </w:pPr>
      <w:r>
        <w:rPr>
          <w:rFonts w:ascii="Times New Roman" w:cs="Times New Roman" w:eastAsia="Times New Roman" w:hAnsi="Times New Roman"/>
          <w:b/>
          <w:bCs/>
          <w:sz w:val="24"/>
          <w:szCs w:val="24"/>
        </w:rPr>
        <w:t xml:space="preserve">6.5  Diskusi Keterbatasan dan Arah Pengembangan</w:t>
      </w:r>
    </w:p>
    <w:p>
      <w:pPr>
        <w:spacing w:line="360" w:lineRule="auto" w:before="300" w:after="160"/>
        <w:ind w:left="360"/>
        <w:jc w:val="both"/>
      </w:pPr>
      <w:r>
        <w:rPr>
          <w:rFonts w:ascii="Times New Roman" w:cs="Times New Roman" w:eastAsia="Times New Roman" w:hAnsi="Times New Roman"/>
          <w:b/>
          <w:bCs/>
          <w:sz w:val="24"/>
          <w:szCs w:val="24"/>
        </w:rPr>
        <w:t xml:space="preserve">6.5.1  Keterbatasan Representasi Semantik (TF-IDF Leksikal)</w:t>
      </w:r>
    </w:p>
    <w:p>
      <w:pPr>
        <w:spacing w:line="360" w:lineRule="auto" w:before="0" w:after="160"/>
        <w:ind w:firstLine="567"/>
        <w:jc w:val="both"/>
      </w:pPr>
      <w:r>
        <w:rPr>
          <w:rFonts w:ascii="Times New Roman" w:cs="Times New Roman" w:eastAsia="Times New Roman" w:hAnsi="Times New Roman"/>
          <w:sz w:val="24"/>
          <w:szCs w:val="24"/>
        </w:rPr>
        <w:t xml:space="preserve">TF-IDF adalah model </w:t>
      </w:r>
      <w:r>
        <w:rPr>
          <w:rFonts w:ascii="Times New Roman" w:cs="Times New Roman" w:eastAsia="Times New Roman" w:hAnsi="Times New Roman"/>
          <w:i/>
          <w:iCs/>
          <w:sz w:val="24"/>
          <w:szCs w:val="24"/>
        </w:rPr>
        <w:t xml:space="preserve">bag-of-words</w:t>
      </w:r>
      <w:r>
        <w:rPr>
          <w:rFonts w:ascii="Times New Roman" w:cs="Times New Roman" w:eastAsia="Times New Roman" w:hAnsi="Times New Roman"/>
          <w:sz w:val="24"/>
          <w:szCs w:val="24"/>
        </w:rPr>
        <w:t xml:space="preserve"> yang tidak memahami konteks posisi kata, sinonim, maupun relasi semantik implisit. Dua konsekuensi yang teramati dalam eksperimen: (1) </w:t>
      </w:r>
      <w:r>
        <w:rPr>
          <w:rFonts w:ascii="Times New Roman" w:cs="Times New Roman" w:eastAsia="Times New Roman" w:hAnsi="Times New Roman"/>
          <w:b/>
          <w:bCs/>
          <w:sz w:val="24"/>
          <w:szCs w:val="24"/>
        </w:rPr>
        <w:t xml:space="preserve">false positive leksikal</w:t>
      </w:r>
      <w:r>
        <w:rPr>
          <w:rFonts w:ascii="Times New Roman" w:cs="Times New Roman" w:eastAsia="Times New Roman" w:hAnsi="Times New Roman"/>
          <w:sz w:val="24"/>
          <w:szCs w:val="24"/>
        </w:rPr>
        <w:t xml:space="preserve"> — skill "record wood treatment information" dipetakan ke CPL SI karena kata "information" muncul di keduanya meskipun konteks berbeda jauh (filter S_con berhasil menekan, namun tidak sepenuhnya mengeliminasi); (2) </w:t>
      </w:r>
      <w:r>
        <w:rPr>
          <w:rFonts w:ascii="Times New Roman" w:cs="Times New Roman" w:eastAsia="Times New Roman" w:hAnsi="Times New Roman"/>
          <w:b/>
          <w:bCs/>
          <w:sz w:val="24"/>
          <w:szCs w:val="24"/>
        </w:rPr>
        <w:t xml:space="preserve">false negative cross-lingual</w:t>
      </w:r>
      <w:r>
        <w:rPr>
          <w:rFonts w:ascii="Times New Roman" w:cs="Times New Roman" w:eastAsia="Times New Roman" w:hAnsi="Times New Roman"/>
          <w:sz w:val="24"/>
          <w:szCs w:val="24"/>
        </w:rPr>
        <w:t xml:space="preserve"> — bridge text (terjemahan manual CPL Indonesia ke Inggris) berpotensi kehilangan nuansa teknis yang tidak terjelaskan secara leksikal.</w:t>
      </w:r>
    </w:p>
    <w:p>
      <w:pPr>
        <w:spacing w:line="360" w:lineRule="auto" w:before="0" w:after="160"/>
        <w:ind w:firstLine="567"/>
        <w:jc w:val="both"/>
      </w:pPr>
      <w:r>
        <w:rPr>
          <w:rFonts w:ascii="Times New Roman" w:cs="Times New Roman" w:eastAsia="Times New Roman" w:hAnsi="Times New Roman"/>
          <w:b/>
          <w:bCs/>
          <w:sz w:val="24"/>
          <w:szCs w:val="24"/>
        </w:rPr>
        <w:t xml:space="preserve">Arah pengembangan</w:t>
      </w:r>
      <w:r>
        <w:rPr>
          <w:rFonts w:ascii="Times New Roman" w:cs="Times New Roman" w:eastAsia="Times New Roman" w:hAnsi="Times New Roman"/>
          <w:sz w:val="24"/>
          <w:szCs w:val="24"/>
        </w:rPr>
        <w:t xml:space="preserve">: integrasi model embedding multilingual (mBERT, LaBSE, atau IndoBERT fine-tuned pada domain kompetensi) untuk menggantikan atau melengkapi TF-IDF sebagai representasi semantik yang lebih robust terhadap sinonim dan variasi morfologis.</w:t>
      </w:r>
    </w:p>
    <w:p>
      <w:pPr>
        <w:spacing w:line="360" w:lineRule="auto" w:before="300" w:after="160"/>
        <w:ind w:left="360"/>
        <w:jc w:val="both"/>
      </w:pPr>
      <w:r>
        <w:rPr>
          <w:rFonts w:ascii="Times New Roman" w:cs="Times New Roman" w:eastAsia="Times New Roman" w:hAnsi="Times New Roman"/>
          <w:b/>
          <w:bCs/>
          <w:sz w:val="24"/>
          <w:szCs w:val="24"/>
        </w:rPr>
        <w:t xml:space="preserve">6.5.2  Keterbatasan Cakupan CPL</w:t>
      </w:r>
    </w:p>
    <w:p>
      <w:pPr>
        <w:spacing w:line="360" w:lineRule="auto" w:before="0" w:after="160"/>
        <w:ind w:firstLine="567"/>
        <w:jc w:val="both"/>
      </w:pPr>
      <w:r>
        <w:rPr>
          <w:rFonts w:ascii="Times New Roman" w:cs="Times New Roman" w:eastAsia="Times New Roman" w:hAnsi="Times New Roman"/>
          <w:sz w:val="24"/>
          <w:szCs w:val="24"/>
        </w:rPr>
        <w:t xml:space="preserve">Penelitian ini hanya mencakup dua prodi (SI dan TI) dengan total n=30 butir CPL dari satu institusi. Dengan n yang kecil, generalisasi kesimpulan pada level statistik harus berhati-hati dan variasi antar universitas tidak tertangkap.</w:t>
      </w:r>
    </w:p>
    <w:p>
      <w:pPr>
        <w:spacing w:line="360" w:lineRule="auto" w:before="0" w:after="160"/>
        <w:ind w:firstLine="567"/>
        <w:jc w:val="both"/>
      </w:pPr>
      <w:r>
        <w:rPr>
          <w:rFonts w:ascii="Times New Roman" w:cs="Times New Roman" w:eastAsia="Times New Roman" w:hAnsi="Times New Roman"/>
          <w:b/>
          <w:bCs/>
          <w:sz w:val="24"/>
          <w:szCs w:val="24"/>
        </w:rPr>
        <w:t xml:space="preserve">Arah pengembangan</w:t>
      </w:r>
      <w:r>
        <w:rPr>
          <w:rFonts w:ascii="Times New Roman" w:cs="Times New Roman" w:eastAsia="Times New Roman" w:hAnsi="Times New Roman"/>
          <w:sz w:val="24"/>
          <w:szCs w:val="24"/>
        </w:rPr>
        <w:t xml:space="preserve">: perluasan dataset CPL ke seluruh 6 prodi APTIKOM (CS, SE, CE, DS) dan ke multiple universitas. Pipeline sudah dirancang scalable — domain filter untuk 6 prodi sudah tersedia, sehingga perluasan hanya memerlukan penambahan data CPL input.</w:t>
      </w:r>
    </w:p>
    <w:p>
      <w:pPr>
        <w:spacing w:line="360" w:lineRule="auto" w:before="300" w:after="160"/>
        <w:ind w:left="360"/>
        <w:jc w:val="both"/>
      </w:pPr>
      <w:r>
        <w:rPr>
          <w:rFonts w:ascii="Times New Roman" w:cs="Times New Roman" w:eastAsia="Times New Roman" w:hAnsi="Times New Roman"/>
          <w:b/>
          <w:bCs/>
          <w:sz w:val="24"/>
          <w:szCs w:val="24"/>
        </w:rPr>
        <w:t xml:space="preserve">6.5.3  Keterbatasan Validasi ECV</w:t>
      </w:r>
    </w:p>
    <w:p>
      <w:pPr>
        <w:spacing w:line="360" w:lineRule="auto" w:before="0" w:after="160"/>
        <w:ind w:firstLine="567"/>
        <w:jc w:val="both"/>
      </w:pPr>
      <w:r>
        <w:rPr>
          <w:rFonts w:ascii="Times New Roman" w:cs="Times New Roman" w:eastAsia="Times New Roman" w:hAnsi="Times New Roman"/>
          <w:sz w:val="24"/>
          <w:szCs w:val="24"/>
        </w:rPr>
        <w:t xml:space="preserve">ECV Chain 1 hanya memiliki n=8 (delapan butir CPL SI yang lolos ke T1a non-forced), terlalu kecil untuk generalisasi — relaxed consistency 25% dari n=8 setara 2 item yang tidak dapat dibedakan dari variasi sampling. ECV juga tidak dapat mendeteksi kasus di mana pipeline menghasilkan pemetaan yang salah namun konsisten antar kedua jalur secara kebetulan.</w:t>
      </w:r>
    </w:p>
    <w:p>
      <w:pPr>
        <w:spacing w:line="360" w:lineRule="auto" w:before="0" w:after="160"/>
        <w:ind w:firstLine="567"/>
        <w:jc w:val="both"/>
      </w:pPr>
      <w:r>
        <w:rPr>
          <w:rFonts w:ascii="Times New Roman" w:cs="Times New Roman" w:eastAsia="Times New Roman" w:hAnsi="Times New Roman"/>
          <w:b/>
          <w:bCs/>
          <w:sz w:val="24"/>
          <w:szCs w:val="24"/>
        </w:rPr>
        <w:t xml:space="preserve">Arah pengembangan</w:t>
      </w:r>
      <w:r>
        <w:rPr>
          <w:rFonts w:ascii="Times New Roman" w:cs="Times New Roman" w:eastAsia="Times New Roman" w:hAnsi="Times New Roman"/>
          <w:sz w:val="24"/>
          <w:szCs w:val="24"/>
        </w:rPr>
        <w:t xml:space="preserve">: validasi </w:t>
      </w:r>
      <w:r>
        <w:rPr>
          <w:rFonts w:ascii="Times New Roman" w:cs="Times New Roman" w:eastAsia="Times New Roman" w:hAnsi="Times New Roman"/>
          <w:i/>
          <w:iCs/>
          <w:sz w:val="24"/>
          <w:szCs w:val="24"/>
        </w:rPr>
        <w:t xml:space="preserve">ground truth</w:t>
      </w:r>
      <w:r>
        <w:rPr>
          <w:rFonts w:ascii="Times New Roman" w:cs="Times New Roman" w:eastAsia="Times New Roman" w:hAnsi="Times New Roman"/>
          <w:sz w:val="24"/>
          <w:szCs w:val="24"/>
        </w:rPr>
        <w:t xml:space="preserve"> menggunakan expert annotation dari dosen dan praktisi industri untuk subset CPL, sebagai komplemen ECV yang lebih kuat secara metodologis. Kombinasi ECV (validasi konsistensi relasional) dan expert annotation (validasi konten) akan memberikan gambaran validitas yang lebih komprehensif.</w:t>
      </w:r>
    </w:p>
    <w:p>
      <w:pPr>
        <w:spacing w:line="360" w:lineRule="auto" w:before="300" w:after="160"/>
        <w:ind w:left="360"/>
        <w:jc w:val="both"/>
      </w:pPr>
      <w:r>
        <w:rPr>
          <w:rFonts w:ascii="Times New Roman" w:cs="Times New Roman" w:eastAsia="Times New Roman" w:hAnsi="Times New Roman"/>
          <w:b/>
          <w:bCs/>
          <w:sz w:val="24"/>
          <w:szCs w:val="24"/>
        </w:rPr>
        <w:t xml:space="preserve">6.5.4  Keterbatasan Penetapan Bobot CRI</w:t>
      </w:r>
    </w:p>
    <w:p>
      <w:pPr>
        <w:spacing w:line="360" w:lineRule="auto" w:before="0" w:after="160"/>
        <w:ind w:firstLine="567"/>
        <w:jc w:val="both"/>
      </w:pPr>
      <w:r>
        <w:rPr>
          <w:rFonts w:ascii="Times New Roman" w:cs="Times New Roman" w:eastAsia="Times New Roman" w:hAnsi="Times New Roman"/>
          <w:sz w:val="24"/>
          <w:szCs w:val="24"/>
        </w:rPr>
        <w:t xml:space="preserve">Bobot CRI (0,40, 0,35, 0,25) ditentukan secara normative berdasarkan judgment peneliti, bukan melalui validasi empiris dari stakeholder. Ini merupakan keterbatasan yang umum dalam pendekatan MCDM berbasis expert judgment.</w:t>
      </w:r>
    </w:p>
    <w:p>
      <w:pPr>
        <w:spacing w:line="360" w:lineRule="auto" w:before="0" w:after="160"/>
        <w:ind w:firstLine="567"/>
        <w:jc w:val="both"/>
      </w:pPr>
      <w:r>
        <w:rPr>
          <w:rFonts w:ascii="Times New Roman" w:cs="Times New Roman" w:eastAsia="Times New Roman" w:hAnsi="Times New Roman"/>
          <w:b/>
          <w:bCs/>
          <w:sz w:val="24"/>
          <w:szCs w:val="24"/>
        </w:rPr>
        <w:t xml:space="preserve">Arah pengembangan</w:t>
      </w:r>
      <w:r>
        <w:rPr>
          <w:rFonts w:ascii="Times New Roman" w:cs="Times New Roman" w:eastAsia="Times New Roman" w:hAnsi="Times New Roman"/>
          <w:sz w:val="24"/>
          <w:szCs w:val="24"/>
        </w:rPr>
        <w:t xml:space="preserve">: (1) survei </w:t>
      </w:r>
      <w:r>
        <w:rPr>
          <w:rFonts w:ascii="Times New Roman" w:cs="Times New Roman" w:eastAsia="Times New Roman" w:hAnsi="Times New Roman"/>
          <w:i/>
          <w:iCs/>
          <w:sz w:val="24"/>
          <w:szCs w:val="24"/>
        </w:rPr>
        <w:t xml:space="preserve">stakeholder</w:t>
      </w:r>
      <w:r>
        <w:rPr>
          <w:rFonts w:ascii="Times New Roman" w:cs="Times New Roman" w:eastAsia="Times New Roman" w:hAnsi="Times New Roman"/>
          <w:sz w:val="24"/>
          <w:szCs w:val="24"/>
        </w:rPr>
        <w:t xml:space="preserve"> (dosen, HRD industri, alumni) tentang kepentingan relatif ketiga framework untuk menghasilkan bobot berbasis konsensus; atau (2) optimasi bobot berbasis hasil tracer study karir alumni untuk mendapatkan bobot yang empiris dan terverifikasi.</w:t>
      </w:r>
    </w:p>
    <w:p>
      <w:r>
        <w:br w:type="page"/>
      </w:r>
    </w:p>
    <w:p>
      <w:pPr>
        <w:spacing w:line="360" w:lineRule="auto" w:before="400" w:after="200"/>
        <w:jc w:val="both"/>
      </w:pPr>
      <w:r>
        <w:rPr>
          <w:rFonts w:ascii="Times New Roman" w:cs="Times New Roman" w:eastAsia="Times New Roman" w:hAnsi="Times New Roman"/>
          <w:b/>
          <w:bCs/>
          <w:sz w:val="24"/>
          <w:szCs w:val="24"/>
        </w:rPr>
        <w:t xml:space="preserve">6.6  Rangkuman Pembahasan</w:t>
      </w:r>
    </w:p>
    <w:p>
      <w:pPr>
        <w:spacing w:line="360" w:lineRule="auto" w:before="0" w:after="160"/>
        <w:ind w:firstLine="567"/>
        <w:jc w:val="both"/>
      </w:pPr>
      <w:r>
        <w:rPr>
          <w:rFonts w:ascii="Times New Roman" w:cs="Times New Roman" w:eastAsia="Times New Roman" w:hAnsi="Times New Roman"/>
          <w:sz w:val="24"/>
          <w:szCs w:val="24"/>
        </w:rPr>
        <w:t xml:space="preserve">Tabel 6.9 merangkum seluruh aspek pembahasan dalam bab ini secara sistematis, mulai dari temuan utama, implikasi, hingga keterbatasan dan rekomendasi pengembangan lanjutan.</w:t>
      </w:r>
    </w:p>
    <w:p>
      <w:pPr>
        <w:spacing w:line="360" w:lineRule="auto"/>
      </w:pPr>
      <w:r>
        <w:rPr>
          <w:rFonts w:ascii="Times New Roman" w:cs="Times New Roman" w:eastAsia="Times New Roman" w:hAnsi="Times New Roman"/>
          <w:sz w:val="24"/>
          <w:szCs w:val="24"/>
        </w:rPr>
        <w:t xml:space="preserve"/>
      </w:r>
    </w:p>
    <w:p>
      <w:pPr>
        <w:spacing w:line="360" w:lineRule="auto" w:before="240" w:after="80"/>
        <w:jc w:val="center"/>
      </w:pPr>
      <w:r>
        <w:rPr>
          <w:rFonts w:ascii="Times New Roman" w:cs="Times New Roman" w:eastAsia="Times New Roman" w:hAnsi="Times New Roman"/>
          <w:b/>
          <w:bCs/>
          <w:sz w:val="22"/>
          <w:szCs w:val="22"/>
        </w:rPr>
        <w:t xml:space="preserve">Tabel 6.9  Rangkuman Pembahasan Bab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Aspek</w:t>
            </w:r>
          </w:p>
        </w:tc>
        <w:tc>
          <w:tcPr>
            <w:tcW w:type="dxa" w:w="3000"/>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Temuan Utama</w:t>
            </w:r>
          </w:p>
        </w:tc>
        <w:tc>
          <w:tcPr>
            <w:tcW w:type="dxa" w:w="3826"/>
            <w:tcBorders>
              <w:top w:val="single" w:color="1F3864" w:sz="12"/>
              <w:left w:val="single" w:color="AAAAAA" w:sz="4"/>
              <w:bottom w:val="single" w:color="1F3864" w:sz="12"/>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Implikasi dan Rekomendasi</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Konfigurasi optimal</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v1.2 Balanced (α=β=γ=1/3) unggul konsisten di semua task</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Keseimbangan tiga komponen lebih baik dari dominasi satu komponen; multi-dimensional scoring diperlukan</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Peningkatan vs baseline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v1.2 meningkatkan sel_obj vs v0.9: +8% (T1a), +3,2% (T1b), +14,7% (T4)</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Domain filter dan graph cohesion memberikan nilai tambah nyata terutama untuk task heterogen (T4)</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CRI kurikulum SI</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0,2196 — 5 COMPLETE, 9 PARTIAL, 1 INCOMPLETE</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36% CPL SI terwakili penuh di 3 framework; butir Sikap perlu reformulasi terminologi teknis</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CRI kurikulum TI</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0,2721 — 6 COMPLETE, 8 PARTIAL, 1 INCOMPLETE</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40% CPL TI COMPLETE; TI_PLO-8 (AI/ML) tertinggi (0,4765) karena klaster skill ESCO komprehensif</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Pola coverage ranah</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Pengetahuan: 100% ESCO; Keterampilan Umum: 0% O*NET</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CPL teknis lebih mudah dipetakan; Keterampilan Umum perlu konkretisasi ke kompetensi terukur</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Konsistensi ECV</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Chain 2: relaxed 27,05% (455/1.682 SKKNI)</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Pipeline menangkap sinyal valid 8,7× lebih tinggi dari random baseline; ECV efektif tanpa ground truth</w:t>
            </w:r>
          </w:p>
        </w:tc>
      </w:tr>
      <w:tr>
        <w:tc>
          <w:tcPr>
            <w:tcW w:type="dxa" w:w="2200"/>
            <w:tcBorders>
              <w:top w:val="single" w:color="AAAAAA" w:sz="4"/>
              <w:left w:val="single" w:color="AAAAAA" w:sz="4"/>
              <w:bottom w:val="single" w:color="AAAAAA" w:sz="4"/>
              <w:right w:val="single" w:color="AAAAAA" w:sz="4"/>
            </w:tcBorders>
            <w:shd w:fill="EEF4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Gap terbesar</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R_ESCO rendah (SI=0,088, TI=0,174) akibat domain filter ketat</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CPL perlu diperkaya terminologi teknis domain-spesifik ESCO; bridge text perlu diperbaiki</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Keterbatasan utama</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TF-IDF leksikal; n=30 CPL kecil; ECV Chain 1 n=8</w:t>
            </w:r>
          </w:p>
        </w:tc>
        <w:tc>
          <w:tcPr>
            <w:tcW w:type="dxa" w:w="3826"/>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Pengembangan: embedding multilingual, perluasan ke 6 prodi, expert annotation sebagai komplemen ECV</w:t>
            </w:r>
          </w:p>
        </w:tc>
      </w:tr>
    </w:tbl>
    <w:p>
      <w:pPr>
        <w:spacing w:line="360" w:lineRule="auto"/>
      </w:pPr>
      <w:r>
        <w:rPr>
          <w:rFonts w:ascii="Times New Roman" w:cs="Times New Roman" w:eastAsia="Times New Roman" w:hAnsi="Times New Roman"/>
          <w:sz w:val="24"/>
          <w:szCs w:val="24"/>
        </w:rPr>
        <w:t xml:space="preserve"/>
      </w:r>
    </w:p>
    <w:p>
      <w:pPr>
        <w:spacing w:line="360" w:lineRule="auto" w:before="0" w:after="160"/>
        <w:ind w:firstLine="567"/>
        <w:jc w:val="both"/>
      </w:pPr>
      <w:r>
        <w:rPr>
          <w:rFonts w:ascii="Times New Roman" w:cs="Times New Roman" w:eastAsia="Times New Roman" w:hAnsi="Times New Roman"/>
          <w:sz w:val="24"/>
          <w:szCs w:val="24"/>
        </w:rPr>
        <w:t xml:space="preserve">Secara keseluruhan, penelitian ini berhasil mendemonstrasikan bahwa pendekatan hybrid multi-dimensional (S_sem + S_gr + S_con) secara empiris unggul dibanding pure semantic matching untuk konteks pemetaan kompetensi kurikulum ke standar internasional dan nasional. CRI-KG sebagai output utama menyediakan instrumen diagnostik berbasis data yang dapat digunakan secara periodik oleh pengelola kurikulum untuk memantau dan meningkatkan alignment CPL dengan kebutuhan dunia kerja global dan nasional.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2026-03-10T04:29:38.144Z</dcterms:created>
  <dcterms:modified xsi:type="dcterms:W3CDTF">2026-03-10T04:29:38.146Z</dcterms:modified>
</cp:coreProperties>
</file>

<file path=docProps/custom.xml><?xml version="1.0" encoding="utf-8"?>
<Properties xmlns="http://schemas.openxmlformats.org/officeDocument/2006/custom-properties" xmlns:vt="http://schemas.openxmlformats.org/officeDocument/2006/docPropsVTypes"/>
</file>