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223D828" w14:textId="09C8DA6D" w:rsidR="004D6B86" w:rsidRDefault="00377E41">
      <w:pPr>
        <w:pStyle w:val="Title"/>
      </w:pPr>
      <w:r>
        <w:t>The Use of Big Data at Netflix</w:t>
      </w:r>
    </w:p>
    <w:p w14:paraId="04282105" w14:textId="7AD89532" w:rsidR="004D6B86" w:rsidRDefault="00377E41">
      <w:pPr>
        <w:pStyle w:val="Title2"/>
      </w:pPr>
      <w:r>
        <w:t>Justin Hall</w:t>
      </w:r>
    </w:p>
    <w:p w14:paraId="3320DB65" w14:textId="00346D64" w:rsidR="00377E41" w:rsidRDefault="00377E41" w:rsidP="00377E41">
      <w:pPr>
        <w:pStyle w:val="Title2"/>
      </w:pPr>
      <w:r>
        <w:t>University of Wisconsin – La Crosse</w:t>
      </w:r>
    </w:p>
    <w:p w14:paraId="0E8D914E" w14:textId="77777777" w:rsidR="00377E41" w:rsidRDefault="00377E41" w:rsidP="00377E41">
      <w:pPr>
        <w:pStyle w:val="Title2"/>
      </w:pPr>
      <w:r>
        <w:t>DS 780: Data Science and Strategic Decision Making</w:t>
      </w:r>
    </w:p>
    <w:p w14:paraId="680C081E" w14:textId="77777777" w:rsidR="00377E41" w:rsidRDefault="00377E41" w:rsidP="00377E41">
      <w:pPr>
        <w:pStyle w:val="Title2"/>
      </w:pPr>
      <w:r>
        <w:t>July 25, 2020</w:t>
      </w:r>
    </w:p>
    <w:p w14:paraId="12876FEC" w14:textId="66986A57" w:rsidR="004D6B86" w:rsidRDefault="004D6B86">
      <w:pPr>
        <w:pStyle w:val="Title2"/>
      </w:pPr>
    </w:p>
    <w:p w14:paraId="6F338FC6" w14:textId="76554A60" w:rsidR="004D6B86" w:rsidRDefault="004D6B86"/>
    <w:p w14:paraId="281F98B1" w14:textId="322E7377" w:rsidR="006D7EE9" w:rsidRDefault="00377E41" w:rsidP="006D7EE9">
      <w:pPr>
        <w:pStyle w:val="SectionTitle"/>
      </w:pPr>
      <w:r>
        <w:lastRenderedPageBreak/>
        <w:t>The Use of Big Data at Netflix</w:t>
      </w:r>
    </w:p>
    <w:p w14:paraId="5F317838" w14:textId="3B321986" w:rsidR="004D6B86" w:rsidRPr="00E7305D" w:rsidRDefault="006D7EE9" w:rsidP="006D7EE9">
      <w:r>
        <w:t xml:space="preserve"> </w:t>
      </w:r>
      <w:r w:rsidR="00377E41">
        <w:t>Netflix was created in 1997 as a DVD rental service, where customers could request DVDs that would be sent to their home and they could return by mail after some time. In 2007</w:t>
      </w:r>
      <w:r w:rsidR="00532A9A">
        <w:t xml:space="preserve"> </w:t>
      </w:r>
      <w:r w:rsidR="00377E41">
        <w:t>Netflix realizing the decline in the home movie rental service, moved to an online streaming platform and began content creation. The</w:t>
      </w:r>
      <w:r w:rsidR="00532A9A">
        <w:t>ir</w:t>
      </w:r>
      <w:r w:rsidR="00377E41">
        <w:t xml:space="preserve"> first series created, Game of Cards, was wildly successful and they have continued to make award winning shows and movies since then. Following the success of Netflix many other companies have entered the online streaming service such as Hulu, Amazon, and now Disney. To stand out from their competition Netflix began to put big data and analytics at the center of their platform. </w:t>
      </w:r>
    </w:p>
    <w:p w14:paraId="07DDE5D9" w14:textId="0DE015FD" w:rsidR="004D6B86" w:rsidRPr="00C5686B" w:rsidRDefault="0011413D">
      <w:pPr>
        <w:pStyle w:val="Heading1"/>
      </w:pPr>
      <w:r>
        <w:t>Brief description of big data use</w:t>
      </w:r>
    </w:p>
    <w:p w14:paraId="579CB602" w14:textId="61D92F66" w:rsidR="0011413D" w:rsidRDefault="0011413D" w:rsidP="0011413D">
      <w:r>
        <w:t xml:space="preserve">To provide the best user experience, Netflix has turned to </w:t>
      </w:r>
      <w:r w:rsidR="009E5096">
        <w:t>big data and machine learning</w:t>
      </w:r>
      <w:r>
        <w:t xml:space="preserve"> to innovate in many areas of their business. Personalization of Netflix recommendations are a well-known area where Netflix has been successful at using machine learning. But Netflix also implores machine learning techniques to not only recommend what shows users should watch but also create shows they think will be successful. By analyzing their catalogue of movies and tv shows they gain insights into what their users enjoy watching and incorporate those features into production at their own Netflix studio. Using data gathered from streaming status, internet providers, and user feedback Netflix also helps to optimize their Content Delivery Network that enables them to deliver video and audio at adaptive bitrates to their 182 million subscribers. As well as giving their current users the best possible experience, Netflix also uses big data to market to new and existing customers. They often use A/B experimentation to test nearly every change to their product, including launch strategies, streaming algorithms, and new member sign up processes. </w:t>
      </w:r>
    </w:p>
    <w:p w14:paraId="66C75FB7" w14:textId="4830AFFE" w:rsidR="004D6B86" w:rsidRDefault="004D6B86"/>
    <w:p w14:paraId="09AFDDEE" w14:textId="4485178B" w:rsidR="004D6B86" w:rsidRPr="00C5686B" w:rsidRDefault="0011413D">
      <w:pPr>
        <w:pStyle w:val="Heading2"/>
      </w:pPr>
      <w:r>
        <w:t>Brief History with Respect to Data</w:t>
      </w:r>
    </w:p>
    <w:p w14:paraId="43CBFC1C" w14:textId="27AFCFDE" w:rsidR="002E276F" w:rsidRDefault="00E166F5" w:rsidP="009E5096">
      <w:r>
        <w:t>Netflix has believed in using data to drive business decisions since it is beginning. After seeing a decline</w:t>
      </w:r>
      <w:r w:rsidR="00695B3E">
        <w:t xml:space="preserve"> in</w:t>
      </w:r>
      <w:r>
        <w:t xml:space="preserve"> </w:t>
      </w:r>
      <w:r w:rsidR="00B521CE">
        <w:t xml:space="preserve">sales data for </w:t>
      </w:r>
      <w:r>
        <w:t xml:space="preserve">DVD rentals, CEO, </w:t>
      </w:r>
      <w:r w:rsidR="00235853">
        <w:t>Reed Hastings</w:t>
      </w:r>
      <w:r>
        <w:t xml:space="preserve">, decided that a move to online streaming would be best for the company. Their </w:t>
      </w:r>
      <w:r w:rsidR="00695B3E">
        <w:t>customers,</w:t>
      </w:r>
      <w:r>
        <w:t xml:space="preserve"> </w:t>
      </w:r>
      <w:r w:rsidR="00695B3E">
        <w:t>however,</w:t>
      </w:r>
      <w:r>
        <w:t xml:space="preserve"> were not so ready for this move. When Netflix made the </w:t>
      </w:r>
      <w:r w:rsidR="00235853">
        <w:t>announcement,</w:t>
      </w:r>
      <w:r>
        <w:t xml:space="preserve"> they would be splitting their services into two separate fees, DVD rentals and online services, their customer base dropped by nearly </w:t>
      </w:r>
      <w:r w:rsidR="00235853">
        <w:t xml:space="preserve">800,000 subscribers (Sandoval, 2012). </w:t>
      </w:r>
      <w:r w:rsidR="00130D6B">
        <w:t xml:space="preserve">But thankfully, Netflix executives remained convinced that they should move forward with the change. </w:t>
      </w:r>
      <w:r w:rsidR="00B521CE">
        <w:t xml:space="preserve">The online platform created by Netflix gave them a unique position compared to other television networks that had to rely on television ratings which were based on samples done by companies like Nielsen Media Research in the U.S. and the Broadcaster’s Audience Research Board in the UK. </w:t>
      </w:r>
      <w:r w:rsidR="002A03ED">
        <w:t>Now they c</w:t>
      </w:r>
      <w:r w:rsidR="00D471F4">
        <w:t>an collect data on every aspect of what and how their customers are watching videos, including how long, what devices are being used, and who is watching them</w:t>
      </w:r>
      <w:r w:rsidR="00B521CE">
        <w:t xml:space="preserve"> in real time</w:t>
      </w:r>
      <w:r w:rsidR="00D471F4">
        <w:t>.</w:t>
      </w:r>
      <w:r w:rsidR="00B521CE">
        <w:t xml:space="preserve"> </w:t>
      </w:r>
    </w:p>
    <w:p w14:paraId="3AE19CE6" w14:textId="5078172F" w:rsidR="004D6B86" w:rsidRDefault="002E276F" w:rsidP="009E5096">
      <w:r>
        <w:t xml:space="preserve">Every time a user logs into Netflix they see a custom, personalized page generated with movies and TV shows. According to customer research typical Netflix member loses interest between 60 to 90 seconds of choosing titles (Gomez-Uribe &amp; Hunt, 2015). </w:t>
      </w:r>
      <w:r w:rsidR="00813E2F">
        <w:t xml:space="preserve">This means that Netflix users must be shown titles that interest them almost immediately when opening Netflix. </w:t>
      </w:r>
      <w:r>
        <w:t xml:space="preserve">To do this </w:t>
      </w:r>
      <w:r w:rsidR="00813E2F">
        <w:t xml:space="preserve">Netflix </w:t>
      </w:r>
      <w:r>
        <w:t>use</w:t>
      </w:r>
      <w:r w:rsidR="00813E2F">
        <w:t>s</w:t>
      </w:r>
      <w:r>
        <w:t xml:space="preserve"> a group of algorithms including a personalized video ranker (PVR) to give recommendations for genres of movies, a top-n video ranker to give personal recommendations across all genres, and </w:t>
      </w:r>
      <w:r w:rsidR="00813E2F">
        <w:t>displays movies defined by short-term metrics in a trending section</w:t>
      </w:r>
      <w:r>
        <w:t xml:space="preserve">. </w:t>
      </w:r>
      <w:r w:rsidR="00BA2FB8">
        <w:t xml:space="preserve">This deep level of personalization has helped greatly decrease the churn rate to </w:t>
      </w:r>
      <w:r w:rsidR="00BA2FB8">
        <w:lastRenderedPageBreak/>
        <w:t xml:space="preserve">low single digits, and most of these can be attributed to payment failure (Gomez-Uribe &amp; Hunt, 2015). </w:t>
      </w:r>
    </w:p>
    <w:p w14:paraId="553544AA" w14:textId="2A1E568B" w:rsidR="00B030EE" w:rsidRDefault="0011413D" w:rsidP="00BA2FB8">
      <w:pPr>
        <w:pStyle w:val="Heading3"/>
      </w:pPr>
      <w:r>
        <w:t>Impact of data use</w:t>
      </w:r>
    </w:p>
    <w:p w14:paraId="52803F9F" w14:textId="7BF7B726" w:rsidR="001F7D08" w:rsidRDefault="00FC5FFE" w:rsidP="001F7D08">
      <w:r>
        <w:t xml:space="preserve">It is no doubt that </w:t>
      </w:r>
      <w:r w:rsidR="00BE65B1">
        <w:t xml:space="preserve">the use of </w:t>
      </w:r>
      <w:r>
        <w:t xml:space="preserve">data has helped Netflix grow to a powerhouse within the online </w:t>
      </w:r>
      <w:r w:rsidR="00BE65B1">
        <w:t xml:space="preserve">entertainment </w:t>
      </w:r>
      <w:r>
        <w:t xml:space="preserve">industry. </w:t>
      </w:r>
      <w:r w:rsidR="00B24732">
        <w:t>Within 20 years they have grown their stock market value to more than $165 billion and have over 112 Emmy nominated tv shows and films (Taylor, 2018).</w:t>
      </w:r>
      <w:r w:rsidR="007C67AC">
        <w:t xml:space="preserve"> However, since Netflix generates revenue almost solely from subscriptions to their service, Netflix is highly dependent on retaining their current customer base and bringing in new subscribers.</w:t>
      </w:r>
      <w:r w:rsidR="007C5711">
        <w:t xml:space="preserve"> Netflix’s personalization algorithms have helped them to retain </w:t>
      </w:r>
      <w:r w:rsidR="002E276F">
        <w:t>93% of their customers compared to Hulu’s 64% and Amazon Primes 75% (Dixon, 2019).</w:t>
      </w:r>
      <w:r w:rsidR="00891B7C">
        <w:t xml:space="preserve"> </w:t>
      </w:r>
      <w:r w:rsidR="001F7D08">
        <w:t>Additionally, their use of data to market to targeted audiences online and advertise for their new Netflix originals have helped to continually bring in new subscribers. Table 1, from the 2019 Netflix financial report, shows that in 5 years Netflix has more than doubled their subscriber account</w:t>
      </w:r>
      <w:r w:rsidR="00342DD6">
        <w:t>, growing more than 20% yearly over that five years.</w:t>
      </w:r>
    </w:p>
    <w:p w14:paraId="05469E4A" w14:textId="32561DB6" w:rsidR="003350B2" w:rsidRDefault="003350B2" w:rsidP="003350B2">
      <w:pPr>
        <w:pStyle w:val="Heading4"/>
        <w:rPr>
          <w:rStyle w:val="Heading4Char"/>
          <w:b/>
          <w:bCs/>
          <w:i/>
          <w:iCs/>
        </w:rPr>
      </w:pPr>
      <w:r>
        <w:t>How information derived from data collected is used for decision-making</w:t>
      </w:r>
      <w:r w:rsidRPr="003F7CBD">
        <w:rPr>
          <w:rStyle w:val="Heading4Char"/>
          <w:b/>
          <w:bCs/>
          <w:i/>
          <w:iCs/>
        </w:rPr>
        <w:t>.</w:t>
      </w:r>
    </w:p>
    <w:p w14:paraId="2CBE9F4B" w14:textId="131E6011" w:rsidR="001F0937" w:rsidRDefault="00E15095" w:rsidP="001F0937">
      <w:r>
        <w:t xml:space="preserve">Netflix has clearly used big data to give customers the best possible experience by offering them recommendations for movies and television they would most be interested in while optimizing the way it is delivered to them. But as Netflix evolves into a global entertainment company, they are using big data to support decisions in the creative process and marketing. </w:t>
      </w:r>
    </w:p>
    <w:p w14:paraId="6C17173E" w14:textId="77777777" w:rsidR="00480CA8" w:rsidRDefault="00C945C6" w:rsidP="00A56D66">
      <w:r>
        <w:t xml:space="preserve">When Netflix creates new content, whether it be a television series or movie, they take a risk, maybe even more so than other entertainment networks. Netflix content is only seen by subscribers, so they </w:t>
      </w:r>
      <w:r w:rsidR="00907E4F">
        <w:t>must</w:t>
      </w:r>
      <w:r>
        <w:t xml:space="preserve"> ensure that enough subscribers keep their subscription to watch or that </w:t>
      </w:r>
      <w:r>
        <w:lastRenderedPageBreak/>
        <w:t xml:space="preserve">they can market to enough new subscribers to offset the costs of production. </w:t>
      </w:r>
      <w:r w:rsidR="00E740B8">
        <w:t>However, when Netflix considers greenlighting a show</w:t>
      </w:r>
    </w:p>
    <w:p w14:paraId="1EF41722" w14:textId="4BBB50C9" w:rsidR="00A56D66" w:rsidRDefault="00E740B8" w:rsidP="00A56D66">
      <w:r>
        <w:t xml:space="preserve">, they first look at the data to predict how successful they think it might be. </w:t>
      </w:r>
      <w:r w:rsidR="000F6D30">
        <w:t xml:space="preserve">This goes from simply looking at data from other content about how well the same actors and directors perform on the platform to doing demand modeling to predict the number of expected viewers. </w:t>
      </w:r>
    </w:p>
    <w:p w14:paraId="059F47D9" w14:textId="0DCED13A" w:rsidR="00EA4323" w:rsidRPr="001F0937" w:rsidRDefault="00B44D03" w:rsidP="005F46D0">
      <w:r>
        <w:t xml:space="preserve">Netflix also uses big data to segment their customer base, especially on </w:t>
      </w:r>
      <w:r w:rsidR="00577A54">
        <w:t>locale now that Netflix is entering a global market</w:t>
      </w:r>
      <w:r w:rsidR="006C4296">
        <w:t>, and target ads and marketing for their new content</w:t>
      </w:r>
      <w:r w:rsidR="00577A54">
        <w:t xml:space="preserve">. </w:t>
      </w:r>
      <w:r w:rsidR="006C4296">
        <w:t>To</w:t>
      </w:r>
      <w:r w:rsidR="00577A54">
        <w:t xml:space="preserve"> see the effectiveness of th</w:t>
      </w:r>
      <w:r w:rsidR="006C4296">
        <w:t xml:space="preserve">eir marketing strategies, Netflix implores </w:t>
      </w:r>
      <w:r w:rsidR="000A3F7C">
        <w:t xml:space="preserve">predictive </w:t>
      </w:r>
      <w:r w:rsidR="006C4296">
        <w:t xml:space="preserve">“Ghost Ads” to </w:t>
      </w:r>
      <w:r w:rsidR="0020250B">
        <w:t>optimize and precisely measure their marketing performance.</w:t>
      </w:r>
      <w:r w:rsidR="005F46D0">
        <w:t xml:space="preserve"> </w:t>
      </w:r>
      <w:r w:rsidR="00EA4323">
        <w:t xml:space="preserve">According to Johnson, Lewis, and </w:t>
      </w:r>
      <w:proofErr w:type="spellStart"/>
      <w:r w:rsidR="00EA4323">
        <w:t>Nubbemeyer</w:t>
      </w:r>
      <w:proofErr w:type="spellEnd"/>
      <w:r w:rsidR="00EA4323">
        <w:t xml:space="preserve"> </w:t>
      </w:r>
      <w:r w:rsidR="00480CA8">
        <w:t>G</w:t>
      </w:r>
      <w:r w:rsidR="00EA4323">
        <w:t xml:space="preserve">host </w:t>
      </w:r>
      <w:r w:rsidR="00480CA8">
        <w:t>A</w:t>
      </w:r>
      <w:r w:rsidR="00EA4323">
        <w:t xml:space="preserve">ds </w:t>
      </w:r>
      <w:r w:rsidR="005F46D0">
        <w:t>use simulated auctions</w:t>
      </w:r>
      <w:r w:rsidR="00480CA8">
        <w:t xml:space="preserve"> on ad platforms, like Google and Facebook,</w:t>
      </w:r>
      <w:r w:rsidR="005F46D0">
        <w:t xml:space="preserve"> that include the experimental ad in a set of control potential ads. </w:t>
      </w:r>
      <w:r w:rsidR="00480CA8">
        <w:t>By using a control group that are not shown new Netflix ads and a treatment group which is shown the ad, Netflix can compare the potential revenue from both groups to get an idea of the effectiveness of the ad.</w:t>
      </w:r>
    </w:p>
    <w:p w14:paraId="3E9096BF" w14:textId="34FEE064" w:rsidR="001F0937" w:rsidRDefault="001F0937" w:rsidP="001F0937">
      <w:pPr>
        <w:pStyle w:val="Heading4"/>
      </w:pPr>
      <w:r>
        <w:t>Plans for future development of data and information systems for use by management for decision-making</w:t>
      </w:r>
      <w:r w:rsidRPr="001F0937">
        <w:t>.</w:t>
      </w:r>
    </w:p>
    <w:p w14:paraId="30F31FB1" w14:textId="77777777" w:rsidR="000300EA" w:rsidRPr="000300EA" w:rsidRDefault="000300EA" w:rsidP="000300EA"/>
    <w:p w14:paraId="4BF3EDA2" w14:textId="77777777" w:rsidR="001F0937" w:rsidRPr="003F7CBD" w:rsidRDefault="001F0937" w:rsidP="001F0937">
      <w:pPr>
        <w:pStyle w:val="Heading4"/>
      </w:pPr>
      <w:r>
        <w:t>Summary</w:t>
      </w:r>
      <w:r w:rsidRPr="003F7CBD">
        <w:rPr>
          <w:rStyle w:val="Heading4Char"/>
          <w:b/>
          <w:bCs/>
          <w:i/>
          <w:iCs/>
        </w:rPr>
        <w:t>.</w:t>
      </w:r>
    </w:p>
    <w:p w14:paraId="2C1C6B84" w14:textId="77777777" w:rsidR="003350B2" w:rsidRPr="003350B2" w:rsidRDefault="003350B2" w:rsidP="003350B2"/>
    <w:sdt>
      <w:sdtPr>
        <w:rPr>
          <w:rFonts w:asciiTheme="minorHAnsi" w:eastAsiaTheme="minorEastAsia" w:hAnsiTheme="minorHAnsi" w:cstheme="minorBidi"/>
        </w:rPr>
        <w:id w:val="-1096949615"/>
        <w:docPartObj>
          <w:docPartGallery w:val="Bibliographies"/>
          <w:docPartUnique/>
        </w:docPartObj>
      </w:sdtPr>
      <w:sdtEndPr/>
      <w:sdtContent>
        <w:p w14:paraId="7C053B5B" w14:textId="77777777" w:rsidR="00097169" w:rsidRDefault="00097169" w:rsidP="00097169">
          <w:pPr>
            <w:pStyle w:val="SectionTitle"/>
          </w:pPr>
          <w:r>
            <w:t>References</w:t>
          </w:r>
        </w:p>
        <w:sdt>
          <w:sdtPr>
            <w:id w:val="-573587230"/>
            <w:bibliography/>
          </w:sdtPr>
          <w:sdtEndPr/>
          <w:sdtContent>
            <w:p w14:paraId="5C077002" w14:textId="77777777" w:rsidR="00235853" w:rsidRDefault="00235853" w:rsidP="00235853">
              <w:pPr>
                <w:pStyle w:val="Bibliography"/>
                <w:rPr>
                  <w:noProof/>
                </w:rPr>
              </w:pPr>
              <w:r>
                <w:t xml:space="preserve">Gomez-Uribe, C., &amp; Hunt, N. (2015). The Netflix Recommender System: Algorithms, Business Value, and Innovation. </w:t>
              </w:r>
              <w:r>
                <w:rPr>
                  <w:i/>
                  <w:iCs/>
                </w:rPr>
                <w:t>ACM Transactions on Management Information Systems (TMIS),</w:t>
              </w:r>
              <w:r>
                <w:t xml:space="preserve"> </w:t>
              </w:r>
              <w:r>
                <w:rPr>
                  <w:i/>
                  <w:iCs/>
                </w:rPr>
                <w:t>6</w:t>
              </w:r>
              <w:r>
                <w:t>(4), 1-19.</w:t>
              </w:r>
            </w:p>
            <w:p w14:paraId="2460D931" w14:textId="77777777" w:rsidR="00235853" w:rsidRPr="00593A0F" w:rsidRDefault="00235853" w:rsidP="00235853">
              <w:pPr>
                <w:pStyle w:val="NormalWeb"/>
                <w:ind w:left="567" w:hanging="567"/>
                <w:rPr>
                  <w:rFonts w:eastAsia="Times New Roman"/>
                  <w:color w:val="auto"/>
                  <w:lang w:eastAsia="en-US"/>
                </w:rPr>
              </w:pPr>
              <w:r w:rsidRPr="00593A0F">
                <w:rPr>
                  <w:rFonts w:eastAsia="Times New Roman"/>
                  <w:color w:val="auto"/>
                  <w:lang w:eastAsia="en-US"/>
                </w:rPr>
                <w:t>Taylor, B. (2018, July 18). Everything I Know About Business I Learned from Netflix. Retrieved July 04, 2020, from https://hbr.org/2018/07/to-see-the-future-of-competition-look-at-netflix</w:t>
              </w:r>
            </w:p>
            <w:p w14:paraId="3278E5D3" w14:textId="77777777" w:rsidR="00235853" w:rsidRDefault="00235853" w:rsidP="00235853">
              <w:pPr>
                <w:pStyle w:val="NormalWeb"/>
                <w:ind w:left="567" w:hanging="567"/>
                <w:rPr>
                  <w:rFonts w:eastAsia="Times New Roman"/>
                  <w:color w:val="auto"/>
                  <w:lang w:eastAsia="en-US"/>
                </w:rPr>
              </w:pPr>
              <w:r w:rsidRPr="00E674A6">
                <w:rPr>
                  <w:rFonts w:eastAsia="Times New Roman"/>
                  <w:color w:val="auto"/>
                  <w:lang w:eastAsia="en-US"/>
                </w:rPr>
                <w:t xml:space="preserve">Dixon, M. (2019, October 18). How Netflix used big data and analytics to generate billions. Retrieved July 04, 2020, from </w:t>
              </w:r>
              <w:hyperlink r:id="rId9" w:history="1">
                <w:r w:rsidRPr="00E674A6">
                  <w:rPr>
                    <w:rStyle w:val="Hyperlink"/>
                    <w:rFonts w:eastAsia="Times New Roman"/>
                    <w:lang w:eastAsia="en-US"/>
                  </w:rPr>
                  <w:t>https://seleritysas.com/blog/2019/04/05/how-netflix-used-big-data-and-analytics-to-generate-billions/</w:t>
                </w:r>
              </w:hyperlink>
            </w:p>
            <w:p w14:paraId="63158BE5" w14:textId="77777777" w:rsidR="00235853" w:rsidRDefault="00235853" w:rsidP="00235853">
              <w:pPr>
                <w:pStyle w:val="NormalWeb"/>
                <w:ind w:left="567" w:hanging="567"/>
                <w:rPr>
                  <w:rStyle w:val="Hyperlink"/>
                  <w:rFonts w:eastAsia="Times New Roman"/>
                  <w:lang w:eastAsia="en-US"/>
                </w:rPr>
              </w:pPr>
              <w:r w:rsidRPr="003265E3">
                <w:rPr>
                  <w:rFonts w:eastAsia="Times New Roman"/>
                  <w:color w:val="auto"/>
                  <w:lang w:eastAsia="en-US"/>
                </w:rPr>
                <w:t xml:space="preserve">Why big data is changing TV. (2016, May). Television Magazine. Retrieved July 3, 2020, from </w:t>
              </w:r>
              <w:hyperlink r:id="rId10" w:history="1">
                <w:r w:rsidRPr="003265E3">
                  <w:rPr>
                    <w:rStyle w:val="Hyperlink"/>
                    <w:rFonts w:eastAsia="Times New Roman"/>
                    <w:lang w:eastAsia="en-US"/>
                  </w:rPr>
                  <w:t>https://rts.org.uk/article/why-big-data-changing-tv</w:t>
                </w:r>
              </w:hyperlink>
            </w:p>
            <w:p w14:paraId="295B6931" w14:textId="48E9A20A" w:rsidR="00097169" w:rsidRDefault="00235853" w:rsidP="00235853">
              <w:pPr>
                <w:pStyle w:val="NormalWeb"/>
                <w:ind w:left="567" w:hanging="567"/>
                <w:rPr>
                  <w:rStyle w:val="Hyperlink"/>
                  <w:rFonts w:eastAsia="Times New Roman"/>
                  <w:lang w:eastAsia="en-US"/>
                </w:rPr>
              </w:pPr>
              <w:r w:rsidRPr="00A01C21">
                <w:rPr>
                  <w:rFonts w:eastAsia="Times New Roman"/>
                  <w:color w:val="auto"/>
                  <w:lang w:eastAsia="en-US"/>
                </w:rPr>
                <w:t xml:space="preserve">Sandoval, G. (2012, July 11). Netflix's lost year: The inside story of the price-hike train wreck. Retrieved July 04, 2020, from </w:t>
              </w:r>
              <w:hyperlink r:id="rId11" w:history="1">
                <w:r w:rsidRPr="00A01C21">
                  <w:rPr>
                    <w:rStyle w:val="Hyperlink"/>
                    <w:rFonts w:eastAsia="Times New Roman"/>
                    <w:lang w:eastAsia="en-US"/>
                  </w:rPr>
                  <w:t>https://www.cnet.com/news/netflixs-lost-year-the-inside-story-of-the-price-hike-train-wreck/</w:t>
                </w:r>
              </w:hyperlink>
            </w:p>
            <w:p w14:paraId="45FA2BC1" w14:textId="71C96A7D" w:rsidR="005F46D0" w:rsidRDefault="005F46D0" w:rsidP="00235853">
              <w:pPr>
                <w:pStyle w:val="NormalWeb"/>
                <w:ind w:left="567" w:hanging="567"/>
                <w:rPr>
                  <w:rFonts w:eastAsia="Times New Roman"/>
                  <w:color w:val="auto"/>
                  <w:lang w:eastAsia="en-US"/>
                </w:rPr>
              </w:pPr>
              <w:r w:rsidRPr="005F46D0">
                <w:rPr>
                  <w:rFonts w:eastAsia="Times New Roman"/>
                  <w:color w:val="auto"/>
                  <w:lang w:eastAsia="en-US"/>
                </w:rPr>
                <w:t xml:space="preserve">  Johnson, G. A., Lewis, R. A., &amp; </w:t>
              </w:r>
              <w:proofErr w:type="spellStart"/>
              <w:r w:rsidRPr="005F46D0">
                <w:rPr>
                  <w:rFonts w:eastAsia="Times New Roman"/>
                  <w:color w:val="auto"/>
                  <w:lang w:eastAsia="en-US"/>
                </w:rPr>
                <w:t>Nubbemeyer</w:t>
              </w:r>
              <w:proofErr w:type="spellEnd"/>
              <w:r w:rsidRPr="005F46D0">
                <w:rPr>
                  <w:rFonts w:eastAsia="Times New Roman"/>
                  <w:color w:val="auto"/>
                  <w:lang w:eastAsia="en-US"/>
                </w:rPr>
                <w:t xml:space="preserve">, E. I. (2017). Ghost Ads: Improving the Economics of Measuring Online Ad Effectiveness. Journal of Marketing Research, 54(6), 867–884. </w:t>
              </w:r>
              <w:hyperlink r:id="rId12" w:history="1">
                <w:r w:rsidRPr="00C84999">
                  <w:rPr>
                    <w:rStyle w:val="Hyperlink"/>
                    <w:rFonts w:eastAsia="Times New Roman"/>
                    <w:lang w:eastAsia="en-US"/>
                  </w:rPr>
                  <w:t>https://doi.org/10.1509/jmr.15.0297</w:t>
                </w:r>
              </w:hyperlink>
            </w:p>
            <w:p w14:paraId="6F980F26" w14:textId="77777777" w:rsidR="005F46D0" w:rsidRPr="00235853" w:rsidRDefault="005F46D0" w:rsidP="00235853">
              <w:pPr>
                <w:pStyle w:val="NormalWeb"/>
                <w:ind w:left="567" w:hanging="567"/>
                <w:rPr>
                  <w:rFonts w:eastAsia="Times New Roman"/>
                  <w:color w:val="auto"/>
                  <w:lang w:eastAsia="en-US"/>
                </w:rPr>
              </w:pPr>
            </w:p>
            <w:p w14:paraId="32DF4D0D" w14:textId="2CA9A02B" w:rsidR="00097169" w:rsidRDefault="0088748D"/>
          </w:sdtContent>
        </w:sdt>
      </w:sdtContent>
    </w:sdt>
    <w:p w14:paraId="02726193" w14:textId="7915F09B" w:rsidR="007C5711" w:rsidRDefault="007C5711"/>
    <w:p w14:paraId="59BC70F5" w14:textId="2D464125" w:rsidR="007C5711" w:rsidRDefault="007C5711"/>
    <w:p w14:paraId="7B3DEF9F" w14:textId="121E9609" w:rsidR="007C5711" w:rsidRDefault="007C5711"/>
    <w:p w14:paraId="3A6E80B5" w14:textId="3C4C6464" w:rsidR="007C5711" w:rsidRDefault="007C5711"/>
    <w:p w14:paraId="59B4127D" w14:textId="6C362E28" w:rsidR="007C5711" w:rsidRDefault="007C5711"/>
    <w:p w14:paraId="7595B22F" w14:textId="0AE1A672" w:rsidR="007C5711" w:rsidRDefault="007C5711"/>
    <w:p w14:paraId="0DBB1026" w14:textId="5C674623" w:rsidR="007C5711" w:rsidRDefault="007C5711"/>
    <w:p w14:paraId="29CE9BCE" w14:textId="77777777" w:rsidR="007C5711" w:rsidRDefault="007C5711" w:rsidP="007C5711">
      <w:pPr>
        <w:pStyle w:val="SectionTitle"/>
      </w:pPr>
      <w:r>
        <w:lastRenderedPageBreak/>
        <w:t>Tables</w:t>
      </w:r>
    </w:p>
    <w:p w14:paraId="763C03A1" w14:textId="77777777" w:rsidR="007C5711" w:rsidRDefault="007C5711" w:rsidP="007C5711">
      <w:pPr>
        <w:pStyle w:val="NoSpacing"/>
      </w:pPr>
      <w:r>
        <w:t>Table 1</w:t>
      </w:r>
    </w:p>
    <w:p w14:paraId="77641C00" w14:textId="24BBE7ED" w:rsidR="007C5711" w:rsidRPr="008710DB" w:rsidRDefault="008710DB" w:rsidP="007C5711">
      <w:pPr>
        <w:pStyle w:val="NoSpacing"/>
        <w:rPr>
          <w:i/>
          <w:iCs/>
        </w:rPr>
      </w:pPr>
      <w:r w:rsidRPr="008710DB">
        <w:rPr>
          <w:i/>
          <w:iCs/>
        </w:rPr>
        <w:t>Netflix Subscriptions As of / Year Ended December 31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0"/>
        <w:gridCol w:w="996"/>
        <w:gridCol w:w="1176"/>
        <w:gridCol w:w="996"/>
        <w:gridCol w:w="876"/>
        <w:gridCol w:w="876"/>
      </w:tblGrid>
      <w:tr w:rsidR="008710DB" w14:paraId="463D11A7" w14:textId="77777777" w:rsidTr="00E740B8">
        <w:tc>
          <w:tcPr>
            <w:tcW w:w="2372" w:type="pct"/>
            <w:tcBorders>
              <w:top w:val="double" w:sz="4" w:space="0" w:color="B2B2B2" w:themeColor="accent2"/>
              <w:bottom w:val="double" w:sz="4" w:space="0" w:color="B2B2B2" w:themeColor="accent2"/>
            </w:tcBorders>
          </w:tcPr>
          <w:p w14:paraId="1393AA24" w14:textId="77777777" w:rsidR="008710DB" w:rsidRDefault="008710DB" w:rsidP="007C5711">
            <w:pPr>
              <w:pStyle w:val="NoSpacing"/>
            </w:pPr>
          </w:p>
        </w:tc>
        <w:tc>
          <w:tcPr>
            <w:tcW w:w="532" w:type="pct"/>
            <w:tcBorders>
              <w:top w:val="double" w:sz="4" w:space="0" w:color="B2B2B2" w:themeColor="accent2"/>
              <w:bottom w:val="double" w:sz="4" w:space="0" w:color="B2B2B2" w:themeColor="accent2"/>
            </w:tcBorders>
          </w:tcPr>
          <w:p w14:paraId="22F2F1A2" w14:textId="29051E1F" w:rsidR="008710DB" w:rsidRDefault="008710DB" w:rsidP="008710DB">
            <w:pPr>
              <w:pStyle w:val="NoSpacing"/>
              <w:jc w:val="center"/>
            </w:pPr>
            <w:r>
              <w:t>2019</w:t>
            </w:r>
          </w:p>
        </w:tc>
        <w:tc>
          <w:tcPr>
            <w:tcW w:w="628" w:type="pct"/>
            <w:tcBorders>
              <w:top w:val="double" w:sz="4" w:space="0" w:color="B2B2B2" w:themeColor="accent2"/>
              <w:bottom w:val="double" w:sz="4" w:space="0" w:color="B2B2B2" w:themeColor="accent2"/>
            </w:tcBorders>
          </w:tcPr>
          <w:p w14:paraId="5D2CA36D" w14:textId="3EC758CC" w:rsidR="008710DB" w:rsidRDefault="008710DB" w:rsidP="008710DB">
            <w:pPr>
              <w:pStyle w:val="NoSpacing"/>
              <w:jc w:val="center"/>
            </w:pPr>
            <w:r>
              <w:t>2018</w:t>
            </w:r>
          </w:p>
        </w:tc>
        <w:tc>
          <w:tcPr>
            <w:tcW w:w="532" w:type="pct"/>
            <w:tcBorders>
              <w:top w:val="double" w:sz="4" w:space="0" w:color="B2B2B2" w:themeColor="accent2"/>
              <w:bottom w:val="double" w:sz="4" w:space="0" w:color="B2B2B2" w:themeColor="accent2"/>
            </w:tcBorders>
          </w:tcPr>
          <w:p w14:paraId="148662B1" w14:textId="1F4CF27B" w:rsidR="008710DB" w:rsidRDefault="008710DB" w:rsidP="008710DB">
            <w:pPr>
              <w:pStyle w:val="NoSpacing"/>
              <w:jc w:val="center"/>
            </w:pPr>
            <w:r>
              <w:t>2017</w:t>
            </w:r>
          </w:p>
        </w:tc>
        <w:tc>
          <w:tcPr>
            <w:tcW w:w="468" w:type="pct"/>
            <w:tcBorders>
              <w:top w:val="double" w:sz="4" w:space="0" w:color="B2B2B2" w:themeColor="accent2"/>
              <w:bottom w:val="double" w:sz="4" w:space="0" w:color="B2B2B2" w:themeColor="accent2"/>
            </w:tcBorders>
          </w:tcPr>
          <w:p w14:paraId="0284EED4" w14:textId="5BEB708C" w:rsidR="008710DB" w:rsidRDefault="008710DB" w:rsidP="008710DB">
            <w:pPr>
              <w:pStyle w:val="NoSpacing"/>
              <w:jc w:val="center"/>
            </w:pPr>
            <w:r>
              <w:t>2016</w:t>
            </w:r>
          </w:p>
        </w:tc>
        <w:tc>
          <w:tcPr>
            <w:tcW w:w="468" w:type="pct"/>
            <w:tcBorders>
              <w:top w:val="double" w:sz="4" w:space="0" w:color="B2B2B2" w:themeColor="accent2"/>
              <w:bottom w:val="double" w:sz="4" w:space="0" w:color="B2B2B2" w:themeColor="accent2"/>
            </w:tcBorders>
          </w:tcPr>
          <w:p w14:paraId="40CAFC47" w14:textId="59E18972" w:rsidR="008710DB" w:rsidRDefault="008710DB" w:rsidP="008710DB">
            <w:pPr>
              <w:pStyle w:val="NoSpacing"/>
              <w:jc w:val="center"/>
            </w:pPr>
            <w:r>
              <w:t>2015</w:t>
            </w:r>
          </w:p>
        </w:tc>
      </w:tr>
      <w:tr w:rsidR="00922714" w14:paraId="37881978" w14:textId="77777777" w:rsidTr="00922714">
        <w:tc>
          <w:tcPr>
            <w:tcW w:w="2372" w:type="pct"/>
          </w:tcPr>
          <w:p w14:paraId="1AA8ACA0" w14:textId="77777777" w:rsidR="00922714" w:rsidRDefault="00922714" w:rsidP="007C5711">
            <w:pPr>
              <w:pStyle w:val="NoSpacing"/>
            </w:pPr>
          </w:p>
        </w:tc>
        <w:tc>
          <w:tcPr>
            <w:tcW w:w="2628" w:type="pct"/>
            <w:gridSpan w:val="5"/>
            <w:tcBorders>
              <w:top w:val="double" w:sz="4" w:space="0" w:color="B2B2B2" w:themeColor="accent2"/>
            </w:tcBorders>
          </w:tcPr>
          <w:p w14:paraId="4E413B2D" w14:textId="5AFC6C24" w:rsidR="00922714" w:rsidRPr="00922714" w:rsidRDefault="00922714" w:rsidP="008710DB">
            <w:pPr>
              <w:pStyle w:val="NoSpacing"/>
              <w:jc w:val="center"/>
              <w:rPr>
                <w:i/>
                <w:iCs/>
                <w:sz w:val="20"/>
                <w:szCs w:val="20"/>
              </w:rPr>
            </w:pPr>
            <w:r>
              <w:rPr>
                <w:i/>
                <w:iCs/>
                <w:sz w:val="20"/>
                <w:szCs w:val="20"/>
              </w:rPr>
              <w:t>(i</w:t>
            </w:r>
            <w:r w:rsidRPr="00922714">
              <w:rPr>
                <w:i/>
                <w:iCs/>
                <w:sz w:val="20"/>
                <w:szCs w:val="20"/>
              </w:rPr>
              <w:t>n thousands</w:t>
            </w:r>
            <w:r>
              <w:rPr>
                <w:i/>
                <w:iCs/>
                <w:sz w:val="20"/>
                <w:szCs w:val="20"/>
              </w:rPr>
              <w:t>)</w:t>
            </w:r>
          </w:p>
        </w:tc>
      </w:tr>
      <w:tr w:rsidR="008710DB" w14:paraId="6BC66444" w14:textId="77777777" w:rsidTr="00E740B8">
        <w:tc>
          <w:tcPr>
            <w:tcW w:w="2372" w:type="pct"/>
          </w:tcPr>
          <w:p w14:paraId="0527C793" w14:textId="08285BC5" w:rsidR="008710DB" w:rsidRDefault="008710DB" w:rsidP="007C5711">
            <w:pPr>
              <w:pStyle w:val="NoSpacing"/>
            </w:pPr>
            <w:r>
              <w:t>Paid subscriptions at end of period</w:t>
            </w:r>
          </w:p>
        </w:tc>
        <w:tc>
          <w:tcPr>
            <w:tcW w:w="532" w:type="pct"/>
          </w:tcPr>
          <w:p w14:paraId="62200607" w14:textId="35CAEA8D" w:rsidR="008710DB" w:rsidRDefault="008710DB" w:rsidP="008710DB">
            <w:pPr>
              <w:pStyle w:val="NoSpacing"/>
              <w:jc w:val="right"/>
            </w:pPr>
            <w:r>
              <w:t>167,090</w:t>
            </w:r>
          </w:p>
        </w:tc>
        <w:tc>
          <w:tcPr>
            <w:tcW w:w="628" w:type="pct"/>
          </w:tcPr>
          <w:p w14:paraId="01941A28" w14:textId="248C22B3" w:rsidR="008710DB" w:rsidRDefault="008710DB" w:rsidP="008710DB">
            <w:pPr>
              <w:pStyle w:val="NoSpacing"/>
              <w:jc w:val="right"/>
            </w:pPr>
            <w:r>
              <w:t>139,259</w:t>
            </w:r>
          </w:p>
        </w:tc>
        <w:tc>
          <w:tcPr>
            <w:tcW w:w="532" w:type="pct"/>
          </w:tcPr>
          <w:p w14:paraId="29BC1B51" w14:textId="451D3E83" w:rsidR="008710DB" w:rsidRDefault="008710DB" w:rsidP="008710DB">
            <w:pPr>
              <w:pStyle w:val="NoSpacing"/>
              <w:jc w:val="right"/>
            </w:pPr>
            <w:r>
              <w:t>110,644</w:t>
            </w:r>
          </w:p>
        </w:tc>
        <w:tc>
          <w:tcPr>
            <w:tcW w:w="468" w:type="pct"/>
          </w:tcPr>
          <w:p w14:paraId="3070C167" w14:textId="5E6DECBB" w:rsidR="008710DB" w:rsidRDefault="008710DB" w:rsidP="008710DB">
            <w:pPr>
              <w:pStyle w:val="NoSpacing"/>
              <w:jc w:val="right"/>
            </w:pPr>
            <w:r>
              <w:t>89,090</w:t>
            </w:r>
          </w:p>
        </w:tc>
        <w:tc>
          <w:tcPr>
            <w:tcW w:w="468" w:type="pct"/>
          </w:tcPr>
          <w:p w14:paraId="70B85CA0" w14:textId="4406765D" w:rsidR="008710DB" w:rsidRDefault="008710DB" w:rsidP="008710DB">
            <w:pPr>
              <w:pStyle w:val="NoSpacing"/>
              <w:jc w:val="right"/>
            </w:pPr>
            <w:r>
              <w:t>70,839</w:t>
            </w:r>
          </w:p>
        </w:tc>
      </w:tr>
      <w:tr w:rsidR="008710DB" w14:paraId="3E8C0DF8" w14:textId="77777777" w:rsidTr="00E740B8">
        <w:tc>
          <w:tcPr>
            <w:tcW w:w="2372" w:type="pct"/>
            <w:tcBorders>
              <w:bottom w:val="double" w:sz="4" w:space="0" w:color="B2B2B2" w:themeColor="accent2"/>
            </w:tcBorders>
          </w:tcPr>
          <w:p w14:paraId="350169C8" w14:textId="71DE59E3" w:rsidR="008710DB" w:rsidRDefault="008710DB" w:rsidP="007C5711">
            <w:pPr>
              <w:pStyle w:val="NoSpacing"/>
            </w:pPr>
            <w:r>
              <w:t>Paid net membership additions</w:t>
            </w:r>
          </w:p>
        </w:tc>
        <w:tc>
          <w:tcPr>
            <w:tcW w:w="532" w:type="pct"/>
            <w:tcBorders>
              <w:bottom w:val="double" w:sz="4" w:space="0" w:color="B2B2B2" w:themeColor="accent2"/>
            </w:tcBorders>
          </w:tcPr>
          <w:p w14:paraId="1243F8D9" w14:textId="61CF01D5" w:rsidR="008710DB" w:rsidRDefault="008710DB" w:rsidP="008710DB">
            <w:pPr>
              <w:pStyle w:val="NoSpacing"/>
              <w:jc w:val="right"/>
            </w:pPr>
            <w:r>
              <w:t>27,831</w:t>
            </w:r>
          </w:p>
        </w:tc>
        <w:tc>
          <w:tcPr>
            <w:tcW w:w="628" w:type="pct"/>
            <w:tcBorders>
              <w:bottom w:val="double" w:sz="4" w:space="0" w:color="B2B2B2" w:themeColor="accent2"/>
            </w:tcBorders>
          </w:tcPr>
          <w:p w14:paraId="54AE527B" w14:textId="678B4260" w:rsidR="008710DB" w:rsidRDefault="008710DB" w:rsidP="008710DB">
            <w:pPr>
              <w:pStyle w:val="NoSpacing"/>
              <w:jc w:val="right"/>
            </w:pPr>
            <w:r>
              <w:t>28,615</w:t>
            </w:r>
          </w:p>
        </w:tc>
        <w:tc>
          <w:tcPr>
            <w:tcW w:w="532" w:type="pct"/>
            <w:tcBorders>
              <w:bottom w:val="double" w:sz="4" w:space="0" w:color="B2B2B2" w:themeColor="accent2"/>
            </w:tcBorders>
          </w:tcPr>
          <w:p w14:paraId="3E9F149F" w14:textId="01869C53" w:rsidR="008710DB" w:rsidRDefault="008710DB" w:rsidP="008710DB">
            <w:pPr>
              <w:pStyle w:val="NoSpacing"/>
              <w:jc w:val="right"/>
            </w:pPr>
            <w:r>
              <w:t>21,554</w:t>
            </w:r>
          </w:p>
        </w:tc>
        <w:tc>
          <w:tcPr>
            <w:tcW w:w="468" w:type="pct"/>
            <w:tcBorders>
              <w:bottom w:val="double" w:sz="4" w:space="0" w:color="B2B2B2" w:themeColor="accent2"/>
            </w:tcBorders>
          </w:tcPr>
          <w:p w14:paraId="77E6ECBA" w14:textId="4921419F" w:rsidR="008710DB" w:rsidRDefault="008710DB" w:rsidP="008710DB">
            <w:pPr>
              <w:pStyle w:val="NoSpacing"/>
              <w:jc w:val="right"/>
            </w:pPr>
            <w:r>
              <w:t>18,251</w:t>
            </w:r>
          </w:p>
        </w:tc>
        <w:tc>
          <w:tcPr>
            <w:tcW w:w="468" w:type="pct"/>
            <w:tcBorders>
              <w:bottom w:val="double" w:sz="4" w:space="0" w:color="B2B2B2" w:themeColor="accent2"/>
            </w:tcBorders>
          </w:tcPr>
          <w:p w14:paraId="71149B05" w14:textId="40C3EDBA" w:rsidR="008710DB" w:rsidRDefault="008710DB" w:rsidP="008710DB">
            <w:pPr>
              <w:pStyle w:val="NoSpacing"/>
              <w:jc w:val="right"/>
            </w:pPr>
            <w:r>
              <w:t>16,363</w:t>
            </w:r>
          </w:p>
        </w:tc>
      </w:tr>
    </w:tbl>
    <w:p w14:paraId="247BEA14" w14:textId="6057913B" w:rsidR="00E740B8" w:rsidRDefault="00E740B8" w:rsidP="00E740B8">
      <w:pPr>
        <w:pStyle w:val="TableFigure"/>
      </w:pPr>
      <w:r>
        <w:rPr>
          <w:rStyle w:val="Emphasis"/>
        </w:rPr>
        <w:t>Note</w:t>
      </w:r>
      <w:r>
        <w:t xml:space="preserve">: </w:t>
      </w:r>
      <w:r>
        <w:t>Displays number of global subscriptions and member additions for corresponding years in thousands.</w:t>
      </w:r>
    </w:p>
    <w:p w14:paraId="62D93DAF" w14:textId="79895482" w:rsidR="00E740B8" w:rsidRPr="0061747E" w:rsidRDefault="00E740B8" w:rsidP="007C5711">
      <w:pPr>
        <w:pStyle w:val="NoSpacing"/>
      </w:pPr>
    </w:p>
    <w:sectPr w:rsidR="00E740B8" w:rsidRPr="0061747E">
      <w:headerReference w:type="default" r:id="rId13"/>
      <w:headerReference w:type="first" r:id="rId14"/>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46BD5DB" w14:textId="77777777" w:rsidR="0088748D" w:rsidRDefault="0088748D">
      <w:pPr>
        <w:spacing w:line="240" w:lineRule="auto"/>
      </w:pPr>
      <w:r>
        <w:separator/>
      </w:r>
    </w:p>
    <w:p w14:paraId="47F814CA" w14:textId="77777777" w:rsidR="0088748D" w:rsidRDefault="0088748D"/>
  </w:endnote>
  <w:endnote w:type="continuationSeparator" w:id="0">
    <w:p w14:paraId="75A5EAB6" w14:textId="77777777" w:rsidR="0088748D" w:rsidRDefault="0088748D">
      <w:pPr>
        <w:spacing w:line="240" w:lineRule="auto"/>
      </w:pPr>
      <w:r>
        <w:continuationSeparator/>
      </w:r>
    </w:p>
    <w:p w14:paraId="792A404D" w14:textId="77777777" w:rsidR="0088748D" w:rsidRDefault="008874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854DAED" w14:textId="77777777" w:rsidR="0088748D" w:rsidRDefault="0088748D">
      <w:pPr>
        <w:spacing w:line="240" w:lineRule="auto"/>
      </w:pPr>
      <w:r>
        <w:separator/>
      </w:r>
    </w:p>
    <w:p w14:paraId="3A5F6813" w14:textId="77777777" w:rsidR="0088748D" w:rsidRDefault="0088748D"/>
  </w:footnote>
  <w:footnote w:type="continuationSeparator" w:id="0">
    <w:p w14:paraId="21DCB27B" w14:textId="77777777" w:rsidR="0088748D" w:rsidRDefault="0088748D">
      <w:pPr>
        <w:spacing w:line="240" w:lineRule="auto"/>
      </w:pPr>
      <w:r>
        <w:continuationSeparator/>
      </w:r>
    </w:p>
    <w:p w14:paraId="2AB7DF7E" w14:textId="77777777" w:rsidR="0088748D" w:rsidRDefault="0088748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1C110F2A"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0873D179" w14:textId="575FEF7F" w:rsidR="004D6B86" w:rsidRPr="00170521" w:rsidRDefault="0088748D" w:rsidP="00170521">
          <w:pPr>
            <w:pStyle w:val="Header"/>
          </w:pPr>
          <w:sdt>
            <w:sdtPr>
              <w:alias w:val="Enter shortened title:"/>
              <w:tag w:val="Enter shortened title:"/>
              <w:id w:val="-582528332"/>
              <w15:dataBinding w:prefixMappings="xmlns:ns0='http://schemas.microsoft.com/temp/samples' " w:xpath="/ns0:employees[1]/ns0:employee[1]/ns0:CustomerName[1]" w:storeItemID="{B98E728A-96FF-4995-885C-5AF887AB0C35}"/>
              <w15:appearance w15:val="hidden"/>
            </w:sdtPr>
            <w:sdtEndPr/>
            <w:sdtContent>
              <w:r w:rsidR="00E15095">
                <w:t>How Netflix Uses Big Data</w:t>
              </w:r>
            </w:sdtContent>
          </w:sdt>
        </w:p>
      </w:tc>
      <w:tc>
        <w:tcPr>
          <w:tcW w:w="1080" w:type="dxa"/>
        </w:tcPr>
        <w:p w14:paraId="5E37C1C2"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2</w:t>
          </w:r>
          <w:r>
            <w:rPr>
              <w:noProof/>
            </w:rPr>
            <w:fldChar w:fldCharType="end"/>
          </w:r>
        </w:p>
      </w:tc>
    </w:tr>
  </w:tbl>
  <w:p w14:paraId="557F7002" w14:textId="77777777" w:rsidR="004D6B86" w:rsidRDefault="004D6B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512F73B2"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2CCD2200" w14:textId="4999F577" w:rsidR="004D6B86" w:rsidRPr="009F0414" w:rsidRDefault="00377E41" w:rsidP="00504F88">
          <w:pPr>
            <w:pStyle w:val="Header"/>
          </w:pPr>
          <w:r>
            <w:t>How Netflix Uses Big Data</w:t>
          </w:r>
        </w:p>
      </w:tc>
      <w:tc>
        <w:tcPr>
          <w:tcW w:w="1080" w:type="dxa"/>
        </w:tcPr>
        <w:p w14:paraId="549E1F9C"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1</w:t>
          </w:r>
          <w:r>
            <w:rPr>
              <w:noProof/>
            </w:rPr>
            <w:fldChar w:fldCharType="end"/>
          </w:r>
        </w:p>
      </w:tc>
    </w:tr>
  </w:tbl>
  <w:p w14:paraId="24764D35" w14:textId="77777777" w:rsidR="004D6B86" w:rsidRDefault="004D6B86"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E41"/>
    <w:rsid w:val="00006BBA"/>
    <w:rsid w:val="0001010E"/>
    <w:rsid w:val="000217F5"/>
    <w:rsid w:val="000300EA"/>
    <w:rsid w:val="000936FF"/>
    <w:rsid w:val="00097169"/>
    <w:rsid w:val="000A3F7C"/>
    <w:rsid w:val="000D7550"/>
    <w:rsid w:val="000F6D30"/>
    <w:rsid w:val="0011413D"/>
    <w:rsid w:val="00114BFA"/>
    <w:rsid w:val="00130D6B"/>
    <w:rsid w:val="00132698"/>
    <w:rsid w:val="001602E3"/>
    <w:rsid w:val="00160C0C"/>
    <w:rsid w:val="001664A2"/>
    <w:rsid w:val="00170521"/>
    <w:rsid w:val="001B4848"/>
    <w:rsid w:val="001F0937"/>
    <w:rsid w:val="001F447A"/>
    <w:rsid w:val="001F7399"/>
    <w:rsid w:val="001F7D08"/>
    <w:rsid w:val="0020250B"/>
    <w:rsid w:val="00212319"/>
    <w:rsid w:val="00225BE3"/>
    <w:rsid w:val="00235853"/>
    <w:rsid w:val="00241F77"/>
    <w:rsid w:val="00274E0A"/>
    <w:rsid w:val="002A03ED"/>
    <w:rsid w:val="002A7D85"/>
    <w:rsid w:val="002B6153"/>
    <w:rsid w:val="002C627C"/>
    <w:rsid w:val="002D54F6"/>
    <w:rsid w:val="002E276F"/>
    <w:rsid w:val="00307586"/>
    <w:rsid w:val="003350B2"/>
    <w:rsid w:val="00336906"/>
    <w:rsid w:val="00342DD6"/>
    <w:rsid w:val="00345333"/>
    <w:rsid w:val="00377E41"/>
    <w:rsid w:val="003A06C6"/>
    <w:rsid w:val="003A45F2"/>
    <w:rsid w:val="003E36B1"/>
    <w:rsid w:val="003E4162"/>
    <w:rsid w:val="003F7CBD"/>
    <w:rsid w:val="00480CA8"/>
    <w:rsid w:val="00481CF8"/>
    <w:rsid w:val="00492C2D"/>
    <w:rsid w:val="004A3D87"/>
    <w:rsid w:val="004B18A9"/>
    <w:rsid w:val="004D4F8C"/>
    <w:rsid w:val="004D6B86"/>
    <w:rsid w:val="004F4E58"/>
    <w:rsid w:val="005030D7"/>
    <w:rsid w:val="00504F88"/>
    <w:rsid w:val="00532A9A"/>
    <w:rsid w:val="0055242C"/>
    <w:rsid w:val="00577A54"/>
    <w:rsid w:val="00595412"/>
    <w:rsid w:val="005F0699"/>
    <w:rsid w:val="005F46D0"/>
    <w:rsid w:val="0061747E"/>
    <w:rsid w:val="00641876"/>
    <w:rsid w:val="00645290"/>
    <w:rsid w:val="00684C26"/>
    <w:rsid w:val="00695B3E"/>
    <w:rsid w:val="006B015B"/>
    <w:rsid w:val="006C162F"/>
    <w:rsid w:val="006C4296"/>
    <w:rsid w:val="006D7EE9"/>
    <w:rsid w:val="007244DE"/>
    <w:rsid w:val="007C5711"/>
    <w:rsid w:val="007C67AC"/>
    <w:rsid w:val="0081390C"/>
    <w:rsid w:val="00813E2F"/>
    <w:rsid w:val="00816831"/>
    <w:rsid w:val="00831DBC"/>
    <w:rsid w:val="00837D67"/>
    <w:rsid w:val="008710DB"/>
    <w:rsid w:val="008747E8"/>
    <w:rsid w:val="0088748D"/>
    <w:rsid w:val="00891B7C"/>
    <w:rsid w:val="008A2A83"/>
    <w:rsid w:val="008A78F1"/>
    <w:rsid w:val="00907E4F"/>
    <w:rsid w:val="00910F0E"/>
    <w:rsid w:val="00922714"/>
    <w:rsid w:val="00961AE5"/>
    <w:rsid w:val="009A2C38"/>
    <w:rsid w:val="009B422A"/>
    <w:rsid w:val="009E5096"/>
    <w:rsid w:val="009F0414"/>
    <w:rsid w:val="00A4757D"/>
    <w:rsid w:val="00A56D66"/>
    <w:rsid w:val="00A77F6B"/>
    <w:rsid w:val="00A81BB2"/>
    <w:rsid w:val="00AA5C05"/>
    <w:rsid w:val="00B030EE"/>
    <w:rsid w:val="00B03BA4"/>
    <w:rsid w:val="00B24732"/>
    <w:rsid w:val="00B44D03"/>
    <w:rsid w:val="00B521CE"/>
    <w:rsid w:val="00B75E46"/>
    <w:rsid w:val="00BA2FB8"/>
    <w:rsid w:val="00BD64E3"/>
    <w:rsid w:val="00BE65B1"/>
    <w:rsid w:val="00C3438C"/>
    <w:rsid w:val="00C5686B"/>
    <w:rsid w:val="00C74024"/>
    <w:rsid w:val="00C83B15"/>
    <w:rsid w:val="00C925C8"/>
    <w:rsid w:val="00C945C6"/>
    <w:rsid w:val="00CB7F84"/>
    <w:rsid w:val="00CF1B55"/>
    <w:rsid w:val="00D471F4"/>
    <w:rsid w:val="00D71269"/>
    <w:rsid w:val="00DB2E59"/>
    <w:rsid w:val="00DB358F"/>
    <w:rsid w:val="00DC44F1"/>
    <w:rsid w:val="00DE51B5"/>
    <w:rsid w:val="00DF6D26"/>
    <w:rsid w:val="00E15095"/>
    <w:rsid w:val="00E166F5"/>
    <w:rsid w:val="00E7305D"/>
    <w:rsid w:val="00E740B8"/>
    <w:rsid w:val="00EA4323"/>
    <w:rsid w:val="00EA780C"/>
    <w:rsid w:val="00EB69D3"/>
    <w:rsid w:val="00F31D66"/>
    <w:rsid w:val="00F363EC"/>
    <w:rsid w:val="00F413AC"/>
    <w:rsid w:val="00FC5FFE"/>
    <w:rsid w:val="00FE725C"/>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C351E89"/>
  <w15:chartTrackingRefBased/>
  <w15:docId w15:val="{C4B470F2-EBF8-4B7C-8B58-1B8A20C37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character" w:styleId="Hyperlink">
    <w:name w:val="Hyperlink"/>
    <w:basedOn w:val="DefaultParagraphFont"/>
    <w:uiPriority w:val="99"/>
    <w:unhideWhenUsed/>
    <w:rsid w:val="00235853"/>
    <w:rPr>
      <w:color w:val="5F5F5F" w:themeColor="hyperlink"/>
      <w:u w:val="single"/>
    </w:rPr>
  </w:style>
  <w:style w:type="table" w:styleId="GridTable3">
    <w:name w:val="Grid Table 3"/>
    <w:basedOn w:val="TableNormal"/>
    <w:uiPriority w:val="48"/>
    <w:rsid w:val="007C571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3">
    <w:name w:val="Grid Table 3 Accent 3"/>
    <w:basedOn w:val="TableNormal"/>
    <w:uiPriority w:val="48"/>
    <w:rsid w:val="007C5711"/>
    <w:pPr>
      <w:spacing w:line="240" w:lineRule="auto"/>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5">
    <w:name w:val="Grid Table 3 Accent 5"/>
    <w:basedOn w:val="TableNormal"/>
    <w:uiPriority w:val="48"/>
    <w:rsid w:val="007C5711"/>
    <w:pPr>
      <w:spacing w:line="240" w:lineRule="auto"/>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
    <w:name w:val="Grid Table 7 Colorful"/>
    <w:basedOn w:val="TableNormal"/>
    <w:uiPriority w:val="52"/>
    <w:rsid w:val="007C571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7Colorful">
    <w:name w:val="List Table 7 Colorful"/>
    <w:basedOn w:val="TableNormal"/>
    <w:uiPriority w:val="52"/>
    <w:rsid w:val="007C5711"/>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5F46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doi.org/10.1509/jmr.15.0297"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cnet.com/news/netflixs-lost-year-the-inside-story-of-the-price-hike-train-wreck/"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rts.org.uk/article/why-big-data-changing-tv" TargetMode="External"/><Relationship Id="rId4" Type="http://schemas.openxmlformats.org/officeDocument/2006/relationships/styles" Target="styles.xml"/><Relationship Id="rId9" Type="http://schemas.openxmlformats.org/officeDocument/2006/relationships/hyperlink" Target="https://seleritysas.com/blog/2019/04/05/how-netflix-used-big-data-and-analytics-to-generate-billions/" TargetMode="Externa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paper.dotx" TargetMode="Externa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wp14"&gt;&lt;w:body&gt;&lt;w:p w:rsidR="00000000" w:rsidRDefault="00377E41"&gt;&lt;w:r&gt;&lt;w:t&gt;How Netflix Uses Big Data&lt;/w:t&gt;&lt;/w:r&gt;&lt;/w:p&gt;&lt;w:sectPr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wp14"&gt;&lt;w:abstractNum w:abstractNumId="0" w15:restartNumberingAfterBreak="0"&gt;&lt;w:nsid w:val="FFFFFF7C"/&gt;&lt;w:multiLevelType w:val="singleLevel"/&gt;&lt;w:tmpl w:val="6ED08D94"/&gt;&lt;w:lvl w:ilvl="0"&gt;&lt;w:start w:val="1"/&gt;&lt;w:numFmt w:val="decimal"/&gt;&lt;w:pStyle w:val="ListNumber5"/&gt;&lt;w:lvlText w:val="%1."/&gt;&lt;w:lvlJc w:val="left"/&gt;&lt;w:pPr&gt;&lt;w:tabs&gt;&lt;w:tab w:val="num" w:pos="1800"/&gt;&lt;/w:tabs&gt;&lt;w:ind w:left="1800" w:hanging="360"/&gt;&lt;/w:pPr&gt;&lt;/w:lvl&gt;&lt;/w:abstractNum&gt;&lt;w:abstractNum w:abstractNumId="1" w15:restartNumberingAfterBreak="0"&gt;&lt;w:nsid w:val="FFFFFF7D"/&gt;&lt;w:multiLevelType w:val="singleLevel"/&gt;&lt;w:tmpl w:val="3D5203EE"/&gt;&lt;w:lvl w:ilvl="0"&gt;&lt;w:start w:val="1"/&gt;&lt;w:numFmt w:val="decimal"/&gt;&lt;w:pStyle w:val="ListNumber4"/&gt;&lt;w:lvlText w:val="%1."/&gt;&lt;w:lvlJc w:val="left"/&gt;&lt;w:pPr&gt;&lt;w:tabs&gt;&lt;w:tab w:val="num" w:pos="1440"/&gt;&lt;/w:tabs&gt;&lt;w:ind w:left="1440" w:hanging="360"/&gt;&lt;/w:pPr&gt;&lt;/w:lvl&gt;&lt;/w:abstractNum&gt;&lt;w:abstractNum w:abstractNumId="2" w15:restartNumberingAfterBreak="0"&gt;&lt;w:nsid w:val="FFFFFF7E"/&gt;&lt;w:multiLevelType w:val="singleLevel"/&gt;&lt;w:tmpl w:val="F2DC96EC"/&gt;&lt;w:lvl w:ilvl="0"&gt;&lt;w:start w:val="1"/&gt;&lt;w:numFmt w:val="decimal"/&gt;&lt;w:pStyle w:val="ListNumber3"/&gt;&lt;w:lvlText w:val="%1."/&gt;&lt;w:lvlJc w:val="left"/&gt;&lt;w:pPr&gt;&lt;w:tabs&gt;&lt;w:tab w:val="num" w:pos="1080"/&gt;&lt;/w:tabs&gt;&lt;w:ind w:left="1080" w:hanging="360"/&gt;&lt;/w:pPr&gt;&lt;/w:lvl&gt;&lt;/w:abstractNum&gt;&lt;w:abstractNum w:abstractNumId="3" w15:restartNumberingAfterBreak="0"&gt;&lt;w:nsid w:val="FFFFFF7F"/&gt;&lt;w:multiLevelType w:val="singleLevel"/&gt;&lt;w:tmpl w:val="94D2CA36"/&gt;&lt;w:lvl w:ilvl="0"&gt;&lt;w:start w:val="1"/&gt;&lt;w:numFmt w:val="decimal"/&gt;&lt;w:pStyle w:val="ListNumber2"/&gt;&lt;w:lvlText w:val="%1."/&gt;&lt;w:lvlJc w:val="left"/&gt;&lt;w:pPr&gt;&lt;w:tabs&gt;&lt;w:tab w:val="num" w:pos="720"/&gt;&lt;/w:tabs&gt;&lt;w:ind w:left="720" w:hanging="360"/&gt;&lt;/w:pPr&gt;&lt;/w:lvl&gt;&lt;/w:abstractNum&gt;&lt;w:abstractNum w:abstractNumId="4" w15:restartNumberingAfterBreak="0"&gt;&lt;w:nsid w:val="FFFFFF80"/&gt;&lt;w:multiLevelType w:val="singleLevel"/&gt;&lt;w:tmpl w:val="17BCEBA6"/&gt;&lt;w:lvl w:ilvl="0"&gt;&lt;w:start w:val="1"/&gt;&lt;w:numFmt w:val="bullet"/&gt;&lt;w:pStyle w:val="ListBullet5"/&gt;&lt;w:lvlText w:val=""/&gt;&lt;w:lvlJc w:val="left"/&gt;&lt;w:pPr&gt;&lt;w:tabs&gt;&lt;w:tab w:val="num" w:pos="1800"/&gt;&lt;/w:tabs&gt;&lt;w:ind w:left="1800" w:hanging="360"/&gt;&lt;/w:pPr&gt;&lt;w:rPr&gt;&lt;w:rFonts w:ascii="Symbol" w:hAnsi="Symbol" w:hint="default"/&gt;&lt;/w:rPr&gt;&lt;/w:lvl&gt;&lt;/w:abstractNum&gt;&lt;w:abstractNum w:abstractNumId="5" w15:restartNumberingAfterBreak="0"&gt;&lt;w:nsid w:val="FFFFFF81"/&gt;&lt;w:multiLevelType w:val="singleLevel"/&gt;&lt;w:tmpl w:val="7D386FFE"/&gt;&lt;w:lvl w:ilvl="0"&gt;&lt;w:start w:val="1"/&gt;&lt;w:numFmt w:val="bullet"/&gt;&lt;w:pStyle w:val="ListBullet4"/&gt;&lt;w:lvlText w:val=""/&gt;&lt;w:lvlJc w:val="left"/&gt;&lt;w:pPr&gt;&lt;w:tabs&gt;&lt;w:tab w:val="num" w:pos="1440"/&gt;&lt;/w:tabs&gt;&lt;w:ind w:left="1440" w:hanging="360"/&gt;&lt;/w:pPr&gt;&lt;w:rPr&gt;&lt;w:rFonts w:ascii="Symbol" w:hAnsi="Symbol" w:hint="default"/&gt;&lt;/w:rPr&gt;&lt;/w:lvl&gt;&lt;/w:abstractNum&gt;&lt;w:abstractNum w:abstractNumId="6" w15:restartNumberingAfterBreak="0"&gt;&lt;w:nsid w:val="FFFFFF82"/&gt;&lt;w:multiLevelType w:val="singleLevel"/&gt;&lt;w:tmpl w:val="D73A80FE"/&gt;&lt;w:lvl w:ilvl="0"&gt;&lt;w:start w:val="1"/&gt;&lt;w:numFmt w:val="bullet"/&gt;&lt;w:pStyle w:val="ListBullet3"/&gt;&lt;w:lvlText w:val=""/&gt;&lt;w:lvlJc w:val="left"/&gt;&lt;w:pPr&gt;&lt;w:tabs&gt;&lt;w:tab w:val="num" w:pos="1080"/&gt;&lt;/w:tabs&gt;&lt;w:ind w:left="1080" w:hanging="360"/&gt;&lt;/w:pPr&gt;&lt;w:rPr&gt;&lt;w:rFonts w:ascii="Symbol" w:hAnsi="Symbol" w:hint="default"/&gt;&lt;/w:rPr&gt;&lt;/w:lvl&gt;&lt;/w:abstractNum&gt;&lt;w:abstractNum w:abstractNumId="7" w15:restartNumberingAfterBreak="0"&gt;&lt;w:nsid w:val="FFFFFF83"/&gt;&lt;w:multiLevelType w:val="singleLevel"/&gt;&lt;w:tmpl w:val="0AB08068"/&gt;&lt;w:lvl w:ilvl="0"&gt;&lt;w:start w:val="1"/&gt;&lt;w:numFmt w:val="bullet"/&gt;&lt;w:pStyle w:val="ListBullet2"/&gt;&lt;w:lvlText w:val=""/&gt;&lt;w:lvlJc w:val="left"/&gt;&lt;w:pPr&gt;&lt;w:tabs&gt;&lt;w:tab w:val="num" w:pos="720"/&gt;&lt;/w:tabs&gt;&lt;w:ind w:left="720" w:hanging="360"/&gt;&lt;/w:pPr&gt;&lt;w:rPr&gt;&lt;w:rFonts w:ascii="Symbol" w:hAnsi="Symbol" w:hint="default"/&gt;&lt;/w:rPr&gt;&lt;/w:lvl&gt;&lt;/w:abstractNum&gt;&lt;w:abstractNum w:abstractNumId="8" w15:restartNumberingAfterBreak="0"&gt;&lt;w:nsid w:val="FFFFFF88"/&gt;&lt;w:multiLevelType w:val="singleLevel"/&gt;&lt;w:tmpl w:val="D6E00290"/&gt;&lt;w:lvl w:ilvl="0"&gt;&lt;w:start w:val="1"/&gt;&lt;w:numFmt w:val="decimal"/&gt;&lt;w:pStyle w:val="ListNumber"/&gt;&lt;w:lvlText w:val="%1."/&gt;&lt;w:lvlJc w:val="left"/&gt;&lt;w:pPr&gt;&lt;w:tabs&gt;&lt;w:tab w:val="num" w:pos="1080"/&gt;&lt;/w:tabs&gt;&lt;w:ind w:left="1080" w:hanging="360"/&gt;&lt;/w:pPr&gt;&lt;w:rPr&gt;&lt;w:rFonts w:hint="default"/&gt;&lt;/w:rPr&gt;&lt;/w:lvl&gt;&lt;/w:abstractNum&gt;&lt;w:abstractNum w:abstractNumId="9" w15:restartNumberingAfterBreak="0"&gt;&lt;w:nsid w:val="FFFFFF89"/&gt;&lt;w:multiLevelType w:val="singleLevel"/&gt;&lt;w:tmpl w:val="D6FC344C"/&gt;&lt;w:lvl w:ilvl="0"&gt;&lt;w:start w:val="1"/&gt;&lt;w:numFmt w:val="bullet"/&gt;&lt;w:pStyle w:val="ListBullet"/&gt;&lt;w:lvlText w:val=""/&gt;&lt;w:lvlJc w:val="left"/&gt;&lt;w:pPr&gt;&lt;w:tabs&gt;&lt;w:tab w:val="num" w:pos="1080"/&gt;&lt;/w:tabs&gt;&lt;w:ind w:left="1080" w:hanging="360"/&gt;&lt;/w:pPr&gt;&lt;w:rPr&gt;&lt;w:rFonts w:ascii="Symbol" w:hAnsi="Symbol" w:hint="default"/&gt;&lt;/w:rPr&gt;&lt;/w:lvl&gt;&lt;/w:abstractNum&gt;&lt;w:num w:numId="1"&gt;&lt;w:abstractNumId w:val="9"/&gt;&lt;/w:num&gt;&lt;w:num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w:val="9"/&gt;&lt;w:lvlOverride w:ilvl="0"&gt;&lt;w:startOverride w:val="1"/&gt;&lt;/w:lvlOverride&gt;&lt;/w:num&gt;&lt;/w:numbering&gt;&lt;/pkg:xmlData&gt;&lt;/pkg:part&gt;&lt;pkg:part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w16cex"&gt;&lt;w:docDefaults&gt;&lt;w:rPrDefault&gt;&lt;w:rPr&gt;&lt;w:rFonts w:asciiTheme="minorHAnsi" w:eastAsiaTheme="minorEastAsia" w:hAnsiTheme="minorHAnsi" w:cstheme="minorBidi"/&gt;&lt;w:color w:val="000000" w:themeColor="text1"/&gt;&lt;w:sz w:val="24"/&gt;&lt;w:szCs w:val="24"/&gt;&lt;w:lang w:val="en-US" w:eastAsia="ja-JP" w:bidi="ar-SA"/&gt;&lt;/w:rPr&gt;&lt;/w:rPrDefault&gt;&lt;w:pPrDefault&gt;&lt;w:pPr&gt;&lt;w:spacing w:line="480" w:lineRule="auto"/&gt;&lt;w:ind w:firstLine="720"/&gt;&lt;/w:pPr&gt;&lt;/w:pPrDefault&gt;&lt;/w:docDefaults&gt;&lt;w:style w:type="paragraph" w:default="1" w:styleId="Normal"&gt;&lt;w:name w:val="Normal"/&gt;&lt;w:qFormat/&gt;&lt;w:rsid w:val="00C925C8"/&gt;&lt;/w:style&gt;&lt;w:style w:type="paragraph" w:styleId="Heading1"&gt;&lt;w:name w:val="heading 1"/&gt;&lt;w:basedOn w:val="Normal"/&gt;&lt;w:next w:val="Normal"/&gt;&lt;w:link w:val="Heading1Char"/&gt;&lt;w:uiPriority w:val="5"/&gt;&lt;w:qFormat/&gt;&lt;w:pPr&gt;&lt;w:keepNext/&gt;&lt;w:keepLines/&gt;&lt;w:ind w:firstLine="0"/&gt;&lt;w:jc w:val="center"/&gt;&lt;w:outlineLvl w:val="0"/&gt;&lt;/w:pPr&gt;&lt;w:rPr&gt;&lt;w:rFonts w:asciiTheme="majorHAnsi" w:eastAsiaTheme="majorEastAsia" w:hAnsiTheme="majorHAnsi" w:cstheme="majorBidi"/&gt;&lt;w:b/&gt;&lt;w:bCs/&gt;&lt;/w:rPr&gt;&lt;/w:style&gt;&lt;w:style w:type="paragraph" w:styleId="Heading2"&gt;&lt;w:name w:val="heading 2"/&gt;&lt;w:basedOn w:val="Normal"/&gt;&lt;w:next w:val="Normal"/&gt;&lt;w:link w:val="Heading2Char"/&gt;&lt;w:uiPriority w:val="5"/&gt;&lt;w:qFormat/&gt;&lt;w:pPr&gt;&lt;w:keepNext/&gt;&lt;w:keepLines/&gt;&lt;w:ind w:firstLine="0"/&gt;&lt;w:outlineLvl w:val="1"/&gt;&lt;/w:pPr&gt;&lt;w:rPr&gt;&lt;w:rFonts w:asciiTheme="majorHAnsi" w:eastAsiaTheme="majorEastAsia" w:hAnsiTheme="majorHAnsi" w:cstheme="majorBidi"/&gt;&lt;w:b/&gt;&lt;w:bCs/&gt;&lt;/w:rPr&gt;&lt;/w:style&gt;&lt;w:style w:type="paragraph" w:styleId="Heading3"&gt;&lt;w:name w:val="heading 3"/&gt;&lt;w:basedOn w:val="Normal"/&gt;&lt;w:next w:val="Normal"/&gt;&lt;w:link w:val="Heading3Char"/&gt;&lt;w:uiPriority w:val="5"/&gt;&lt;w:qFormat/&gt;&lt;w:pPr&gt;&lt;w:keepNext/&gt;&lt;w:keepLines/&gt;&lt;w:outlineLvl w:val="2"/&gt;&lt;/w:pPr&gt;&lt;w:rPr&gt;&lt;w:rFonts w:asciiTheme="majorHAnsi" w:eastAsiaTheme="majorEastAsia" w:hAnsiTheme="majorHAnsi" w:cstheme="majorBidi"/&gt;&lt;w:b/&gt;&lt;w:bCs/&gt;&lt;/w:rPr&gt;&lt;/w:style&gt;&lt;w:style w:type="paragraph" w:styleId="Heading4"&gt;&lt;w:name w:val="heading 4"/&gt;&lt;w:basedOn w:val="Normal"/&gt;&lt;w:next w:val="Normal"/&gt;&lt;w:link w:val="Heading4Char"/&gt;&lt;w:uiPriority w:val="5"/&gt;&lt;w:qFormat/&gt;&lt;w:pPr&gt;&lt;w:keepNext/&gt;&lt;w:keepLines/&gt;&lt;w:outlineLvl w:val="3"/&gt;&lt;/w:pPr&gt;&lt;w:rPr&gt;&lt;w:rFonts w:asciiTheme="majorHAnsi" w:eastAsiaTheme="majorEastAsia" w:hAnsiTheme="majorHAnsi" w:cstheme="majorBidi"/&gt;&lt;w:b/&gt;&lt;w:bCs/&gt;&lt;w:i/&gt;&lt;w:iCs/&gt;&lt;/w:rPr&gt;&lt;/w:style&gt;&lt;w:style w:type="paragraph" w:styleId="Heading5"&gt;&lt;w:name w:val="heading 5"/&gt;&lt;w:basedOn w:val="Normal"/&gt;&lt;w:next w:val="Normal"/&gt;&lt;w:link w:val="Heading5Char"/&gt;&lt;w:uiPriority w:val="5"/&gt;&lt;w:qFormat/&gt;&lt;w:pPr&gt;&lt;w:keepNext/&gt;&lt;w:keepLines/&gt;&lt;w:outlineLvl w:val="4"/&gt;&lt;/w:pPr&gt;&lt;w:rPr&gt;&lt;w:rFonts w:asciiTheme="majorHAnsi" w:eastAsiaTheme="majorEastAsia" w:hAnsiTheme="majorHAnsi" w:cstheme="majorBidi"/&gt;&lt;w:i/&gt;&lt;w:iCs/&gt;&lt;/w:rPr&gt;&lt;/w:style&gt;&lt;w:style w:type="paragraph" w:styleId="Heading6"&gt;&lt;w:name w:val="heading 6"/&gt;&lt;w:basedOn w:val="Normal"/&gt;&lt;w:next w:val="Normal"/&gt;&lt;w:link w:val="Heading6Char"/&gt;&lt;w:uiPriority w:val="5"/&gt;&lt;w:semiHidden/&gt;&lt;w:qFormat/&gt;&lt;w:pPr&gt;&lt;w:keepNext/&gt;&lt;w:keepLines/&gt;&lt;w:spacing w:before="40"/&gt;&lt;w:ind w:firstLine="0"/&gt;&lt;w:outlineLvl w:val="5"/&gt;&lt;/w:pPr&gt;&lt;w:rPr&gt;&lt;w:rFonts w:asciiTheme="majorHAnsi" w:eastAsiaTheme="majorEastAsia" w:hAnsiTheme="majorHAnsi" w:cstheme="majorBidi"/&gt;&lt;w:color w:val="6E6E6E" w:themeColor="accent1" w:themeShade="7F"/&gt;&lt;/w:rPr&gt;&lt;/w:style&gt;&lt;w:style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w:customStyle="1" w:styleId="SectionTitle"&gt;&lt;w:name w:val="Section Title"/&gt;&lt;w:basedOn w:val="Normal"/&gt;&lt;w:next w:val="Normal"/&gt;&lt;w:uiPriority w:val="2"/&gt;&lt;w:qFormat/&gt;&lt;w:pPr&gt;&lt;w:pageBreakBefore/&gt;&lt;w:ind w:firstLine="0"/&gt;&lt;w:jc w:val="center"/&gt;&lt;w:outlineLvl w:val="0"/&gt;&lt;/w:pPr&gt;&lt;w:rPr&gt;&lt;w:rFonts w:asciiTheme="majorHAnsi" w:eastAsiaTheme="majorEastAsia" w:hAnsiTheme="majorHAnsi" w:cstheme="majorBidi"/&gt;&lt;/w:rPr&gt;&lt;/w:style&gt;&lt;w:style w:type="paragraph" w:styleId="Header"&gt;&lt;w:name w:val="header"/&gt;&lt;w:basedOn w:val="Normal"/&gt;&lt;w:link w:val="HeaderChar"/&gt;&lt;w:uiPriority w:val="99"/&gt;&lt;w:qFormat/&gt;&lt;w:pPr&gt;&lt;w:spacing w:line="240" w:lineRule="auto"/&gt;&lt;w:ind w:firstLine="0"/&gt;&lt;/w:pPr&gt;&lt;/w:style&gt;&lt;w:style w:type="character" w:customStyle="1" w:styleId="HeaderChar"&gt;&lt;w:name w:val="Header Char"/&gt;&lt;w:basedOn w:val="DefaultParagraphFont"/&gt;&lt;w:link w:val="Header"/&gt;&lt;w:uiPriority w:val="99"/&gt;&lt;w:rsid w:val="00DB2E59"/&gt;&lt;/w:style&gt;&lt;w:style w:type="character" w:styleId="PlaceholderText"&gt;&lt;w:name w:val="Placeholder Text"/&gt;&lt;w:basedOn w:val="DefaultParagraphFont"/&gt;&lt;w:uiPriority w:val="99"/&gt;&lt;w:semiHidden/&gt;&lt;w:rsid w:val="00EB69D3"/&gt;&lt;w:rPr&gt;&lt;w:color w:val="000000" w:themeColor="text1"/&gt;&lt;/w:rPr&gt;&lt;/w:style&gt;&lt;w:style w:type="paragraph" w:styleId="NoSpacing"&gt;&lt;w:name w:val="No Spacing"/&gt;&lt;w:aliases w:val="No Indent"/&gt;&lt;w:uiPriority w:val="3"/&gt;&lt;w:qFormat/&gt;&lt;w:pPr&gt;&lt;w:ind w:firstLine="0"/&gt;&lt;/w:pPr&gt;&lt;/w:style&gt;&lt;w:style w:type="character" w:customStyle="1" w:styleId="Heading1Char"&gt;&lt;w:name w:val="Heading 1 Char"/&gt;&lt;w:basedOn w:val="DefaultParagraphFont"/&gt;&lt;w:link w:val="Heading1"/&gt;&lt;w:uiPriority w:val="5"/&gt;&lt;w:rsid w:val="00DB2E59"/&gt;&lt;w:rPr&gt;&lt;w:rFonts w:asciiTheme="majorHAnsi" w:eastAsiaTheme="majorEastAsia" w:hAnsiTheme="majorHAnsi" w:cstheme="majorBidi"/&gt;&lt;w:b/&gt;&lt;w:bCs/&gt;&lt;/w:rPr&gt;&lt;/w:style&gt;&lt;w:style w:type="character" w:customStyle="1" w:styleId="Heading2Char"&gt;&lt;w:name w:val="Heading 2 Char"/&gt;&lt;w:basedOn w:val="DefaultParagraphFont"/&gt;&lt;w:link w:val="Heading2"/&gt;&lt;w:uiPriority w:val="5"/&gt;&lt;w:rsid w:val="00DB2E59"/&gt;&lt;w:rPr&gt;&lt;w:rFonts w:asciiTheme="majorHAnsi" w:eastAsiaTheme="majorEastAsia" w:hAnsiTheme="majorHAnsi" w:cstheme="majorBidi"/&gt;&lt;w:b/&gt;&lt;w:bCs/&gt;&lt;/w:rPr&gt;&lt;/w:style&gt;&lt;w:style w:type="paragraph" w:styleId="Title"&gt;&lt;w:name w:val="Title"/&gt;&lt;w:basedOn w:val="Normal"/&gt;&lt;w:next w:val="Normal"/&gt;&lt;w:link w:val="TitleChar"/&gt;&lt;w:uiPriority w:val="1"/&gt;&lt;w:qFormat/&gt;&lt;w:pPr&gt;&lt;w:spacing w:before="2400"/&gt;&lt;w:ind w:firstLine="0"/&gt;&lt;w:contextualSpacing/&gt;&lt;w:jc w:val="center"/&gt;&lt;/w:pPr&gt;&lt;w:rPr&gt;&lt;w:rFonts w:asciiTheme="majorHAnsi" w:eastAsiaTheme="majorEastAsia" w:hAnsiTheme="majorHAnsi" w:cstheme="majorBidi"/&gt;&lt;/w:rPr&gt;&lt;/w:style&gt;&lt;w:style w:type="character" w:customStyle="1" w:styleId="TitleChar"&gt;&lt;w:name w:val="Title Char"/&gt;&lt;w:basedOn w:val="DefaultParagraphFont"/&gt;&lt;w:link w:val="Title"/&gt;&lt;w:uiPriority w:val="1"/&gt;&lt;w:rPr&gt;&lt;w:rFonts w:asciiTheme="majorHAnsi" w:eastAsiaTheme="majorEastAsia" w:hAnsiTheme="majorHAnsi" w:cstheme="majorBidi"/&gt;&lt;/w:rPr&gt;&lt;/w:style&gt;&lt;w:style w:type="character" w:styleId="Emphasis"&gt;&lt;w:name w:val="Emphasis"/&gt;&lt;w:basedOn w:val="DefaultParagraphFont"/&gt;&lt;w:uiPriority w:val="4"/&gt;&lt;w:qFormat/&gt;&lt;w:rPr&gt;&lt;w:i/&gt;&lt;w:iCs/&gt;&lt;/w:rPr&gt;&lt;/w:style&gt;&lt;w:style w:type="character" w:customStyle="1" w:styleId="Heading3Char"&gt;&lt;w:name w:val="Heading 3 Char"/&gt;&lt;w:basedOn w:val="DefaultParagraphFont"/&gt;&lt;w:link w:val="Heading3"/&gt;&lt;w:uiPriority w:val="5"/&gt;&lt;w:rsid w:val="00DB2E59"/&gt;&lt;w:rPr&gt;&lt;w:rFonts w:asciiTheme="majorHAnsi" w:eastAsiaTheme="majorEastAsia" w:hAnsiTheme="majorHAnsi" w:cstheme="majorBidi"/&gt;&lt;w:b/&gt;&lt;w:bCs/&gt;&lt;/w:rPr&gt;&lt;/w:style&gt;&lt;w:style w:type="character" w:customStyle="1" w:styleId="Heading4Char"&gt;&lt;w:name w:val="Heading 4 Char"/&gt;&lt;w:basedOn w:val="DefaultParagraphFont"/&gt;&lt;w:link w:val="Heading4"/&gt;&lt;w:uiPriority w:val="5"/&gt;&lt;w:rsid w:val="00DB2E59"/&gt;&lt;w:rPr&gt;&lt;w:rFonts w:asciiTheme="majorHAnsi" w:eastAsiaTheme="majorEastAsia" w:hAnsiTheme="majorHAnsi" w:cstheme="majorBidi"/&gt;&lt;w:b/&gt;&lt;w:bCs/&gt;&lt;w:i/&gt;&lt;w:iCs/&gt;&lt;/w:rPr&gt;&lt;/w:style&gt;&lt;w:style w:type="character" w:customStyle="1" w:styleId="Heading5Char"&gt;&lt;w:name w:val="Heading 5 Char"/&gt;&lt;w:basedOn w:val="DefaultParagraphFont"/&gt;&lt;w:link w:val="Heading5"/&gt;&lt;w:uiPriority w:val="5"/&gt;&lt;w:rsid w:val="00DB2E59"/&gt;&lt;w:rPr&gt;&lt;w:rFonts w:asciiTheme="majorHAnsi" w:eastAsiaTheme="majorEastAsia" w:hAnsiTheme="majorHAnsi" w:cstheme="majorBidi"/&gt;&lt;w:i/&gt;&lt;w:iCs/&gt;&lt;/w:rPr&gt;&lt;/w:style&gt;&lt;w:style w:type="paragraph" w:styleId="BalloonText"&gt;&lt;w:name w:val="Balloon Text"/&gt;&lt;w:basedOn w:val="Normal"/&gt;&lt;w:link w:val="BalloonTextChar"/&gt;&lt;w:uiPriority w:val="99"/&gt;&lt;w:semiHidden/&gt;&lt;w:unhideWhenUsed/&gt;&lt;w:rsid w:val="00EB69D3"/&gt;&lt;w:pPr&gt;&lt;w:spacing w:line="240" w:lineRule="auto"/&gt;&lt;w:ind w:firstLine="0"/&gt;&lt;/w:pPr&gt;&lt;w:rPr&gt;&lt;w:rFonts w:ascii="Segoe UI" w:hAnsi="Segoe UI" w:cs="Segoe UI"/&gt;&lt;w:sz w:val="22"/&gt;&lt;w:szCs w:val="18"/&gt;&lt;/w:rPr&gt;&lt;/w:style&gt;&lt;w:style w:type="character" w:customStyle="1" w:styleId="BalloonTextChar"&gt;&lt;w:name w:val="Balloon Text Char"/&gt;&lt;w:basedOn w:val="DefaultParagraphFont"/&gt;&lt;w:link w:val="BalloonText"/&gt;&lt;w:uiPriority w:val="99"/&gt;&lt;w:semiHidden/&gt;&lt;w:rsid w:val="00EB69D3"/&gt;&lt;w:rPr&gt;&lt;w:rFonts w:ascii="Segoe UI" w:hAnsi="Segoe UI" w:cs="Segoe UI"/&gt;&lt;w:sz w:val="22"/&gt;&lt;w:szCs w:val="18"/&gt;&lt;/w:rPr&gt;&lt;/w:style&gt;&lt;w:style w:type="paragraph" w:styleId="Bibliography"&gt;&lt;w:name w:val="Bibliography"/&gt;&lt;w:basedOn w:val="Normal"/&gt;&lt;w:next w:val="Normal"/&gt;&lt;w:uiPriority w:val="6"/&gt;&lt;w:unhideWhenUsed/&gt;&lt;w:qFormat/&gt;&lt;w:pPr&gt;&lt;w:ind w:left="720" w:hanging="720"/&gt;&lt;/w:pPr&gt;&lt;/w:style&gt;&lt;w:style w:type="paragraph" w:styleId="BlockText"&gt;&lt;w:name w:val="Block Text"/&gt;&lt;w:basedOn w:val="Normal"/&gt;&lt;w:uiPriority w:val="99"/&gt;&lt;w:semiHidden/&gt;&lt;w:unhideWhenUsed/&gt;&lt;w:rsid w:val="003F7CBD"/&gt;&lt;w:pPr&gt;&lt;w:pBdr&gt;&lt;w:top w:val="single" w:sz="2" w:space="10" w:color="000000" w:themeColor="text2" w:shadow="1"/&gt;&lt;w:left w:val="single" w:sz="2" w:space="10" w:color="000000" w:themeColor="text2" w:shadow="1"/&gt;&lt;w:bottom w:val="single" w:sz="2" w:space="10" w:color="000000" w:themeColor="text2" w:shadow="1"/&gt;&lt;w:right w:val="single" w:sz="2" w:space="10" w:color="000000" w:themeColor="text2" w:shadow="1"/&gt;&lt;/w:pBdr&gt;&lt;w:ind w:left="1152" w:right="1152" w:firstLine="0"/&gt;&lt;/w:pPr&gt;&lt;w:rPr&gt;&lt;w:i/&gt;&lt;w:iCs/&gt;&lt;w:color w:val="000000" w:themeColor="text2"/&gt;&lt;/w:rPr&gt;&lt;/w:style&gt;&lt;w:style w:type="paragraph" w:styleId="BodyText"&gt;&lt;w:name w:val="Body Text"/&gt;&lt;w:basedOn w:val="Normal"/&gt;&lt;w:link w:val="BodyTextChar"/&gt;&lt;w:uiPriority w:val="99"/&gt;&lt;w:semiHidden/&gt;&lt;w:unhideWhenUsed/&gt;&lt;w:pPr&gt;&lt;w:spacing w:after="120"/&gt;&lt;w:ind w:firstLine="0"/&gt;&lt;/w:pPr&gt;&lt;/w:style&gt;&lt;w:style w:type="character" w:customStyle="1" w:styleId="BodyTextChar"&gt;&lt;w:name w:val="Body Text Char"/&gt;&lt;w:basedOn w:val="DefaultParagraphFont"/&gt;&lt;w:link w:val="BodyText"/&gt;&lt;w:uiPriority w:val="99"/&gt;&lt;w:semiHidden/&gt;&lt;w:rPr&gt;&lt;w:kern w:val="24"/&gt;&lt;/w:rPr&gt;&lt;/w:style&gt;&lt;w:style w:type="paragraph" w:styleId="BodyText2"&gt;&lt;w:name w:val="Body Text 2"/&gt;&lt;w:basedOn w:val="Normal"/&gt;&lt;w:link w:val="BodyText2Char"/&gt;&lt;w:uiPriority w:val="99"/&gt;&lt;w:semiHidden/&gt;&lt;w:unhideWhenUsed/&gt;&lt;w:pPr&gt;&lt;w:spacing w:after="120"/&gt;&lt;w:ind w:firstLine="0"/&gt;&lt;/w:pPr&gt;&lt;/w:style&gt;&lt;w:style w:type="character" w:customStyle="1" w:styleId="BodyText2Char"&gt;&lt;w:name w:val="Body Text 2 Char"/&gt;&lt;w:basedOn w:val="DefaultParagraphFont"/&gt;&lt;w:link w:val="BodyText2"/&gt;&lt;w:uiPriority w:val="99"/&gt;&lt;w:semiHidden/&gt;&lt;w:rPr&gt;&lt;w:kern w:val="24"/&gt;&lt;/w:rPr&gt;&lt;/w:style&gt;&lt;w:style w:type="paragraph" w:styleId="BodyText3"&gt;&lt;w:name w:val="Body Text 3"/&gt;&lt;w:basedOn w:val="Normal"/&gt;&lt;w:link w:val="BodyText3Char"/&gt;&lt;w:uiPriority w:val="99"/&gt;&lt;w:semiHidden/&gt;&lt;w:unhideWhenUsed/&gt;&lt;w:rsid w:val="00EB69D3"/&gt;&lt;w:pPr&gt;&lt;w:spacing w:after="120"/&gt;&lt;w:ind w:firstLine="0"/&gt;&lt;/w:pPr&gt;&lt;w:rPr&gt;&lt;w:sz w:val="22"/&gt;&lt;w:szCs w:val="16"/&gt;&lt;/w:rPr&gt;&lt;/w:style&gt;&lt;w:style w:type="character" w:customStyle="1" w:styleId="BodyText3Char"&gt;&lt;w:name w:val="Body Text 3 Char"/&gt;&lt;w:basedOn w:val="DefaultParagraphFont"/&gt;&lt;w:link w:val="BodyText3"/&gt;&lt;w:uiPriority w:val="99"/&gt;&lt;w:semiHidden/&gt;&lt;w:rsid w:val="00EB69D3"/&gt;&lt;w:rPr&gt;&lt;w:sz w:val="22"/&gt;&lt;w:szCs w:val="16"/&gt;&lt;/w:rPr&gt;&lt;/w:style&gt;&lt;w:style w:type="paragraph" w:styleId="BodyTextFirstIndent"&gt;&lt;w:name w:val="Body Text First Indent"/&gt;&lt;w:basedOn w:val="BodyText"/&gt;&lt;w:link w:val="BodyTextFirstIndentChar"/&gt;&lt;w:uiPriority w:val="99"/&gt;&lt;w:semiHidden/&gt;&lt;w:unhideWhenUsed/&gt;&lt;w:pPr&gt;&lt;w:spacing w:after="0"/&gt;&lt;/w:pPr&gt;&lt;/w:style&gt;&lt;w:style w:type="character" w:customStyle="1" w:styleId="BodyTextFirstIndentChar"&gt;&lt;w:name w:val="Body Text First Indent Char"/&gt;&lt;w:basedOn w:val="BodyTextChar"/&gt;&lt;w:link w:val="BodyTextFirstIndent"/&gt;&lt;w:uiPriority w:val="99"/&gt;&lt;w:semiHidden/&gt;&lt;w:rPr&gt;&lt;w:kern w:val="24"/&gt;&lt;/w:rPr&gt;&lt;/w:style&gt;&lt;w:style w:type="paragraph" w:styleId="BodyTextIndent"&gt;&lt;w:name w:val="Body Text Indent"/&gt;&lt;w:basedOn w:val="Normal"/&gt;&lt;w:link w:val="BodyTextIndentChar"/&gt;&lt;w:uiPriority w:val="99"/&gt;&lt;w:semiHidden/&gt;&lt;w:unhideWhenUsed/&gt;&lt;w:pPr&gt;&lt;w:spacing w:after="120"/&gt;&lt;w:ind w:left="360" w:firstLine="0"/&gt;&lt;/w:pPr&gt;&lt;/w:style&gt;&lt;w:style w:type="character" w:customStyle="1" w:styleId="BodyTextIndentChar"&gt;&lt;w:name w:val="Body Text Indent Char"/&gt;&lt;w:basedOn w:val="DefaultParagraphFont"/&gt;&lt;w:link w:val="BodyTextIndent"/&gt;&lt;w:uiPriority w:val="99"/&gt;&lt;w:semiHidden/&gt;&lt;w:rPr&gt;&lt;w:kern w:val="24"/&gt;&lt;/w:rPr&gt;&lt;/w:style&gt;&lt;w:style w:type="paragraph" w:styleId="BodyTextFirstIndent2"&gt;&lt;w:name w:val="Body Text First Indent 2"/&gt;&lt;w:basedOn w:val="BodyTextIndent"/&gt;&lt;w:link w:val="BodyTextFirstIndent2Char"/&gt;&lt;w:uiPriority w:val="99"/&gt;&lt;w:semiHidden/&gt;&lt;w:unhideWhenUsed/&gt;&lt;w:pPr&gt;&lt;w:spacing w:after="0"/&gt;&lt;/w:pPr&gt;&lt;/w:style&gt;&lt;w:style w:type="character" w:customStyle="1" w:styleId="BodyTextFirstIndent2Char"&gt;&lt;w:name w:val="Body Text First Indent 2 Char"/&gt;&lt;w:basedOn w:val="BodyTextIndentChar"/&gt;&lt;w:link w:val="BodyTextFirstIndent2"/&gt;&lt;w:uiPriority w:val="99"/&gt;&lt;w:semiHidden/&gt;&lt;w:rPr&gt;&lt;w:kern w:val="24"/&gt;&lt;/w:rPr&gt;&lt;/w:style&gt;&lt;w:style w:type="paragraph" w:styleId="BodyTextIndent2"&gt;&lt;w:name w:val="Body Text Indent 2"/&gt;&lt;w:basedOn w:val="Normal"/&gt;&lt;w:link w:val="BodyTextIndent2Char"/&gt;&lt;w:uiPriority w:val="99"/&gt;&lt;w:semiHidden/&gt;&lt;w:unhideWhenUsed/&gt;&lt;w:pPr&gt;&lt;w:spacing w:after="120"/&gt;&lt;w:ind w:left="360" w:firstLine="0"/&gt;&lt;/w:pPr&gt;&lt;/w:style&gt;&lt;w:style w:type="character" w:customStyle="1" w:styleId="BodyTextIndent2Char"&gt;&lt;w:name w:val="Body Text Indent 2 Char"/&gt;&lt;w:basedOn w:val="DefaultParagraphFont"/&gt;&lt;w:link w:val="BodyTextIndent2"/&gt;&lt;w:uiPriority w:val="99"/&gt;&lt;w:semiHidden/&gt;&lt;w:rPr&gt;&lt;w:kern w:val="24"/&gt;&lt;/w:rPr&gt;&lt;/w:style&gt;&lt;w:style w:type="paragraph" w:styleId="BodyTextIndent3"&gt;&lt;w:name w:val="Body Text Indent 3"/&gt;&lt;w:basedOn w:val="Normal"/&gt;&lt;w:link w:val="BodyTextIndent3Char"/&gt;&lt;w:uiPriority w:val="99"/&gt;&lt;w:semiHidden/&gt;&lt;w:unhideWhenUsed/&gt;&lt;w:rsid w:val="00EB69D3"/&gt;&lt;w:pPr&gt;&lt;w:spacing w:after="120"/&gt;&lt;w:ind w:left="360" w:firstLine="0"/&gt;&lt;/w:pPr&gt;&lt;w:rPr&gt;&lt;w:sz w:val="22"/&gt;&lt;w:szCs w:val="16"/&gt;&lt;/w:rPr&gt;&lt;/w:style&gt;&lt;w:style w:type="character" w:customStyle="1" w:styleId="BodyTextIndent3Char"&gt;&lt;w:name w:val="Body Text Indent 3 Char"/&gt;&lt;w:basedOn w:val="DefaultParagraphFont"/&gt;&lt;w:link w:val="BodyTextIndent3"/&gt;&lt;w:uiPriority w:val="99"/&gt;&lt;w:semiHidden/&gt;&lt;w:rsid w:val="00EB69D3"/&gt;&lt;w:rPr&gt;&lt;w:sz w:val="22"/&gt;&lt;w:szCs w:val="16"/&gt;&lt;/w:rPr&gt;&lt;/w:style&gt;&lt;w:style w:type="paragraph" w:styleId="Caption"&gt;&lt;w:name w:val="caption"/&gt;&lt;w:basedOn w:val="Normal"/&gt;&lt;w:next w:val="Normal"/&gt;&lt;w:uiPriority w:val="35"/&gt;&lt;w:semiHidden/&gt;&lt;w:unhideWhenUsed/&gt;&lt;w:qFormat/&gt;&lt;w:rsid w:val="00EB69D3"/&gt;&lt;w:pPr&gt;&lt;w:spacing w:after="200" w:line="240" w:lineRule="auto"/&gt;&lt;w:ind w:firstLine="0"/&gt;&lt;/w:pPr&gt;&lt;w:rPr&gt;&lt;w:i/&gt;&lt;w:iCs/&gt;&lt;w:color w:val="000000" w:themeColor="text2"/&gt;&lt;w:sz w:val="22"/&gt;&lt;w:szCs w:val="18"/&gt;&lt;/w:rPr&gt;&lt;/w:style&gt;&lt;w:style w:type="paragraph" w:styleId="Closing"&gt;&lt;w:name w:val="Closing"/&gt;&lt;w:basedOn w:val="Normal"/&gt;&lt;w:link w:val="ClosingChar"/&gt;&lt;w:uiPriority w:val="99"/&gt;&lt;w:semiHidden/&gt;&lt;w:unhideWhenUsed/&gt;&lt;w:pPr&gt;&lt;w:spacing w:line="240" w:lineRule="auto"/&gt;&lt;w:ind w:left="4320" w:firstLine="0"/&gt;&lt;/w:pPr&gt;&lt;/w:style&gt;&lt;w:style w:type="character" w:customStyle="1" w:styleId="ClosingChar"&gt;&lt;w:name w:val="Closing Char"/&gt;&lt;w:basedOn w:val="DefaultParagraphFont"/&gt;&lt;w:link w:val="Closing"/&gt;&lt;w:uiPriority w:val="99"/&gt;&lt;w:semiHidden/&gt;&lt;w:rPr&gt;&lt;w:kern w:val="24"/&gt;&lt;/w:rPr&gt;&lt;/w:style&gt;&lt;w:style w:type="paragraph" w:styleId="CommentText"&gt;&lt;w:name w:val="annotation text"/&gt;&lt;w:basedOn w:val="Normal"/&gt;&lt;w:link w:val="CommentTextChar"/&gt;&lt;w:uiPriority w:val="99"/&gt;&lt;w:semiHidden/&gt;&lt;w:unhideWhenUsed/&gt;&lt;w:rsid w:val="00EB69D3"/&gt;&lt;w:pPr&gt;&lt;w:spacing w:line="240" w:lineRule="auto"/&gt;&lt;w:ind w:firstLine="0"/&gt;&lt;/w:pPr&gt;&lt;w:rPr&gt;&lt;w:sz w:val="22"/&gt;&lt;w:szCs w:val="20"/&gt;&lt;/w:rPr&gt;&lt;/w:style&gt;&lt;w:style w:type="character" w:customStyle="1" w:styleId="CommentTextChar"&gt;&lt;w:name w:val="Comment Text Char"/&gt;&lt;w:basedOn w:val="DefaultParagraphFont"/&gt;&lt;w:link w:val="CommentText"/&gt;&lt;w:uiPriority w:val="99"/&gt;&lt;w:semiHidden/&gt;&lt;w:rsid w:val="00EB69D3"/&gt;&lt;w:rPr&gt;&lt;w:sz w:val="22"/&gt;&lt;w:szCs w:val="20"/&gt;&lt;/w:rPr&gt;&lt;/w:style&gt;&lt;w:style w:type="paragraph" w:styleId="CommentSubject"&gt;&lt;w:name w:val="annotation subject"/&gt;&lt;w:basedOn w:val="CommentText"/&gt;&lt;w:next w:val="CommentText"/&gt;&lt;w:link w:val="CommentSubjectChar"/&gt;&lt;w:uiPriority w:val="99"/&gt;&lt;w:semiHidden/&gt;&lt;w:unhideWhenUsed/&gt;&lt;w:rsid w:val="00EB69D3"/&gt;&lt;w:rPr&gt;&lt;w:b/&gt;&lt;w:bCs/&gt;&lt;/w:rPr&gt;&lt;/w:style&gt;&lt;w:style w:type="character" w:customStyle="1" w:styleId="CommentSubjectChar"&gt;&lt;w:name w:val="Comment Subject Char"/&gt;&lt;w:basedOn w:val="CommentTextChar"/&gt;&lt;w:link w:val="CommentSubject"/&gt;&lt;w:uiPriority w:val="99"/&gt;&lt;w:semiHidden/&gt;&lt;w:rsid w:val="00EB69D3"/&gt;&lt;w:rPr&gt;&lt;w:b/&gt;&lt;w:bCs/&gt;&lt;w:sz w:val="22"/&gt;&lt;w:szCs w:val="20"/&gt;&lt;/w:rPr&gt;&lt;/w:style&gt;&lt;w:style w:type="paragraph" w:styleId="Date"&gt;&lt;w:name w:val="Date"/&gt;&lt;w:basedOn w:val="Normal"/&gt;&lt;w:next w:val="Normal"/&gt;&lt;w:link w:val="DateChar"/&gt;&lt;w:uiPriority w:val="99"/&gt;&lt;w:semiHidden/&gt;&lt;w:unhideWhenUsed/&gt;&lt;w:pPr&gt;&lt;w:ind w:firstLine="0"/&gt;&lt;/w:pPr&gt;&lt;/w:style&gt;&lt;w:style w:type="character" w:customStyle="1" w:styleId="DateChar"&gt;&lt;w:name w:val="Date Char"/&gt;&lt;w:basedOn w:val="DefaultParagraphFont"/&gt;&lt;w:link w:val="Date"/&gt;&lt;w:uiPriority w:val="99"/&gt;&lt;w:semiHidden/&gt;&lt;w:rPr&gt;&lt;w:kern w:val="24"/&gt;&lt;/w:rPr&gt;&lt;/w:style&gt;&lt;w:style w:type="paragraph" w:styleId="DocumentMap"&gt;&lt;w:name w:val="Document Map"/&gt;&lt;w:basedOn w:val="Normal"/&gt;&lt;w:link w:val="DocumentMapChar"/&gt;&lt;w:uiPriority w:val="99"/&gt;&lt;w:semiHidden/&gt;&lt;w:unhideWhenUsed/&gt;&lt;w:rsid w:val="00EB69D3"/&gt;&lt;w:pPr&gt;&lt;w:spacing w:line="240" w:lineRule="auto"/&gt;&lt;w:ind w:firstLine="0"/&gt;&lt;/w:pPr&gt;&lt;w:rPr&gt;&lt;w:rFonts w:ascii="Segoe UI" w:hAnsi="Segoe UI" w:cs="Segoe UI"/&gt;&lt;w:sz w:val="22"/&gt;&lt;w:szCs w:val="16"/&gt;&lt;/w:rPr&gt;&lt;/w:style&gt;&lt;w:style w:type="character" w:customStyle="1" w:styleId="DocumentMapChar"&gt;&lt;w:name w:val="Document Map Char"/&gt;&lt;w:basedOn w:val="DefaultParagraphFont"/&gt;&lt;w:link w:val="DocumentMap"/&gt;&lt;w:uiPriority w:val="99"/&gt;&lt;w:semiHidden/&gt;&lt;w:rsid w:val="00EB69D3"/&gt;&lt;w:rPr&gt;&lt;w:rFonts w:ascii="Segoe UI" w:hAnsi="Segoe UI" w:cs="Segoe UI"/&gt;&lt;w:sz w:val="22"/&gt;&lt;w:szCs w:val="16"/&gt;&lt;/w:rPr&gt;&lt;/w:style&gt;&lt;w:style w:type="paragraph" w:styleId="E-mailSignature"&gt;&lt;w:name w:val="E-mail Signature"/&gt;&lt;w:basedOn w:val="Normal"/&gt;&lt;w:link w:val="E-mailSignatureChar"/&gt;&lt;w:uiPriority w:val="99"/&gt;&lt;w:semiHidden/&gt;&lt;w:unhideWhenUsed/&gt;&lt;w:pPr&gt;&lt;w:spacing w:line="240" w:lineRule="auto"/&gt;&lt;w:ind w:firstLine="0"/&gt;&lt;/w:pPr&gt;&lt;/w:style&gt;&lt;w:style w:type="character" w:customStyle="1" w:styleId="E-mailSignatureChar"&gt;&lt;w:name w:val="E-mail Signature Char"/&gt;&lt;w:basedOn w:val="DefaultParagraphFont"/&gt;&lt;w:link w:val="E-mailSignature"/&gt;&lt;w:uiPriority w:val="99"/&gt;&lt;w:semiHidden/&gt;&lt;w:rPr&gt;&lt;w:kern w:val="24"/&gt;&lt;/w:rPr&gt;&lt;/w:style&gt;&lt;w:style w:type="paragraph" w:styleId="FootnoteText"&gt;&lt;w:name w:val="footnote text"/&gt;&lt;w:basedOn w:val="Normal"/&gt;&lt;w:link w:val="FootnoteTextChar"/&gt;&lt;w:uiPriority w:val="99"/&gt;&lt;w:semiHidden/&gt;&lt;w:unhideWhenUsed/&gt;&lt;w:rsid w:val="00EB69D3"/&gt;&lt;w:pPr&gt;&lt;w:spacing w:line="240" w:lineRule="auto"/&gt;&lt;/w:pPr&gt;&lt;w:rPr&gt;&lt;w:sz w:val="22"/&gt;&lt;w:szCs w:val="20"/&gt;&lt;/w:rPr&gt;&lt;/w:style&gt;&lt;w:style w:type="character" w:customStyle="1" w:styleId="FootnoteTextChar"&gt;&lt;w:name w:val="Footnote Text Char"/&gt;&lt;w:basedOn w:val="DefaultParagraphFont"/&gt;&lt;w:link w:val="FootnoteText"/&gt;&lt;w:uiPriority w:val="99"/&gt;&lt;w:semiHidden/&gt;&lt;w:rsid w:val="00EB69D3"/&gt;&lt;w:rPr&gt;&lt;w:sz w:val="22"/&gt;&lt;w:szCs w:val="20"/&gt;&lt;/w:rPr&gt;&lt;/w:style&gt;&lt;w:style w:type="paragraph" w:styleId="EnvelopeAddress"&gt;&lt;w:name w:val="envelope address"/&gt;&lt;w:basedOn w:val="Normal"/&gt;&lt;w:uiPriority w:val="99"/&gt;&lt;w:semiHidden/&gt;&lt;w:unhideWhenUsed/&gt;&lt;w:pPr&gt;&lt;w:framePr w:w="7920" w:h="1980" w:hRule="exact" w:hSpace="180" w:wrap="auto" w:hAnchor="page" w:xAlign="center" w:yAlign="bottom"/&gt;&lt;w:spacing w:line="240" w:lineRule="auto"/&gt;&lt;w:ind w:left="2880" w:firstLine="0"/&gt;&lt;/w:pPr&gt;&lt;w:rPr&gt;&lt;w:rFonts w:asciiTheme="majorHAnsi" w:eastAsiaTheme="majorEastAsia" w:hAnsiTheme="majorHAnsi" w:cstheme="majorBidi"/&gt;&lt;/w:rPr&gt;&lt;/w:style&gt;&lt;w:style w:type="paragraph" w:styleId="EnvelopeReturn"&gt;&lt;w:name w:val="envelope return"/&gt;&lt;w:basedOn w:val="Normal"/&gt;&lt;w:uiPriority w:val="99"/&gt;&lt;w:semiHidden/&gt;&lt;w:unhideWhenUsed/&gt;&lt;w:rsid w:val="00EB69D3"/&gt;&lt;w:pPr&gt;&lt;w:spacing w:line="240" w:lineRule="auto"/&gt;&lt;w:ind w:firstLine="0"/&gt;&lt;/w:pPr&gt;&lt;w:rPr&gt;&lt;w:rFonts w:asciiTheme="majorHAnsi" w:eastAsiaTheme="majorEastAsia" w:hAnsiTheme="majorHAnsi" w:cstheme="majorBidi"/&gt;&lt;w:sz w:val="22"/&gt;&lt;w:szCs w:val="20"/&gt;&lt;/w:rPr&gt;&lt;/w:style&gt;&lt;w:style w:type="table" w:styleId="TableGrid"&gt;&lt;w:name w:val="Table Grid"/&gt;&lt;w:basedOn w:val="TableNormal"/&gt;&lt;w:uiPriority w:val="39"/&gt;&lt;w:pPr&gt;&lt;w:spacing w:line="240" w:lineRule="auto"/&gt;&lt;/w:pPr&gt;&lt;w:tblPr&gt;&lt;w:tblBorders&gt;&lt;w:top w:val="single" w:sz="4" w:space="0" w:color="auto"/&gt;&lt;w:left w:val="single" w:sz="4" w:space="0" w:color="auto"/&gt;&lt;w:bottom w:val="single" w:sz="4" w:space="0" w:color="auto"/&gt;&lt;w:right w:val="single" w:sz="4" w:space="0" w:color="auto"/&gt;&lt;w:insideH w:val="single" w:sz="4" w:space="0" w:color="auto"/&gt;&lt;w:insideV w:val="single" w:sz="4" w:space="0" w:color="auto"/&gt;&lt;/w:tblBorders&gt;&lt;/w:tblPr&gt;&lt;/w:style&gt;&lt;w:style w:type="table" w:styleId="TableGridLight"&gt;&lt;w:name w:val="Grid Table Light"/&gt;&lt;w:basedOn w:val="TableNormal"/&gt;&lt;w:uiPriority w:val="40"/&gt;&lt;w:pPr&gt;&lt;w:spacing w:line="240" w:lineRule="auto"/&gt;&lt;/w:pPr&gt;&lt;w:tblPr&gt;&lt;w:tblBorders&gt;&lt;w:top w:val="single" w:sz="4" w:space="0" w:color="BFBFBF" w:themeColor="background1" w:themeShade="BF"/&gt;&lt;w:left w:val="single" w:sz="4" w:space="0" w:color="BFBFBF" w:themeColor="background1" w:themeShade="BF"/&gt;&lt;w:bottom w:val="single" w:sz="4" w:space="0" w:color="BFBFBF" w:themeColor="background1" w:themeShade="BF"/&gt;&lt;w:right w:val="single" w:sz="4" w:space="0" w:color="BFBFBF" w:themeColor="background1" w:themeShade="BF"/&gt;&lt;w:insideH w:val="single" w:sz="4" w:space="0" w:color="BFBFBF" w:themeColor="background1" w:themeShade="BF"/&gt;&lt;w:insideV w:val="single" w:sz="4" w:space="0" w:color="BFBFBF" w:themeColor="background1" w:themeShade="BF"/&gt;&lt;/w:tblBorders&gt;&lt;/w:tblPr&gt;&lt;/w:style&gt;&lt;w:style w:type="character" w:customStyle="1" w:styleId="Heading6Char"&gt;&lt;w:name w:val="Heading 6 Char"/&gt;&lt;w:basedOn w:val="DefaultParagraphFont"/&gt;&lt;w:link w:val="Heading6"/&gt;&lt;w:uiPriority w:val="5"/&gt;&lt;w:semiHidden/&gt;&lt;w:rsid w:val="00336906"/&gt;&lt;w:rPr&gt;&lt;w:rFonts w:asciiTheme="majorHAnsi" w:eastAsiaTheme="majorEastAsia" w:hAnsiTheme="majorHAnsi" w:cstheme="majorBidi"/&gt;&lt;w:color w:val="6E6E6E" w:themeColor="accent1" w:themeShade="7F"/&gt;&lt;/w:rPr&gt;&lt;/w:style&gt;&lt;w:style w:type="paragraph" w:styleId="HTMLAddress"&gt;&lt;w:name w:val="HTML Address"/&gt;&lt;w:basedOn w:val="Normal"/&gt;&lt;w:link w:val="HTMLAddressChar"/&gt;&lt;w:uiPriority w:val="99"/&gt;&lt;w:semiHidden/&gt;&lt;w:unhideWhenUsed/&gt;&lt;w:pPr&gt;&lt;w:spacing w:line="240" w:lineRule="auto"/&gt;&lt;w:ind w:firstLine="0"/&gt;&lt;/w:pPr&gt;&lt;w:rPr&gt;&lt;w:i/&gt;&lt;w:iCs/&gt;&lt;/w:rPr&gt;&lt;/w:style&gt;&lt;w:style w:type="character" w:customStyle="1" w:styleId="HTMLAddressChar"&gt;&lt;w:name w:val="HTML Address Char"/&gt;&lt;w:basedOn w:val="DefaultParagraphFont"/&gt;&lt;w:link w:val="HTMLAddress"/&gt;&lt;w:uiPriority w:val="99"/&gt;&lt;w:semiHidden/&gt;&lt;w:rPr&gt;&lt;w:i/&gt;&lt;w:iCs/&gt;&lt;w:kern w:val="24"/&gt;&lt;/w:rPr&gt;&lt;/w:style&gt;&lt;w:style w:type="paragraph" w:styleId="HTMLPreformatted"&gt;&lt;w:name w:val="HTML Preformatted"/&gt;&lt;w:basedOn w:val="Normal"/&gt;&lt;w:link w:val="HTMLPreformattedChar"/&gt;&lt;w:uiPriority w:val="99"/&gt;&lt;w:semiHidden/&gt;&lt;w:unhideWhenUsed/&gt;&lt;w:rsid w:val="00EB69D3"/&gt;&lt;w:pPr&gt;&lt;w:spacing w:line="240" w:lineRule="auto"/&gt;&lt;w:ind w:firstLine="0"/&gt;&lt;/w:pPr&gt;&lt;w:rPr&gt;&lt;w:rFonts w:ascii="Consolas" w:hAnsi="Consolas" w:cs="Consolas"/&gt;&lt;w:sz w:val="22"/&gt;&lt;w:szCs w:val="20"/&gt;&lt;/w:rPr&gt;&lt;/w:style&gt;&lt;w:style w:type="character" w:customStyle="1" w:styleId="HTMLPreformattedChar"&gt;&lt;w:name w:val="HTML Preformatted Char"/&gt;&lt;w:basedOn w:val="DefaultParagraphFont"/&gt;&lt;w:link w:val="HTMLPreformatted"/&gt;&lt;w:uiPriority w:val="99"/&gt;&lt;w:semiHidden/&gt;&lt;w:rsid w:val="00EB69D3"/&gt;&lt;w:rPr&gt;&lt;w:rFonts w:ascii="Consolas" w:hAnsi="Consolas" w:cs="Consolas"/&gt;&lt;w:sz w:val="22"/&gt;&lt;w:szCs w:val="20"/&gt;&lt;/w:rPr&gt;&lt;/w:style&gt;&lt;w:style w:type="paragraph" w:styleId="Index1"&gt;&lt;w:name w:val="index 1"/&gt;&lt;w:basedOn w:val="Normal"/&gt;&lt;w:next w:val="Normal"/&gt;&lt;w:autoRedefine/&gt;&lt;w:uiPriority w:val="99"/&gt;&lt;w:semiHidden/&gt;&lt;w:unhideWhenUsed/&gt;&lt;w:pPr&gt;&lt;w:spacing w:line="240" w:lineRule="auto"/&gt;&lt;w:ind w:left="240" w:firstLine="0"/&gt;&lt;/w:pPr&gt;&lt;/w:style&gt;&lt;w:style w:type="paragraph" w:styleId="Index2"&gt;&lt;w:name w:val="index 2"/&gt;&lt;w:basedOn w:val="Normal"/&gt;&lt;w:next w:val="Normal"/&gt;&lt;w:autoRedefine/&gt;&lt;w:uiPriority w:val="99"/&gt;&lt;w:semiHidden/&gt;&lt;w:unhideWhenUsed/&gt;&lt;w:pPr&gt;&lt;w:spacing w:line="240" w:lineRule="auto"/&gt;&lt;w:ind w:left="480" w:firstLine="0"/&gt;&lt;/w:pPr&gt;&lt;/w:style&gt;&lt;w:style w:type="paragraph" w:styleId="Index3"&gt;&lt;w:name w:val="index 3"/&gt;&lt;w:basedOn w:val="Normal"/&gt;&lt;w:next w:val="Normal"/&gt;&lt;w:autoRedefine/&gt;&lt;w:uiPriority w:val="99"/&gt;&lt;w:semiHidden/&gt;&lt;w:unhideWhenUsed/&gt;&lt;w:pPr&gt;&lt;w:spacing w:line="240" w:lineRule="auto"/&gt;&lt;w:ind w:left="720" w:firstLine="0"/&gt;&lt;/w:pPr&gt;&lt;/w:style&gt;&lt;w:style w:type="paragraph" w:styleId="Index4"&gt;&lt;w:name w:val="index 4"/&gt;&lt;w:basedOn w:val="Normal"/&gt;&lt;w:next w:val="Normal"/&gt;&lt;w:autoRedefine/&gt;&lt;w:uiPriority w:val="99"/&gt;&lt;w:semiHidden/&gt;&lt;w:unhideWhenUsed/&gt;&lt;w:pPr&gt;&lt;w:spacing w:line="240" w:lineRule="auto"/&gt;&lt;w:ind w:left="960" w:firstLine="0"/&gt;&lt;/w:pPr&gt;&lt;/w:style&gt;&lt;w:style w:type="paragraph" w:styleId="Index5"&gt;&lt;w:name w:val="index 5"/&gt;&lt;w:basedOn w:val="Normal"/&gt;&lt;w:next w:val="Normal"/&gt;&lt;w:autoRedefine/&gt;&lt;w:uiPriority w:val="99"/&gt;&lt;w:semiHidden/&gt;&lt;w:unhideWhenUsed/&gt;&lt;w:pPr&gt;&lt;w:spacing w:line="240" w:lineRule="auto"/&gt;&lt;w:ind w:left="1200" w:firstLine="0"/&gt;&lt;/w:pPr&gt;&lt;/w:style&gt;&lt;w:style w:type="paragraph" w:styleId="Index6"&gt;&lt;w:name w:val="index 6"/&gt;&lt;w:basedOn w:val="Normal"/&gt;&lt;w:next w:val="Normal"/&gt;&lt;w:autoRedefine/&gt;&lt;w:uiPriority w:val="99"/&gt;&lt;w:semiHidden/&gt;&lt;w:unhideWhenUsed/&gt;&lt;w:pPr&gt;&lt;w:spacing w:line="240" w:lineRule="auto"/&gt;&lt;w:ind w:left="1440" w:firstLine="0"/&gt;&lt;/w:pPr&gt;&lt;/w:style&gt;&lt;w:style w:type="paragraph" w:styleId="Index7"&gt;&lt;w:name w:val="index 7"/&gt;&lt;w:basedOn w:val="Normal"/&gt;&lt;w:next w:val="Normal"/&gt;&lt;w:autoRedefine/&gt;&lt;w:uiPriority w:val="99"/&gt;&lt;w:semiHidden/&gt;&lt;w:unhideWhenUsed/&gt;&lt;w:pPr&gt;&lt;w:spacing w:line="240" w:lineRule="auto"/&gt;&lt;w:ind w:left="1680" w:firstLine="0"/&gt;&lt;/w:pPr&gt;&lt;/w:style&gt;&lt;w:style w:type="paragraph" w:styleId="Index8"&gt;&lt;w:name w:val="index 8"/&gt;&lt;w:basedOn w:val="Normal"/&gt;&lt;w:next w:val="Normal"/&gt;&lt;w:autoRedefine/&gt;&lt;w:uiPriority w:val="99"/&gt;&lt;w:semiHidden/&gt;&lt;w:unhideWhenUsed/&gt;&lt;w:pPr&gt;&lt;w:spacing w:line="240" w:lineRule="auto"/&gt;&lt;w:ind w:left="1920" w:firstLine="0"/&gt;&lt;/w:pPr&gt;&lt;/w:style&gt;&lt;w:style w:type="paragraph" w:styleId="Index9"&gt;&lt;w:name w:val="index 9"/&gt;&lt;w:basedOn w:val="Normal"/&gt;&lt;w:next w:val="Normal"/&gt;&lt;w:autoRedefine/&gt;&lt;w:uiPriority w:val="99"/&gt;&lt;w:semiHidden/&gt;&lt;w:unhideWhenUsed/&gt;&lt;w:pPr&gt;&lt;w:spacing w:line="240" w:lineRule="auto"/&gt;&lt;w:ind w:left="2160" w:firstLine="0"/&gt;&lt;/w:pPr&gt;&lt;/w:style&gt;&lt;w:style w:type="paragraph" w:styleId="IndexHeading"&gt;&lt;w:name w:val="index heading"/&gt;&lt;w:basedOn w:val="Normal"/&gt;&lt;w:next w:val="Index1"/&gt;&lt;w:uiPriority w:val="99"/&gt;&lt;w:semiHidden/&gt;&lt;w:unhideWhenUsed/&gt;&lt;w:pPr&gt;&lt;w:ind w:firstLine="0"/&gt;&lt;/w:pPr&gt;&lt;w:rPr&gt;&lt;w:rFonts w:asciiTheme="majorHAnsi" w:eastAsiaTheme="majorEastAsia" w:hAnsiTheme="majorHAnsi" w:cstheme="majorBidi"/&gt;&lt;w:b/&gt;&lt;w:bCs/&gt;&lt;/w:rPr&gt;&lt;/w:style&gt;&lt;w:style w:type="paragraph" w:styleId="IntenseQuote"&gt;&lt;w:name w:val="Intense Quote"/&gt;&lt;w:basedOn w:val="Normal"/&gt;&lt;w:next w:val="Normal"/&gt;&lt;w:link w:val="IntenseQuoteChar"/&gt;&lt;w:uiPriority w:val="30"/&gt;&lt;w:semiHidden/&gt;&lt;w:unhideWhenUsed/&gt;&lt;w:qFormat/&gt;&lt;w:rsid w:val="00EB69D3"/&gt;&lt;w:pPr&gt;&lt;w:pBdr&gt;&lt;w:top w:val="single" w:sz="4" w:space="10" w:color="6E6E6E" w:themeColor="accent1" w:themeShade="80"/&gt;&lt;w:bottom w:val="single" w:sz="4" w:space="10" w:color="6E6E6E" w:themeColor="accent1" w:themeShade="80"/&gt;&lt;/w:pBdr&gt;&lt;w:spacing w:before="360" w:after="360"/&gt;&lt;w:ind w:left="864" w:right="864" w:firstLine="0"/&gt;&lt;w:jc w:val="center"/&gt;&lt;/w:pPr&gt;&lt;w:rPr&gt;&lt;w:i/&gt;&lt;w:iCs/&gt;&lt;w:color w:val="6E6E6E" w:themeColor="accent1" w:themeShade="80"/&gt;&lt;/w:rPr&gt;&lt;/w:style&gt;&lt;w:style w:type="character" w:customStyle="1" w:styleId="IntenseQuoteChar"&gt;&lt;w:name w:val="Intense Quote Char"/&gt;&lt;w:basedOn w:val="DefaultParagraphFont"/&gt;&lt;w:link w:val="IntenseQuote"/&gt;&lt;w:uiPriority w:val="30"/&gt;&lt;w:semiHidden/&gt;&lt;w:rsid w:val="00EB69D3"/&gt;&lt;w:rPr&gt;&lt;w:i/&gt;&lt;w:iCs/&gt;&lt;w:color w:val="6E6E6E" w:themeColor="accent1" w:themeShade="80"/&gt;&lt;/w:rPr&gt;&lt;/w:style&gt;&lt;w:style w:type="paragraph" w:styleId="List"&gt;&lt;w:name w:val="List"/&gt;&lt;w:basedOn w:val="Normal"/&gt;&lt;w:uiPriority w:val="99"/&gt;&lt;w:semiHidden/&gt;&lt;w:unhideWhenUsed/&gt;&lt;w:pPr&gt;&lt;w:ind w:left="360" w:firstLine="0"/&gt;&lt;w:contextualSpacing/&gt;&lt;/w:pPr&gt;&lt;/w:style&gt;&lt;w:style w:type="paragraph" w:styleId="List2"&gt;&lt;w:name w:val="List 2"/&gt;&lt;w:basedOn w:val="Normal"/&gt;&lt;w:uiPriority w:val="99"/&gt;&lt;w:semiHidden/&gt;&lt;w:unhideWhenUsed/&gt;&lt;w:pPr&gt;&lt;w:ind w:left="720" w:firstLine="0"/&gt;&lt;w:contextualSpacing/&gt;&lt;/w:pPr&gt;&lt;/w:style&gt;&lt;w:style w:type="paragraph" w:styleId="List3"&gt;&lt;w:name w:val="List 3"/&gt;&lt;w:basedOn w:val="Normal"/&gt;&lt;w:uiPriority w:val="99"/&gt;&lt;w:semiHidden/&gt;&lt;w:unhideWhenUsed/&gt;&lt;w:pPr&gt;&lt;w:ind w:left="1080" w:firstLine="0"/&gt;&lt;w:contextualSpacing/&gt;&lt;/w:pPr&gt;&lt;/w:style&gt;&lt;w:style w:type="paragraph" w:styleId="List4"&gt;&lt;w:name w:val="List 4"/&gt;&lt;w:basedOn w:val="Normal"/&gt;&lt;w:uiPriority w:val="99"/&gt;&lt;w:semiHidden/&gt;&lt;w:unhideWhenUsed/&gt;&lt;w:pPr&gt;&lt;w:ind w:left="1440" w:firstLine="0"/&gt;&lt;w:contextualSpacing/&gt;&lt;/w:pPr&gt;&lt;/w:style&gt;&lt;w:style w:type="paragraph" w:styleId="List5"&gt;&lt;w:name w:val="List 5"/&gt;&lt;w:basedOn w:val="Normal"/&gt;&lt;w:uiPriority w:val="99"/&gt;&lt;w:semiHidden/&gt;&lt;w:unhideWhenUsed/&gt;&lt;w:pPr&gt;&lt;w:ind w:left="1800" w:firstLine="0"/&gt;&lt;w:contextualSpacing/&gt;&lt;/w:pPr&gt;&lt;/w:style&gt;&lt;w:style w:type="paragraph" w:styleId="ListBullet"&gt;&lt;w:name w:val="List Bullet"/&gt;&lt;w:basedOn w:val="Normal"/&gt;&lt;w:uiPriority w:val="8"/&gt;&lt;w:unhideWhenUsed/&gt;&lt;w:qFormat/&gt;&lt;w:pPr&gt;&lt;w:numPr&gt;&lt;w:numId w:val="1"/&gt;&lt;/w:numPr&gt;&lt;w:contextualSpacing/&gt;&lt;/w:pPr&gt;&lt;/w:style&gt;&lt;w:style w:type="paragraph" w:styleId="ListBullet2"&gt;&lt;w:name w:val="List Bullet 2"/&gt;&lt;w:basedOn w:val="Normal"/&gt;&lt;w:uiPriority w:val="99"/&gt;&lt;w:semiHidden/&gt;&lt;w:unhideWhenUsed/&gt;&lt;w:pPr&gt;&lt;w:numPr&gt;&lt;w:numId w:val="2"/&gt;&lt;/w:numPr&gt;&lt;w:ind w:firstLine="0"/&gt;&lt;w:contextualSpacing/&gt;&lt;/w:pPr&gt;&lt;/w:style&gt;&lt;w:style w:type="paragraph" w:styleId="ListBullet3"&gt;&lt;w:name w:val="List Bullet 3"/&gt;&lt;w:basedOn w:val="Normal"/&gt;&lt;w:uiPriority w:val="99"/&gt;&lt;w:semiHidden/&gt;&lt;w:unhideWhenUsed/&gt;&lt;w:pPr&gt;&lt;w:numPr&gt;&lt;w:numId w:val="3"/&gt;&lt;/w:numPr&gt;&lt;w:ind w:firstLine="0"/&gt;&lt;w:contextualSpacing/&gt;&lt;/w:pPr&gt;&lt;/w:style&gt;&lt;w:style w:type="paragraph" w:styleId="ListBullet4"&gt;&lt;w:name w:val="List Bullet 4"/&gt;&lt;w:basedOn w:val="Normal"/&gt;&lt;w:uiPriority w:val="99"/&gt;&lt;w:semiHidden/&gt;&lt;w:unhideWhenUsed/&gt;&lt;w:pPr&gt;&lt;w:numPr&gt;&lt;w:numId w:val="4"/&gt;&lt;/w:numPr&gt;&lt;w:ind w:firstLine="0"/&gt;&lt;w:contextualSpacing/&gt;&lt;/w:pPr&gt;&lt;/w:style&gt;&lt;w:style w:type="paragraph" w:styleId="ListBullet5"&gt;&lt;w:name w:val="List Bullet 5"/&gt;&lt;w:basedOn w:val="Normal"/&gt;&lt;w:uiPriority w:val="99"/&gt;&lt;w:semiHidden/&gt;&lt;w:unhideWhenUsed/&gt;&lt;w:pPr&gt;&lt;w:numPr&gt;&lt;w:numId w:val="5"/&gt;&lt;/w:numPr&gt;&lt;w:ind w:firstLine="0"/&gt;&lt;w:contextualSpacing/&gt;&lt;/w:pPr&gt;&lt;/w:style&gt;&lt;w:style w:type="paragraph" w:styleId="ListContinue"&gt;&lt;w:name w:val="List Continue"/&gt;&lt;w:basedOn w:val="Normal"/&gt;&lt;w:uiPriority w:val="99"/&gt;&lt;w:semiHidden/&gt;&lt;w:unhideWhenUsed/&gt;&lt;w:pPr&gt;&lt;w:spacing w:after="120"/&gt;&lt;w:ind w:left="360" w:firstLine="0"/&gt;&lt;w:contextualSpacing/&gt;&lt;/w:pPr&gt;&lt;/w:style&gt;&lt;w:style w:type="paragraph" w:styleId="ListContinue2"&gt;&lt;w:name w:val="List Continue 2"/&gt;&lt;w:basedOn w:val="Normal"/&gt;&lt;w:uiPriority w:val="99"/&gt;&lt;w:semiHidden/&gt;&lt;w:unhideWhenUsed/&gt;&lt;w:pPr&gt;&lt;w:spacing w:after="120"/&gt;&lt;w:ind w:left="720" w:firstLine="0"/&gt;&lt;w:contextualSpacing/&gt;&lt;/w:pPr&gt;&lt;/w:style&gt;&lt;w:style w:type="paragraph" w:styleId="ListContinue3"&gt;&lt;w:name w:val="List Continue 3"/&gt;&lt;w:basedOn w:val="Normal"/&gt;&lt;w:uiPriority w:val="99"/&gt;&lt;w:semiHidden/&gt;&lt;w:unhideWhenUsed/&gt;&lt;w:pPr&gt;&lt;w:spacing w:after="120"/&gt;&lt;w:ind w:left="1080" w:firstLine="0"/&gt;&lt;w:contextualSpacing/&gt;&lt;/w:pPr&gt;&lt;/w:style&gt;&lt;w:style w:type="paragraph" w:styleId="ListContinue4"&gt;&lt;w:name w:val="List Continue 4"/&gt;&lt;w:basedOn w:val="Normal"/&gt;&lt;w:uiPriority w:val="99"/&gt;&lt;w:semiHidden/&gt;&lt;w:unhideWhenUsed/&gt;&lt;w:pPr&gt;&lt;w:spacing w:after="120"/&gt;&lt;w:ind w:left="1440" w:firstLine="0"/&gt;&lt;w:contextualSpacing/&gt;&lt;/w:pPr&gt;&lt;/w:style&gt;&lt;w:style w:type="paragraph" w:styleId="ListContinue5"&gt;&lt;w:name w:val="List Continue 5"/&gt;&lt;w:basedOn w:val="Normal"/&gt;&lt;w:uiPriority w:val="99"/&gt;&lt;w:semiHidden/&gt;&lt;w:unhideWhenUsed/&gt;&lt;w:pPr&gt;&lt;w:spacing w:after="120"/&gt;&lt;w:ind w:left="1800" w:firstLine="0"/&gt;&lt;w:contextualSpacing/&gt;&lt;/w:pPr&gt;&lt;/w:style&gt;&lt;w:style w:type="paragraph" w:styleId="ListNumber"&gt;&lt;w:name w:val="List Number"/&gt;&lt;w:basedOn w:val="Normal"/&gt;&lt;w:uiPriority w:val="8"/&gt;&lt;w:unhideWhenUsed/&gt;&lt;w:qFormat/&gt;&lt;w:pPr&gt;&lt;w:numPr&gt;&lt;w:numId w:val="6"/&gt;&lt;/w:numPr&gt;&lt;w:contextualSpacing/&gt;&lt;/w:pPr&gt;&lt;/w:style&gt;&lt;w:style w:type="paragraph" w:styleId="ListNumber2"&gt;&lt;w:name w:val="List Number 2"/&gt;&lt;w:basedOn w:val="Normal"/&gt;&lt;w:uiPriority w:val="99"/&gt;&lt;w:semiHidden/&gt;&lt;w:unhideWhenUsed/&gt;&lt;w:pPr&gt;&lt;w:numPr&gt;&lt;w:numId w:val="7"/&gt;&lt;/w:numPr&gt;&lt;w:ind w:firstLine="0"/&gt;&lt;w:contextualSpacing/&gt;&lt;/w:pPr&gt;&lt;/w:style&gt;&lt;w:style w:type="paragraph" w:styleId="ListNumber3"&gt;&lt;w:name w:val="List Number 3"/&gt;&lt;w:basedOn w:val="Normal"/&gt;&lt;w:uiPriority w:val="99"/&gt;&lt;w:semiHidden/&gt;&lt;w:unhideWhenUsed/&gt;&lt;w:pPr&gt;&lt;w:numPr&gt;&lt;w:numId w:val="8"/&gt;&lt;/w:numPr&gt;&lt;w:ind w:firstLine="0"/&gt;&lt;w:contextualSpacing/&gt;&lt;/w:pPr&gt;&lt;/w:style&gt;&lt;w:style w:type="paragraph" w:styleId="ListNumber4"&gt;&lt;w:name w:val="List Number 4"/&gt;&lt;w:basedOn w:val="Normal"/&gt;&lt;w:uiPriority w:val="99"/&gt;&lt;w:semiHidden/&gt;&lt;w:unhideWhenUsed/&gt;&lt;w:pPr&gt;&lt;w:numPr&gt;&lt;w:numId w:val="9"/&gt;&lt;/w:numPr&gt;&lt;w:ind w:firstLine="0"/&gt;&lt;w:contextualSpacing/&gt;&lt;/w:pPr&gt;&lt;/w:style&gt;&lt;w:style w:type="paragraph" w:styleId="ListNumber5"&gt;&lt;w:name w:val="List Number 5"/&gt;&lt;w:basedOn w:val="Normal"/&gt;&lt;w:uiPriority w:val="99"/&gt;&lt;w:semiHidden/&gt;&lt;w:unhideWhenUsed/&gt;&lt;w:pPr&gt;&lt;w:numPr&gt;&lt;w:numId w:val="10"/&gt;&lt;/w:numPr&gt;&lt;w:ind w:firstLine="0"/&gt;&lt;w:contextualSpacing/&gt;&lt;/w:pPr&gt;&lt;/w:style&gt;&lt;w:style w:type="paragraph" w:styleId="ListParagraph"&gt;&lt;w:name w:val="List Paragraph"/&gt;&lt;w:basedOn w:val="Normal"/&gt;&lt;w:uiPriority w:val="34"/&gt;&lt;w:semiHidden/&gt;&lt;w:unhideWhenUsed/&gt;&lt;w:qFormat/&gt;&lt;w:pPr&gt;&lt;w:ind w:left="720" w:firstLine="0"/&gt;&lt;w:contextualSpacing/&gt;&lt;/w:pPr&gt;&lt;/w:style&gt;&lt;w:style w:type="paragraph" w:styleId="MacroText"&gt;&lt;w:name w:val="macro"/&gt;&lt;w:link w:val="MacroTextChar"/&gt;&lt;w:uiPriority w:val="99"/&gt;&lt;w:semiHidden/&gt;&lt;w:unhideWhenUsed/&gt;&lt;w:rsid w:val="00EB69D3"/&gt;&lt;w:pPr&gt;&lt;w:tabs&gt;&lt;w:tab w:val="left" w:pos="480"/&gt;&lt;w:tab w:val="left" w:pos="960"/&gt;&lt;w:tab w:val="left" w:pos="1440"/&gt;&lt;w:tab w:val="left" w:pos="1920"/&gt;&lt;w:tab w:val="left" w:pos="2400"/&gt;&lt;w:tab w:val="left" w:pos="2880"/&gt;&lt;w:tab w:val="left" w:pos="3360"/&gt;&lt;w:tab w:val="left" w:pos="3840"/&gt;&lt;w:tab w:val="left" w:pos="4320"/&gt;&lt;/w:tabs&gt;&lt;w:ind w:firstLine="0"/&gt;&lt;/w:pPr&gt;&lt;w:rPr&gt;&lt;w:rFonts w:ascii="Consolas" w:hAnsi="Consolas" w:cs="Consolas"/&gt;&lt;w:kern w:val="24"/&gt;&lt;w:sz w:val="22"/&gt;&lt;w:szCs w:val="20"/&gt;&lt;/w:rPr&gt;&lt;/w:style&gt;&lt;w:style w:type="character" w:customStyle="1" w:styleId="MacroTextChar"&gt;&lt;w:name w:val="Macro Text Char"/&gt;&lt;w:basedOn w:val="DefaultParagraphFont"/&gt;&lt;w:link w:val="MacroText"/&gt;&lt;w:uiPriority w:val="99"/&gt;&lt;w:semiHidden/&gt;&lt;w:rsid w:val="00EB69D3"/&gt;&lt;w:rPr&gt;&lt;w:rFonts w:ascii="Consolas" w:hAnsi="Consolas" w:cs="Consolas"/&gt;&lt;w:kern w:val="24"/&gt;&lt;w:sz w:val="22"/&gt;&lt;w:szCs w:val="20"/&gt;&lt;/w:rPr&gt;&lt;/w:style&gt;&lt;w:style w:type="paragraph" w:styleId="MessageHeader"&gt;&lt;w:name w:val="Message Header"/&gt;&lt;w:basedOn w:val="Normal"/&gt;&lt;w:link w:val="MessageHeaderChar"/&gt;&lt;w:uiPriority w:val="99"/&gt;&lt;w:semiHidden/&gt;&lt;w:unhideWhenUsed/&gt;&lt;w:pPr&gt;&lt;w:pBdr&gt;&lt;w:top w:val="single" w:sz="6" w:space="1" w:color="auto"/&gt;&lt;w:left w:val="single" w:sz="6" w:space="1" w:color="auto"/&gt;&lt;w:bottom w:val="single" w:sz="6" w:space="1" w:color="auto"/&gt;&lt;w:right w:val="single" w:sz="6" w:space="1" w:color="auto"/&gt;&lt;/w:pBdr&gt;&lt;w:shd w:val="pct20" w:color="auto" w:fill="auto"/&gt;&lt;w:spacing w:line="240" w:lineRule="auto"/&gt;&lt;w:ind w:left="1080" w:firstLine="0"/&gt;&lt;/w:pPr&gt;&lt;w:rPr&gt;&lt;w:rFonts w:asciiTheme="majorHAnsi" w:eastAsiaTheme="majorEastAsia" w:hAnsiTheme="majorHAnsi" w:cstheme="majorBidi"/&gt;&lt;/w:rPr&gt;&lt;/w:style&gt;&lt;w:style w:type="character" w:customStyle="1" w:styleId="MessageHeaderChar"&gt;&lt;w:name w:val="Message Header Char"/&gt;&lt;w:basedOn w:val="DefaultParagraphFont"/&gt;&lt;w:link w:val="MessageHeader"/&gt;&lt;w:uiPriority w:val="99"/&gt;&lt;w:semiHidden/&gt;&lt;w:rPr&gt;&lt;w:rFonts w:asciiTheme="majorHAnsi" w:eastAsiaTheme="majorEastAsia" w:hAnsiTheme="majorHAnsi" w:cstheme="majorBidi"/&gt;&lt;w:kern w:val="24"/&gt;&lt;w:shd w:val="pct20" w:color="auto" w:fill="auto"/&gt;&lt;/w:rPr&gt;&lt;/w:style&gt;&lt;w:style w:type="paragraph" w:styleId="NormalWeb"&gt;&lt;w:name w:val="Normal (Web)"/&gt;&lt;w:basedOn w:val="Normal"/&gt;&lt;w:uiPriority w:val="99"/&gt;&lt;w:semiHidden/&gt;&lt;w:unhideWhenUsed/&gt;&lt;w:pPr&gt;&lt;w:ind w:firstLine="0"/&gt;&lt;/w:pPr&gt;&lt;w:rPr&gt;&lt;w:rFonts w:ascii="Times New Roman" w:hAnsi="Times New Roman" w:cs="Times New Roman"/&gt;&lt;/w:rPr&gt;&lt;/w:style&gt;&lt;w:style w:type="paragraph" w:styleId="NormalIndent"&gt;&lt;w:name w:val="Normal Indent"/&gt;&lt;w:basedOn w:val="Normal"/&gt;&lt;w:uiPriority w:val="99"/&gt;&lt;w:semiHidden/&gt;&lt;w:unhideWhenUsed/&gt;&lt;w:pPr&gt;&lt;w:ind w:left="720" w:firstLine="0"/&gt;&lt;/w:pPr&gt;&lt;/w:style&gt;&lt;w:style w:type="paragraph" w:styleId="NoteHeading"&gt;&lt;w:name w:val="Note Heading"/&gt;&lt;w:basedOn w:val="Normal"/&gt;&lt;w:next w:val="Normal"/&gt;&lt;w:link w:val="NoteHeadingChar"/&gt;&lt;w:uiPriority w:val="99"/&gt;&lt;w:semiHidden/&gt;&lt;w:unhideWhenUsed/&gt;&lt;w:pPr&gt;&lt;w:spacing w:line="240" w:lineRule="auto"/&gt;&lt;w:ind w:firstLine="0"/&gt;&lt;/w:pPr&gt;&lt;/w:style&gt;&lt;w:style w:type="character" w:customStyle="1" w:styleId="NoteHeadingChar"&gt;&lt;w:name w:val="Note Heading Char"/&gt;&lt;w:basedOn w:val="DefaultParagraphFont"/&gt;&lt;w:link w:val="NoteHeading"/&gt;&lt;w:uiPriority w:val="99"/&gt;&lt;w:semiHidden/&gt;&lt;w:rPr&gt;&lt;w:kern w:val="24"/&gt;&lt;/w:rPr&gt;&lt;/w:style&gt;&lt;w:style w:type="paragraph" w:styleId="PlainText"&gt;&lt;w:name w:val="Plain Text"/&gt;&lt;w:basedOn w:val="Normal"/&gt;&lt;w:link w:val="PlainTextChar"/&gt;&lt;w:uiPriority w:val="99"/&gt;&lt;w:semiHidden/&gt;&lt;w:unhideWhenUsed/&gt;&lt;w:rsid w:val="00EB69D3"/&gt;&lt;w:pPr&gt;&lt;w:spacing w:line="240" w:lineRule="auto"/&gt;&lt;w:ind w:firstLine="0"/&gt;&lt;/w:pPr&gt;&lt;w:rPr&gt;&lt;w:rFonts w:ascii="Consolas" w:hAnsi="Consolas" w:cs="Consolas"/&gt;&lt;w:sz w:val="22"/&gt;&lt;w:szCs w:val="21"/&gt;&lt;/w:rPr&gt;&lt;/w:style&gt;&lt;w:style w:type="character" w:customStyle="1" w:styleId="PlainTextChar"&gt;&lt;w:name w:val="Plain Text Char"/&gt;&lt;w:basedOn w:val="DefaultParagraphFont"/&gt;&lt;w:link w:val="PlainText"/&gt;&lt;w:uiPriority w:val="99"/&gt;&lt;w:semiHidden/&gt;&lt;w:rsid w:val="00EB69D3"/&gt;&lt;w:rPr&gt;&lt;w:rFonts w:ascii="Consolas" w:hAnsi="Consolas" w:cs="Consolas"/&gt;&lt;w:sz w:val="22"/&gt;&lt;w:szCs w:val="21"/&gt;&lt;/w:rPr&gt;&lt;/w:style&gt;&lt;w:style w:type="paragraph" w:styleId="Quote"&gt;&lt;w:name w:val="Quote"/&gt;&lt;w:basedOn w:val="Normal"/&gt;&lt;w:next w:val="Normal"/&gt;&lt;w:link w:val="QuoteChar"/&gt;&lt;w:uiPriority w:val="29"/&gt;&lt;w:semiHidden/&gt;&lt;w:unhideWhenUsed/&gt;&lt;w:qFormat/&gt;&lt;w:pPr&gt;&lt;w:spacing w:before="200" w:after="160"/&gt;&lt;w:ind w:left="864" w:right="864" w:firstLine="0"/&gt;&lt;w:jc w:val="center"/&gt;&lt;/w:pPr&gt;&lt;w:rPr&gt;&lt;w:i/&gt;&lt;w:iCs/&gt;&lt;w:color w:val="404040" w:themeColor="text1" w:themeTint="BF"/&gt;&lt;/w:rPr&gt;&lt;/w:style&gt;&lt;w:style w:type="character" w:customStyle="1" w:styleId="QuoteChar"&gt;&lt;w:name w:val="Quote Char"/&gt;&lt;w:basedOn w:val="DefaultParagraphFont"/&gt;&lt;w:link w:val="Quote"/&gt;&lt;w:uiPriority w:val="29"/&gt;&lt;w:semiHidden/&gt;&lt;w:rPr&gt;&lt;w:i/&gt;&lt;w:iCs/&gt;&lt;w:color w:val="404040" w:themeColor="text1" w:themeTint="BF"/&gt;&lt;w:kern w:val="24"/&gt;&lt;/w:rPr&gt;&lt;/w:style&gt;&lt;w:style w:type="paragraph" w:styleId="Salutation"&gt;&lt;w:name w:val="Salutation"/&gt;&lt;w:basedOn w:val="Normal"/&gt;&lt;w:next w:val="Normal"/&gt;&lt;w:link w:val="SalutationChar"/&gt;&lt;w:uiPriority w:val="99"/&gt;&lt;w:semiHidden/&gt;&lt;w:unhideWhenUsed/&gt;&lt;w:pPr&gt;&lt;w:ind w:firstLine="0"/&gt;&lt;/w:pPr&gt;&lt;/w:style&gt;&lt;w:style w:type="character" w:customStyle="1" w:styleId="SalutationChar"&gt;&lt;w:name w:val="Salutation Char"/&gt;&lt;w:basedOn w:val="DefaultParagraphFont"/&gt;&lt;w:link w:val="Salutation"/&gt;&lt;w:uiPriority w:val="99"/&gt;&lt;w:semiHidden/&gt;&lt;w:rPr&gt;&lt;w:kern w:val="24"/&gt;&lt;/w:rPr&gt;&lt;/w:style&gt;&lt;w:style w:type="paragraph" w:styleId="Signature"&gt;&lt;w:name w:val="Signature"/&gt;&lt;w:basedOn w:val="Normal"/&gt;&lt;w:link w:val="SignatureChar"/&gt;&lt;w:uiPriority w:val="99"/&gt;&lt;w:semiHidden/&gt;&lt;w:unhideWhenUsed/&gt;&lt;w:pPr&gt;&lt;w:spacing w:line="240" w:lineRule="auto"/&gt;&lt;w:ind w:left="4320" w:firstLine="0"/&gt;&lt;/w:pPr&gt;&lt;/w:style&gt;&lt;w:style w:type="character" w:customStyle="1" w:styleId="SignatureChar"&gt;&lt;w:name w:val="Signature Char"/&gt;&lt;w:basedOn w:val="DefaultParagraphFont"/&gt;&lt;w:link w:val="Signature"/&gt;&lt;w:uiPriority w:val="99"/&gt;&lt;w:semiHidden/&gt;&lt;w:rPr&gt;&lt;w:kern w:val="24"/&gt;&lt;/w:rPr&gt;&lt;/w:style&gt;&lt;w:style w:type="paragraph" w:customStyle="1" w:styleId="Title2"&gt;&lt;w:name w:val="Title 2"/&gt;&lt;w:basedOn w:val="Normal"/&gt;&lt;w:uiPriority w:val="1"/&gt;&lt;w:qFormat/&gt;&lt;w:pPr&gt;&lt;w:ind w:firstLine="0"/&gt;&lt;w:jc w:val="center"/&gt;&lt;/w:pPr&gt;&lt;/w:style&gt;&lt;w:style w:type="paragraph" w:styleId="TableofAuthorities"&gt;&lt;w:name w:val="table of authorities"/&gt;&lt;w:basedOn w:val="Normal"/&gt;&lt;w:next w:val="Normal"/&gt;&lt;w:uiPriority w:val="99"/&gt;&lt;w:semiHidden/&gt;&lt;w:unhideWhenUsed/&gt;&lt;w:pPr&gt;&lt;w:ind w:left="240" w:firstLine="0"/&gt;&lt;/w:pPr&gt;&lt;/w:style&gt;&lt;w:style w:type="paragraph" w:styleId="TableofFigures"&gt;&lt;w:name w:val="table of figures"/&gt;&lt;w:basedOn w:val="Normal"/&gt;&lt;w:next w:val="Normal"/&gt;&lt;w:uiPriority w:val="99"/&gt;&lt;w:semiHidden/&gt;&lt;w:unhideWhenUsed/&gt;&lt;w:pPr&gt;&lt;w:ind w:firstLine="0"/&gt;&lt;/w:pPr&gt;&lt;/w:style&gt;&lt;w:style w:type="paragraph" w:styleId="TOAHeading"&gt;&lt;w:name w:val="toa heading"/&gt;&lt;w:basedOn w:val="Normal"/&gt;&lt;w:next w:val="Normal"/&gt;&lt;w:uiPriority w:val="99"/&gt;&lt;w:semiHidden/&gt;&lt;w:unhideWhenUsed/&gt;&lt;w:pPr&gt;&lt;w:spacing w:before="120"/&gt;&lt;w:ind w:firstLine="0"/&gt;&lt;/w:pPr&gt;&lt;w:rPr&gt;&lt;w:rFonts w:asciiTheme="majorHAnsi" w:eastAsiaTheme="majorEastAsia" w:hAnsiTheme="majorHAnsi" w:cstheme="majorBidi"/&gt;&lt;w:b/&gt;&lt;w:bCs/&gt;&lt;/w:rPr&gt;&lt;/w:style&gt;&lt;w:style w:type="paragraph" w:styleId="TOC4"&gt;&lt;w:name w:val="toc 4"/&gt;&lt;w:basedOn w:val="Normal"/&gt;&lt;w:next w:val="Normal"/&gt;&lt;w:autoRedefine/&gt;&lt;w:uiPriority w:val="39"/&gt;&lt;w:semiHidden/&gt;&lt;w:unhideWhenUsed/&gt;&lt;w:pPr&gt;&lt;w:spacing w:after="100"/&gt;&lt;w:ind w:left="720" w:firstLine="0"/&gt;&lt;/w:pPr&gt;&lt;/w:style&gt;&lt;w:style w:type="paragraph" w:styleId="TOC5"&gt;&lt;w:name w:val="toc 5"/&gt;&lt;w:basedOn w:val="Normal"/&gt;&lt;w:next w:val="Normal"/&gt;&lt;w:autoRedefine/&gt;&lt;w:uiPriority w:val="39"/&gt;&lt;w:semiHidden/&gt;&lt;w:unhideWhenUsed/&gt;&lt;w:pPr&gt;&lt;w:spacing w:after="100"/&gt;&lt;w:ind w:left="960" w:firstLine="0"/&gt;&lt;/w:pPr&gt;&lt;/w:style&gt;&lt;w:style w:type="paragraph" w:styleId="TOC6"&gt;&lt;w:name w:val="toc 6"/&gt;&lt;w:basedOn w:val="Normal"/&gt;&lt;w:next w:val="Normal"/&gt;&lt;w:autoRedefine/&gt;&lt;w:uiPriority w:val="39"/&gt;&lt;w:semiHidden/&gt;&lt;w:unhideWhenUsed/&gt;&lt;w:pPr&gt;&lt;w:spacing w:after="100"/&gt;&lt;w:ind w:left="1200" w:firstLine="0"/&gt;&lt;/w:pPr&gt;&lt;/w:style&gt;&lt;w:style w:type="paragraph" w:styleId="TOC7"&gt;&lt;w:name w:val="toc 7"/&gt;&lt;w:basedOn w:val="Normal"/&gt;&lt;w:next w:val="Normal"/&gt;&lt;w:autoRedefine/&gt;&lt;w:uiPriority w:val="39"/&gt;&lt;w:semiHidden/&gt;&lt;w:unhideWhenUsed/&gt;&lt;w:pPr&gt;&lt;w:spacing w:after="100"/&gt;&lt;w:ind w:left="1440" w:firstLine="0"/&gt;&lt;/w:pPr&gt;&lt;/w:style&gt;&lt;w:style w:type="paragraph" w:styleId="TOC8"&gt;&lt;w:name w:val="toc 8"/&gt;&lt;w:basedOn w:val="Normal"/&gt;&lt;w:next w:val="Normal"/&gt;&lt;w:autoRedefine/&gt;&lt;w:uiPriority w:val="39"/&gt;&lt;w:semiHidden/&gt;&lt;w:unhideWhenUsed/&gt;&lt;w:pPr&gt;&lt;w:spacing w:after="100"/&gt;&lt;w:ind w:left="1680" w:firstLine="0"/&gt;&lt;/w:pPr&gt;&lt;/w:style&gt;&lt;w:style w:type="paragraph" w:styleId="TOC9"&gt;&lt;w:name w:val="toc 9"/&gt;&lt;w:basedOn w:val="Normal"/&gt;&lt;w:next w:val="Normal"/&gt;&lt;w:autoRedefine/&gt;&lt;w:uiPriority w:val="39"/&gt;&lt;w:semiHidden/&gt;&lt;w:unhideWhenUsed/&gt;&lt;w:pPr&gt;&lt;w:spacing w:after="100"/&gt;&lt;w:ind w:left="1920" w:firstLine="0"/&gt;&lt;/w:pPr&gt;&lt;/w:style&gt;&lt;w:style w:type="character" w:styleId="EndnoteReference"&gt;&lt;w:name w:val="endnote reference"/&gt;&lt;w:basedOn w:val="DefaultParagraphFont"/&gt;&lt;w:uiPriority w:val="99"/&gt;&lt;w:semiHidden/&gt;&lt;w:unhideWhenUsed/&gt;&lt;w:rPr&gt;&lt;w:vertAlign w:val="superscript"/&gt;&lt;/w:rPr&gt;&lt;/w:style&gt;&lt;w:style w:type="character" w:styleId="FootnoteReference"&gt;&lt;w:name w:val="footnote reference"/&gt;&lt;w:basedOn w:val="DefaultParagraphFont"/&gt;&lt;w:uiPriority w:val="99"/&gt;&lt;w:qFormat/&gt;&lt;w:rPr&gt;&lt;w:vertAlign w:val="superscript"/&gt;&lt;/w:rPr&gt;&lt;/w:style&gt;&lt;w:style w:type="table" w:customStyle="1" w:styleId="APAReport"&gt;&lt;w:name w:val="APA Report"/&gt;&lt;w:basedOn w:val="TableNormal"/&gt;&lt;w:uiPriority w:val="99"/&gt;&lt;w:rsid w:val="003F7CBD"/&gt;&lt;w:pPr&gt;&lt;w:spacing w:line="240" w:lineRule="auto"/&gt;&lt;w:ind w:firstLine="0"/&gt;&lt;/w:pPr&gt;&lt;w:tblPr&gt;&lt;w:tblBorders&gt;&lt;w:top w:val="single" w:sz="12" w:space="0" w:color="auto"/&gt;&lt;w:bottom w:val="single" w:sz="12" w:space="0" w:color="auto"/&gt;&lt;/w:tblBorders&gt;&lt;/w:tblPr&gt;&lt;w:tblStylePr w:type="firstRow"&gt;&lt;w:rPr&gt;&lt;w:rFonts w:asciiTheme="majorHAnsi" w:hAnsiTheme="majorHAnsi"/&gt;&lt;/w:rPr&gt;&lt;w:tblPr/&gt;&lt;w:tcPr&gt;&lt;w:tcBorders&gt;&lt;w:top w:val="single" w:sz="12" w:space="0" w:color="auto"/&gt;&lt;w:left w:val="nil"/&gt;&lt;w:bottom w:val="single" w:sz="12" w:space="0" w:color="auto"/&gt;&lt;w:right w:val="nil"/&gt;&lt;w:insideH w:val="nil"/&gt;&lt;w:insideV w:val="nil"/&gt;&lt;w:tl2br w:val="nil"/&gt;&lt;w:tr2bl w:val="nil"/&gt;&lt;/w:tcBorders&gt;&lt;/w:tcPr&gt;&lt;/w:tblStylePr&gt;&lt;/w:style&gt;&lt;w:style w:type="paragraph" w:customStyle="1" w:styleId="TableFigure"&gt;&lt;w:name w:val="Table/Figure"/&gt;&lt;w:basedOn w:val="Normal"/&gt;&lt;w:uiPriority w:val="7"/&gt;&lt;w:qFormat/&gt;&lt;w:pPr&gt;&lt;w:spacing w:before="240"/&gt;&lt;w:ind w:firstLine="0"/&gt;&lt;w:contextualSpacing/&gt;&lt;/w:pPr&gt;&lt;/w:style&gt;&lt;w:style w:type="paragraph" w:styleId="Footer"&gt;&lt;w:name w:val="footer"/&gt;&lt;w:basedOn w:val="Normal"/&gt;&lt;w:link w:val="FooterChar"/&gt;&lt;w:uiPriority w:val="99"/&gt;&lt;w:qFormat/&gt;&lt;w:pPr&gt;&lt;w:tabs&gt;&lt;w:tab w:val="center" w:pos="4680"/&gt;&lt;w:tab w:val="right" w:pos="9360"/&gt;&lt;/w:tabs&gt;&lt;w:spacing w:line="240" w:lineRule="auto"/&gt;&lt;/w:pPr&gt;&lt;/w:style&gt;&lt;w:style w:type="character" w:customStyle="1" w:styleId="FooterChar"&gt;&lt;w:name w:val="Footer Char"/&gt;&lt;w:basedOn w:val="DefaultParagraphFont"/&gt;&lt;w:link w:val="Footer"/&gt;&lt;w:uiPriority w:val="99"/&gt;&lt;w:rsid w:val="00DB2E59"/&gt;&lt;/w:style&gt;&lt;w:style w:type="character" w:styleId="CommentReference"&gt;&lt;w:name w:val="annotation reference"/&gt;&lt;w:basedOn w:val="DefaultParagraphFont"/&gt;&lt;w:uiPriority w:val="99"/&gt;&lt;w:semiHidden/&gt;&lt;w:unhideWhenUsed/&gt;&lt;w:rsid w:val="00EB69D3"/&gt;&lt;w:rPr&gt;&lt;w:sz w:val="22"/&gt;&lt;w:szCs w:val="16"/&gt;&lt;/w:rPr&gt;&lt;/w:style&gt;&lt;w:style w:type="paragraph" w:styleId="EndnoteText"&gt;&lt;w:name w:val="endnote text"/&gt;&lt;w:basedOn w:val="Normal"/&gt;&lt;w:link w:val="EndnoteTextChar"/&gt;&lt;w:uiPriority w:val="99"/&gt;&lt;w:semiHidden/&gt;&lt;w:unhideWhenUsed/&gt;&lt;w:qFormat/&gt;&lt;w:rsid w:val="00EB69D3"/&gt;&lt;w:pPr&gt;&lt;w:spacing w:line="240" w:lineRule="auto"/&gt;&lt;/w:pPr&gt;&lt;w:rPr&gt;&lt;w:sz w:val="22"/&gt;&lt;w:szCs w:val="20"/&gt;&lt;/w:rPr&gt;&lt;/w:style&gt;&lt;w:style w:type="character" w:customStyle="1" w:styleId="EndnoteTextChar"&gt;&lt;w:name w:val="Endnote Text Char"/&gt;&lt;w:basedOn w:val="DefaultParagraphFont"/&gt;&lt;w:link w:val="EndnoteText"/&gt;&lt;w:uiPriority w:val="99"/&gt;&lt;w:semiHidden/&gt;&lt;w:rsid w:val="00EB69D3"/&gt;&lt;w:rPr&gt;&lt;w:sz w:val="22"/&gt;&lt;w:szCs w:val="20"/&gt;&lt;/w:rPr&gt;&lt;/w:style&gt;&lt;w:style w:type="character" w:styleId="HTMLCode"&gt;&lt;w:name w:val="HTML Code"/&gt;&lt;w:basedOn w:val="DefaultParagraphFont"/&gt;&lt;w:uiPriority w:val="99"/&gt;&lt;w:semiHidden/&gt;&lt;w:unhideWhenUsed/&gt;&lt;w:rsid w:val="00EB69D3"/&gt;&lt;w:rPr&gt;&lt;w:rFonts w:ascii="Consolas" w:hAnsi="Consolas"/&gt;&lt;w:sz w:val="22"/&gt;&lt;w:szCs w:val="20"/&gt;&lt;/w:rPr&gt;&lt;/w:style&gt;&lt;w:style w:type="character" w:styleId="HTMLKeyboard"&gt;&lt;w:name w:val="HTML Keyboard"/&gt;&lt;w:basedOn w:val="DefaultParagraphFont"/&gt;&lt;w:uiPriority w:val="99"/&gt;&lt;w:semiHidden/&gt;&lt;w:unhideWhenUsed/&gt;&lt;w:rsid w:val="00EB69D3"/&gt;&lt;w:rPr&gt;&lt;w:rFonts w:ascii="Consolas" w:hAnsi="Consolas"/&gt;&lt;w:sz w:val="22"/&gt;&lt;w:szCs w:val="20"/&gt;&lt;/w:rPr&gt;&lt;/w:style&gt;&lt;w:style w:type="character" w:styleId="HTMLTypewriter"&gt;&lt;w:name w:val="HTML Typewriter"/&gt;&lt;w:basedOn w:val="DefaultParagraphFont"/&gt;&lt;w:uiPriority w:val="99"/&gt;&lt;w:semiHidden/&gt;&lt;w:unhideWhenUsed/&gt;&lt;w:rsid w:val="00EB69D3"/&gt;&lt;w:rPr&gt;&lt;w:rFonts w:ascii="Consolas" w:hAnsi="Consolas"/&gt;&lt;w:sz w:val="22"/&gt;&lt;w:szCs w:val="20"/&gt;&lt;/w:rPr&gt;&lt;/w:style&gt;&lt;w:style w:type="paragraph" w:styleId="TOCHeading"&gt;&lt;w:name w:val="TOC Heading"/&gt;&lt;w:basedOn w:val="Heading1"/&gt;&lt;w:next w:val="Normal"/&gt;&lt;w:uiPriority w:val="39"/&gt;&lt;w:semiHidden/&gt;&lt;w:unhideWhenUsed/&gt;&lt;w:qFormat/&gt;&lt;w:rsid w:val="00EB69D3"/&gt;&lt;w:pPr&gt;&lt;w:spacing w:before="240"/&gt;&lt;w:ind w:firstLine="720"/&gt;&lt;w:jc w:val="left"/&gt;&lt;w:outlineLvl w:val="9"/&gt;&lt;/w:pPr&gt;&lt;w:rPr&gt;&lt;w:b w:val="0"/&gt;&lt;w:bCs w:val="0"/&gt;&lt;w:color w:val="6E6E6E" w:themeColor="accent1" w:themeShade="80"/&gt;&lt;w:sz w:val="32"/&gt;&lt;w:szCs w:val="32"/&gt;&lt;/w:rPr&gt;&lt;/w:style&gt;&lt;w:style w:type="character" w:styleId="IntenseReference"&gt;&lt;w:name w:val="Intense Reference"/&gt;&lt;w:basedOn w:val="DefaultParagraphFont"/&gt;&lt;w:uiPriority w:val="32"/&gt;&lt;w:semiHidden/&gt;&lt;w:unhideWhenUsed/&gt;&lt;w:qFormat/&gt;&lt;w:rsid w:val="00EB69D3"/&gt;&lt;w:rPr&gt;&lt;w:b/&gt;&lt;w:bCs/&gt;&lt;w:caps w:val="0"/&gt;&lt;w:smallCaps/&gt;&lt;w:color w:val="6E6E6E" w:themeColor="accent1" w:themeShade="80"/&gt;&lt;w:spacing w:val="5"/&gt;&lt;/w:rPr&gt;&lt;/w:style&gt;&lt;w:style w:type="character" w:styleId="IntenseEmphasis"&gt;&lt;w:name w:val="Intense Emphasis"/&gt;&lt;w:basedOn w:val="DefaultParagraphFont"/&gt;&lt;w:uiPriority w:val="21"/&gt;&lt;w:semiHidden/&gt;&lt;w:unhideWhenUsed/&gt;&lt;w:qFormat/&gt;&lt;w:rsid w:val="00EB69D3"/&gt;&lt;w:rPr&gt;&lt;w:i/&gt;&lt;w:iCs/&gt;&lt;w:color w:val="6E6E6E" w:themeColor="accent1" w:themeShade="80"/&gt;&lt;/w:rPr&gt;&lt;/w:style&gt;&lt;w:style w:type="table" w:styleId="GridTable4-Accent4"&gt;&lt;w:name w:val="Grid Table 4 Accent 4"/&gt;&lt;w:basedOn w:val="TableNormal"/&gt;&lt;w:uiPriority w:val="49"/&gt;&lt;w:rsid w:val="003F7CBD"/&gt;&lt;w:pPr&gt;&lt;w:spacing w:line="240" w:lineRule="auto"/&gt;&lt;/w:pPr&gt;&lt;w:tblPr&gt;&lt;w:tblStyleRowBandSize w:val="1"/&gt;&lt;w:tblStyleColBandSize w:val="1"/&gt;&lt;w:tblBorders&gt;&lt;w:top w:val="single" w:sz="4" w:space="0" w:color="B2B2B2" w:themeColor="accent4" w:themeTint="99"/&gt;&lt;w:left w:val="single" w:sz="4" w:space="0" w:color="B2B2B2" w:themeColor="accent4" w:themeTint="99"/&gt;&lt;w:bottom w:val="single" w:sz="4" w:space="0" w:color="B2B2B2" w:themeColor="accent4" w:themeTint="99"/&gt;&lt;w:right w:val="single" w:sz="4" w:space="0" w:color="B2B2B2" w:themeColor="accent4" w:themeTint="99"/&gt;&lt;w:insideH w:val="single" w:sz="4" w:space="0" w:color="B2B2B2" w:themeColor="accent4" w:themeTint="99"/&gt;&lt;w:insideV w:val="single" w:sz="4" w:space="0" w:color="B2B2B2" w:themeColor="accent4" w:themeTint="99"/&gt;&lt;/w:tblBorders&gt;&lt;/w:tblPr&gt;&lt;w:tblStylePr w:type="firstRow"&gt;&lt;w:rPr&gt;&lt;w:b/&gt;&lt;w:bCs/&gt;&lt;w:color w:val="FFFFFF" w:themeColor="background1"/&gt;&lt;/w:rPr&gt;&lt;w:tblPr/&gt;&lt;w:tcPr&gt;&lt;w:tcBorders&gt;&lt;w:top w:val="single" w:sz="4" w:space="0" w:color="808080" w:themeColor="accent4"/&gt;&lt;w:left w:val="single" w:sz="4" w:space="0" w:color="808080" w:themeColor="accent4"/&gt;&lt;w:bottom w:val="single" w:sz="4" w:space="0" w:color="808080" w:themeColor="accent4"/&gt;&lt;w:right w:val="single" w:sz="4" w:space="0" w:color="808080" w:themeColor="accent4"/&gt;&lt;w:insideH w:val="nil"/&gt;&lt;w:insideV w:val="nil"/&gt;&lt;/w:tcBorders&gt;&lt;w:shd w:val="clear" w:color="auto" w:fill="808080" w:themeFill="accent4"/&gt;&lt;/w:tcPr&gt;&lt;/w:tblStylePr&gt;&lt;w:tblStylePr w:type="lastRow"&gt;&lt;w:rPr&gt;&lt;w:b/&gt;&lt;w:bCs/&gt;&lt;/w:rPr&gt;&lt;w:tblPr/&gt;&lt;w:tcPr&gt;&lt;w:tcBorders&gt;&lt;w:top w:val="double" w:sz="4" w:space="0" w:color="808080" w:themeColor="accent4"/&gt;&lt;/w:tcBorders&gt;&lt;/w:tcPr&gt;&lt;/w:tblStylePr&gt;&lt;w:tblStylePr w:type="firstCol"&gt;&lt;w:rPr&gt;&lt;w:b/&gt;&lt;w:bCs/&gt;&lt;/w:rPr&gt;&lt;/w:tblStylePr&gt;&lt;w:tblStylePr w:type="lastCol"&gt;&lt;w:rPr&gt;&lt;w:b/&gt;&lt;w:bCs/&gt;&lt;/w:rPr&gt;&lt;/w:tblStylePr&gt;&lt;w:tblStylePr w:type="band1Vert"&gt;&lt;w:tblPr/&gt;&lt;w:tcPr&gt;&lt;w:shd w:val="clear" w:color="auto" w:fill="E5E5E5" w:themeFill="accent4" w:themeFillTint="33"/&gt;&lt;/w:tcPr&gt;&lt;/w:tblStylePr&gt;&lt;w:tblStylePr w:type="band1Horz"&gt;&lt;w:tblPr/&gt;&lt;w:tcPr&gt;&lt;w:shd w:val="clear" w:color="auto" w:fill="E5E5E5" w:themeFill="accent4" w:themeFillTint="33"/&gt;&lt;/w:tcPr&gt;&lt;/w:tblStylePr&gt;&lt;/w:style&gt;&lt;w:style w:type="table" w:styleId="GridTable2-Accent1"&gt;&lt;w:name w:val="Grid Table 2 Accent 1"/&gt;&lt;w:basedOn w:val="TableNormal"/&gt;&lt;w:uiPriority w:val="47"/&gt;&lt;w:rsid w:val="008A78F1"/&gt;&lt;w:pPr&gt;&lt;w:spacing w:line="240" w:lineRule="auto"/&gt;&lt;/w:pPr&gt;&lt;w:tblPr&gt;&lt;w:tblStyleRowBandSize w:val="1"/&gt;&lt;w:tblStyleColBandSize w:val="1"/&gt;&lt;w:tblBorders&gt;&lt;w:top w:val="single" w:sz="2" w:space="0" w:color="EAEAEA" w:themeColor="accent1" w:themeTint="99"/&gt;&lt;w:bottom w:val="single" w:sz="2" w:space="0" w:color="EAEAEA" w:themeColor="accent1" w:themeTint="99"/&gt;&lt;w:insideH w:val="single" w:sz="2" w:space="0" w:color="EAEAEA" w:themeColor="accent1" w:themeTint="99"/&gt;&lt;w:insideV w:val="single" w:sz="2" w:space="0" w:color="EAEAEA" w:themeColor="accent1" w:themeTint="99"/&gt;&lt;/w:tblBorders&gt;&lt;w:tblCellMar&gt;&lt;w:left w:w="0" w:type="dxa"/&gt;&lt;w:right w:w="0" w:type="dxa"/&gt;&lt;/w:tblCellMar&gt;&lt;/w:tblPr&gt;&lt;w:tblStylePr w:type="firstRow"&gt;&lt;w:rPr&gt;&lt;w:b w:val="0"/&gt;&lt;w:bCs/&gt;&lt;w:i w:val="0"/&gt;&lt;/w:rPr&gt;&lt;w:tblPr/&gt;&lt;w:tcPr&gt;&lt;w:tcBorders&gt;&lt;w:top w:val="nil"/&gt;&lt;w:left w:val="nil"/&gt;&lt;w:bottom w:val="nil"/&gt;&lt;w:right w:val="nil"/&gt;&lt;w:insideH w:val="nil"/&gt;&lt;w:insideV w:val="nil"/&gt;&lt;w:tl2br w:val="nil"/&gt;&lt;w:tr2bl w:val="nil"/&gt;&lt;/w:tcBorders&gt;&lt;w:shd w:val="clear" w:color="auto" w:fill="FFFFFF" w:themeFill="background1"/&gt;&lt;/w:tcPr&gt;&lt;/w:tblStylePr&gt;&lt;w:tblStylePr w:type="lastRow"&gt;&lt;w:rPr&gt;&lt;w:b/&gt;&lt;w:bCs/&gt;&lt;/w:rPr&gt;&lt;w:tblPr/&gt;&lt;w:tcPr&gt;&lt;w:tcBorders&gt;&lt;w:top w:val="double" w:sz="2" w:space="0" w:color="EAEAEA" w:themeColor="accent1" w:themeTint="99"/&gt;&lt;w:bottom w:val="nil"/&gt;&lt;w:insideH w:val="nil"/&gt;&lt;w:insideV w:val="nil"/&gt;&lt;/w:tcBorders&gt;&lt;w:shd w:val="clear" w:color="auto" w:fill="FFFFFF" w:themeFill="background1"/&gt;&lt;/w:tcPr&gt;&lt;/w:tblStylePr&gt;&lt;w:tblStylePr w:type="firstCol"&gt;&lt;w:rPr&gt;&lt;w:b/&gt;&lt;w:bCs/&gt;&lt;/w:rPr&gt;&lt;/w:tblStylePr&gt;&lt;w:tblStylePr w:type="lastCol"&gt;&lt;w:rPr&gt;&lt;w:b/&gt;&lt;w:bCs/&gt;&lt;/w:rPr&gt;&lt;/w:tblStylePr&gt;&lt;w:tblStylePr w:type="band1Vert"&gt;&lt;w:tblPr/&gt;&lt;w:tcPr&gt;&lt;w:shd w:val="clear" w:color="auto" w:fill="F8F8F8" w:themeFill="accent1" w:themeFillTint="33"/&gt;&lt;/w:tcPr&gt;&lt;/w:tblStylePr&gt;&lt;w:tblStylePr w:type="band1Horz"&gt;&lt;w:tblPr/&gt;&lt;w:tcPr&gt;&lt;w:shd w:val="clear" w:color="auto" w:fill="F8F8F8" w:themeFill="accent1" w:themeFillTint="33"/&gt;&lt;/w:tcPr&gt;&lt;/w:tblStylePr&gt;&lt;/w:style&gt;&lt;/w:styles&gt;&lt;/pkg:xmlData&gt;&lt;/pkg:part&gt;&lt;/pkg:package&gt;
</CustomerName>
    <CompanyName/>
    <SenderAddress/>
    <Address/>
  </employee>
</employe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8E728A-96FF-4995-885C-5AF887AB0C35}">
  <ds:schemaRefs>
    <ds:schemaRef ds:uri="http://schemas.microsoft.com/temp/samples"/>
  </ds:schemaRefs>
</ds:datastoreItem>
</file>

<file path=customXml/itemProps2.xml><?xml version="1.0" encoding="utf-8"?>
<ds:datastoreItem xmlns:ds="http://schemas.openxmlformats.org/officeDocument/2006/customXml" ds:itemID="{0D181A23-612A-473F-A673-77E565BE64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paper</Template>
  <TotalTime>2411</TotalTime>
  <Pages>8</Pages>
  <Words>1320</Words>
  <Characters>7529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Hall</dc:creator>
  <cp:keywords/>
  <dc:description/>
  <cp:lastModifiedBy>Justin Hall</cp:lastModifiedBy>
  <cp:revision>9</cp:revision>
  <dcterms:created xsi:type="dcterms:W3CDTF">2020-07-04T16:27:00Z</dcterms:created>
  <dcterms:modified xsi:type="dcterms:W3CDTF">2020-07-07T03:12:00Z</dcterms:modified>
</cp:coreProperties>
</file>