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They may choose to delegate that authority to another to act on their behalf (</w:t>
      </w:r>
      <w:proofErr w:type="gramStart"/>
      <w:r w:rsidR="008D0202">
        <w:t>i.e.</w:t>
      </w:r>
      <w:proofErr w:type="gramEnd"/>
      <w:r w:rsidR="008D0202">
        <w:t xml:space="preserv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w:t>
      </w:r>
      <w:proofErr w:type="gramStart"/>
      <w:r>
        <w:rPr>
          <w:highlight w:val="white"/>
        </w:rPr>
        <w:t>model</w:t>
      </w:r>
      <w:proofErr w:type="gramEnd"/>
      <w:r>
        <w:rPr>
          <w:highlight w:val="white"/>
        </w:rPr>
        <w:t xml:space="preserve">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 xml:space="preserve">In the 1990s, the suggestion that 'hackers' might seek to make financial gains from their activities was denounced as 'fear-mongering'. The suggestion that </w:t>
      </w:r>
      <w:proofErr w:type="gramStart"/>
      <w:r>
        <w:t>email</w:t>
      </w:r>
      <w:proofErr w:type="gramEnd"/>
      <w:r>
        <w:t xml:space="preserve">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w:t>
      </w:r>
      <w:proofErr w:type="gramStart"/>
      <w:r>
        <w:t>issues</w:t>
      </w:r>
      <w:proofErr w:type="gramEnd"/>
      <w:r>
        <w:t xml:space="preserve">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 xml:space="preserve">is focused on the individual user. While this change of focus is </w:t>
      </w:r>
      <w:proofErr w:type="gramStart"/>
      <w:r w:rsidR="00FF10A8">
        <w:t>in</w:t>
      </w:r>
      <w:proofErr w:type="gramEnd"/>
      <w:r w:rsidR="00FF10A8">
        <w:t xml:space="preserve">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w:t>
      </w:r>
      <w:proofErr w:type="gramStart"/>
      <w:r>
        <w:t>i.e.</w:t>
      </w:r>
      <w:proofErr w:type="gramEnd"/>
      <w:r>
        <w:t xml:space="preserv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w:t>
      </w:r>
      <w:proofErr w:type="gramStart"/>
      <w:r>
        <w:t>e.g.</w:t>
      </w:r>
      <w:proofErr w:type="gramEnd"/>
      <w:r>
        <w:t xml:space="preserve">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3BA76DCA"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 xml:space="preserve">Limiting the access rights granted to a device when it is connected mitigates the consequences of the device being lost, </w:t>
      </w:r>
      <w:proofErr w:type="gramStart"/>
      <w:r>
        <w:t>stolen</w:t>
      </w:r>
      <w:proofErr w:type="gramEnd"/>
      <w:r>
        <w:t xml:space="preserve">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10DFD2F3" w14:textId="4BB69A6F" w:rsidR="00D15201" w:rsidRDefault="00D15201" w:rsidP="00D15201">
      <w:pPr>
        <w:pStyle w:val="meta"/>
      </w:pPr>
      <w:r w:rsidRPr="00D15201">
        <w:t>&lt;include=..\Examples\ArchitectureConnectSSH.md&gt;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49DA7C0E" w14:textId="4DC4B1A3" w:rsidR="00C94827" w:rsidRDefault="00C94827" w:rsidP="00C94827">
      <w:pPr>
        <w:pStyle w:val="Heading3"/>
      </w:pPr>
      <w:r>
        <w:t>Deleting Devices</w:t>
      </w:r>
    </w:p>
    <w:p w14:paraId="7821F5ED" w14:textId="196D3916" w:rsidR="0020428F" w:rsidRDefault="0020428F" w:rsidP="0020428F">
      <w:r>
        <w:t xml:space="preserve">Should the new device be lost, </w:t>
      </w:r>
      <w:proofErr w:type="gramStart"/>
      <w:r>
        <w:t>stolen</w:t>
      </w:r>
      <w:proofErr w:type="gramEnd"/>
      <w:r>
        <w:t xml:space="preserve"> or simply broken, Alice can </w:t>
      </w:r>
      <w:r w:rsidR="005B79F9">
        <w:t>limit</w:t>
      </w:r>
      <w:r>
        <w:t xml:space="preserve"> further use of the device by disconnecting it from her Mesh:</w:t>
      </w:r>
    </w:p>
    <w:p w14:paraId="49E48E84" w14:textId="77777777" w:rsidR="0020428F" w:rsidRDefault="0020428F" w:rsidP="00BF7EF9">
      <w:pPr>
        <w:pStyle w:val="meta"/>
      </w:pPr>
      <w:r>
        <w:t>&lt;include=..\Examples\ArchitectureConnectDisconnect.md&gt;</w:t>
      </w:r>
    </w:p>
    <w:p w14:paraId="6364FD87" w14:textId="24E3FBE7" w:rsidR="005B79F9" w:rsidRDefault="005B79F9" w:rsidP="0020428F">
      <w:r>
        <w:t>Disconnecting a device will always prevent the device receiving further services from the account service and thus the ability to receive encrypted catalog updates. But a device connected with direct key access rights (</w:t>
      </w:r>
      <w:proofErr w:type="gramStart"/>
      <w:r>
        <w:t>e.g.</w:t>
      </w:r>
      <w:proofErr w:type="gramEnd"/>
      <w:r>
        <w:t xml:space="preserve"> </w:t>
      </w:r>
      <w:r w:rsidRPr="005B79F9">
        <w:rPr>
          <w:u w:val="single"/>
        </w:rPr>
        <w:t>web</w:t>
      </w:r>
      <w:r>
        <w:t>) is still capable of decrypting documents encrypted under the account key unless the device application discovers that it has been disconnected and deletes the corresponding keys:</w:t>
      </w:r>
    </w:p>
    <w:p w14:paraId="5943924D" w14:textId="2B05EAB2" w:rsidR="005B79F9" w:rsidRDefault="005B79F9" w:rsidP="00BF7EF9">
      <w:pPr>
        <w:pStyle w:val="meta"/>
      </w:pPr>
      <w:r w:rsidRPr="005B79F9">
        <w:t>&lt;include=..\Examples\Architecture</w:t>
      </w:r>
      <w:r>
        <w:t>DisconnectWebDecrypts</w:t>
      </w:r>
      <w:r w:rsidRPr="005B79F9">
        <w:t>.md&gt;</w:t>
      </w:r>
    </w:p>
    <w:p w14:paraId="79B6C90A" w14:textId="5296DE79" w:rsidR="005B79F9" w:rsidRDefault="005B79F9" w:rsidP="0020428F">
      <w:r>
        <w:t xml:space="preserve">A device connected with the </w:t>
      </w:r>
      <w:r w:rsidRPr="005B79F9">
        <w:rPr>
          <w:u w:val="single"/>
        </w:rPr>
        <w:t>threshold</w:t>
      </w:r>
      <w:r>
        <w:t xml:space="preserve"> access right loses the ability to decrypt immediately:</w:t>
      </w:r>
    </w:p>
    <w:p w14:paraId="1874F4D2" w14:textId="032900C8" w:rsidR="005B79F9" w:rsidRDefault="005B79F9" w:rsidP="00BF7EF9">
      <w:pPr>
        <w:pStyle w:val="meta"/>
      </w:pPr>
      <w:r w:rsidRPr="005B79F9">
        <w:t>&lt;include=..\Examples\ArchitectureDisconnec</w:t>
      </w:r>
      <w:r>
        <w:t>tThreshold</w:t>
      </w:r>
      <w:r w:rsidRPr="005B79F9">
        <w:t>Decrypts.md&gt;</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 xml:space="preserve">Achieving the last requirement makes use of the fact that Lagrange interpolation can be used to generate additional shares without reconstructing the original secret. The x coordinate of each </w:t>
      </w:r>
      <w:proofErr w:type="spellStart"/>
      <w:r>
        <w:t>share holder</w:t>
      </w:r>
      <w:proofErr w:type="spellEnd"/>
      <w:r>
        <w:t xml:space="preserve">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w:t>
      </w:r>
      <w:proofErr w:type="gramStart"/>
      <w:r>
        <w:t>e.g.</w:t>
      </w:r>
      <w:proofErr w:type="gramEnd"/>
      <w:r>
        <w:t xml:space="preserve"> </w:t>
      </w:r>
      <w:proofErr w:type="spellStart"/>
      <w:r>
        <w:t>xmpp</w:t>
      </w:r>
      <w:proofErr w:type="spellEnd"/>
      <w:r>
        <w:t>)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 xml:space="preserve">and 'social media' and is that the former is typically used to describe a synchronous interaction between a closed group of users while most social media </w:t>
      </w:r>
      <w:proofErr w:type="gramStart"/>
      <w:r>
        <w:t>consists</w:t>
      </w:r>
      <w:proofErr w:type="gramEnd"/>
      <w:r>
        <w:t xml:space="preserve">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For example, Alice uses her Desktop and Laptop to exchange end-to-end secure Mesh Messages and documents but her Internet-of-</w:t>
      </w:r>
      <w:proofErr w:type="gramStart"/>
      <w:r>
        <w:t>Things</w:t>
      </w:r>
      <w:proofErr w:type="gramEnd"/>
      <w:r>
        <w:t xml:space="preserve">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w:t>
      </w:r>
      <w:proofErr w:type="gramStart"/>
      <w:r>
        <w:t>support</w:t>
      </w:r>
      <w:proofErr w:type="gramEnd"/>
      <w:r>
        <w:t xml:space="preserve">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w:t>
      </w:r>
      <w:r w:rsidR="007A71A1">
        <w:t>Connect</w:t>
      </w:r>
      <w:r w:rsidRPr="00361F01">
        <w: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w:t>
      </w:r>
      <w:proofErr w:type="gramStart"/>
      <w:r>
        <w:rPr>
          <w:highlight w:val="white"/>
        </w:rPr>
        <w:t>i.e.</w:t>
      </w:r>
      <w:proofErr w:type="gramEnd"/>
      <w:r>
        <w:rPr>
          <w:highlight w:val="white"/>
        </w:rPr>
        <w:t xml:space="preserv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w:t>
      </w:r>
      <w:proofErr w:type="gramStart"/>
      <w:r>
        <w:t>E.g.</w:t>
      </w:r>
      <w:proofErr w:type="gramEnd"/>
      <w:r>
        <w:t xml:space="preserve">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proofErr w:type="spellStart"/>
      <w:r w:rsidRPr="00DC39C5">
        <w:rPr>
          <w:u w:val="single"/>
        </w:rPr>
        <w:t>PollClaim</w:t>
      </w:r>
      <w:proofErr w:type="spellEnd"/>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w:t>
      </w:r>
      <w:proofErr w:type="gramStart"/>
      <w:r>
        <w:t>e.g.</w:t>
      </w:r>
      <w:proofErr w:type="gramEnd"/>
      <w:r>
        <w:t xml:space="preserve">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w:t>
      </w:r>
      <w:proofErr w:type="spellStart"/>
      <w:r>
        <w:t>Chaum</w:t>
      </w:r>
      <w:proofErr w:type="spellEnd"/>
      <w:r>
        <w:t>).</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w:t>
      </w:r>
      <w:proofErr w:type="gramStart"/>
      <w:r>
        <w:t>i.e.</w:t>
      </w:r>
      <w:proofErr w:type="gramEnd"/>
      <w:r>
        <w:t xml:space="preserv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29555902"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r w:rsidR="004A73FD">
        <w:rPr>
          <w:highlight w:val="white"/>
        </w:rPr>
        <w:t>, Michael Richardson.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22593</TotalTime>
  <Pages>1</Pages>
  <Words>12460</Words>
  <Characters>71028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1678</cp:revision>
  <dcterms:created xsi:type="dcterms:W3CDTF">2019-04-01T23:41:00Z</dcterms:created>
  <dcterms:modified xsi:type="dcterms:W3CDTF">2021-09-16T22:32:00Z</dcterms:modified>
</cp:coreProperties>
</file>