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EDB7D2E" w:rsidR="002E6DAA" w:rsidRPr="00272DD5" w:rsidRDefault="00B610FB" w:rsidP="002E6DAA">
      <w:pPr>
        <w:pStyle w:val="Title"/>
        <w:rPr>
          <w:highlight w:val="white"/>
        </w:rPr>
      </w:pPr>
      <w:r w:rsidRPr="00B610FB">
        <w:t xml:space="preserve">Mathematical Mesh 3.0 Part </w:t>
      </w:r>
      <w:r w:rsidR="00AC4797">
        <w:t>X</w:t>
      </w:r>
      <w:r w:rsidRPr="00B610FB">
        <w:t xml:space="preserve">: </w:t>
      </w:r>
      <w:r w:rsidR="00C33D53">
        <w:rPr>
          <w:highlight w:val="white"/>
        </w:rPr>
        <w:t>Mesh</w:t>
      </w:r>
      <w:r w:rsidR="00341E9C">
        <w:rPr>
          <w:highlight w:val="white"/>
        </w:rPr>
        <w:t xml:space="preserve"> </w:t>
      </w:r>
      <w:r w:rsidR="00AC4797">
        <w:rPr>
          <w:highlight w:val="white"/>
        </w:rPr>
        <w:t>Presence</w:t>
      </w:r>
      <w:r w:rsidR="001C0F65">
        <w:rPr>
          <w:highlight w:val="white"/>
        </w:rPr>
        <w:t xml:space="preserve"> Service</w:t>
      </w:r>
    </w:p>
    <w:p w14:paraId="72BC9DCF" w14:textId="3B1CD92F" w:rsidR="005D4ABB" w:rsidRPr="00272DD5" w:rsidRDefault="00BA1AC8" w:rsidP="002E6DAA">
      <w:pPr>
        <w:pStyle w:val="abbrev"/>
        <w:rPr>
          <w:highlight w:val="white"/>
        </w:rPr>
      </w:pPr>
      <w:r>
        <w:t>Mesh</w:t>
      </w:r>
      <w:r w:rsidR="00D66386" w:rsidRPr="00D66386">
        <w:t xml:space="preserve"> </w:t>
      </w:r>
      <w:r w:rsidR="00AC4797">
        <w:t>Presence</w:t>
      </w:r>
      <w:r w:rsidR="001C0F65">
        <w:t xml:space="preserve"> Service</w:t>
      </w:r>
    </w:p>
    <w:p w14:paraId="2223E9CE" w14:textId="6DE4EDAF"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AC4797">
        <w:rPr>
          <w:highlight w:val="white"/>
        </w:rPr>
        <w:t>presence</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2B352A38" w14:textId="77777777" w:rsidR="00AC4797" w:rsidRDefault="004B0227" w:rsidP="004B0227">
      <w:pPr>
        <w:pStyle w:val="Heading1"/>
        <w:rPr>
          <w:highlight w:val="white"/>
        </w:rPr>
      </w:pPr>
      <w:r>
        <w:rPr>
          <w:highlight w:val="white"/>
        </w:rPr>
        <w:t>Introduction</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lastRenderedPageBreak/>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Alice, Bob, Carol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party engaged in an active attack</w:t>
      </w:r>
    </w:p>
    <w:p w14:paraId="4E5A54F9" w14:textId="6584FCA2" w:rsidR="00864D1E" w:rsidRDefault="00864D1E" w:rsidP="00864D1E">
      <w:pPr>
        <w:pStyle w:val="DT"/>
      </w:pPr>
      <w:r>
        <w:lastRenderedPageBreak/>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151810D" w:rsidR="00FA0864" w:rsidRPr="00FA0864" w:rsidRDefault="00FA0864" w:rsidP="00FA0864">
      <w:pPr>
        <w:pStyle w:val="DD"/>
      </w:pPr>
      <w:r>
        <w:t>The callsign of the registry quartermaster.</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t>@Firstname_Lastname</w:t>
      </w:r>
    </w:p>
    <w:p w14:paraId="2ABA7DA1" w14:textId="3E5A670E" w:rsidR="004822CE" w:rsidRPr="004822CE" w:rsidRDefault="004822CE" w:rsidP="004822CE">
      <w:pPr>
        <w:pStyle w:val="DD"/>
        <w:rPr>
          <w:highlight w:val="white"/>
        </w:rPr>
      </w:pPr>
      <w:r>
        <w:rPr>
          <w:highlight w:val="white"/>
        </w:rPr>
        <w:t>A generic user whose name is 'Firstname Lastname'</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797"/>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13641</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66</cp:revision>
  <cp:lastPrinted>2019-12-19T16:12:00Z</cp:lastPrinted>
  <dcterms:created xsi:type="dcterms:W3CDTF">2020-02-26T20:31:00Z</dcterms:created>
  <dcterms:modified xsi:type="dcterms:W3CDTF">2022-03-03T21:47:00Z</dcterms:modified>
</cp:coreProperties>
</file>