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&lt;ipr&gt;trust200902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&lt;firstname&gt;Phillip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The Mesh Services are build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r>
        <w:t>Create</w:t>
      </w:r>
      <w:r w:rsidR="00C6250B">
        <w:t>Account, DeleteAccount</w:t>
      </w:r>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&lt;figuresvg="../Images/</w:t>
      </w:r>
      <w:r w:rsidR="003A6F59">
        <w:t>ProtocolLayering</w:t>
      </w:r>
      <w:r w:rsidRPr="00180DEE">
        <w:t>.svg"&gt;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Protocol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and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_mmm._tcp</w:t>
      </w:r>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non TLS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As specified in section yy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As specified in section zz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The HTTP response code. This is processed as described in section zz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As specified in section zz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object oriented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r w:rsidR="00647DBD" w:rsidRPr="00647DBD">
        <w:rPr>
          <w:u w:val="single"/>
        </w:rPr>
        <w:t>BindAccount</w:t>
      </w:r>
      <w:r w:rsidR="00647DBD">
        <w:t xml:space="preserve"> </w:t>
      </w:r>
      <w:r w:rsidRPr="00DD52A5">
        <w:t>transaction with the service.</w:t>
      </w:r>
    </w:p>
    <w:p w14:paraId="3FAD48CF" w14:textId="3EE72914" w:rsidR="00DD52A5" w:rsidRDefault="00DD52A5" w:rsidP="00DD52A5">
      <w:r w:rsidRPr="00DD52A5">
        <w:t>The</w:t>
      </w:r>
      <w:r w:rsidR="00C85D7E">
        <w:t xml:space="preserve"> </w:t>
      </w:r>
      <w:r w:rsidR="00647DBD">
        <w:rPr>
          <w:u w:val="single"/>
        </w:rPr>
        <w:t>Bind</w:t>
      </w:r>
      <w:r w:rsidR="00C85D7E" w:rsidRPr="00C85D7E">
        <w:rPr>
          <w:u w:val="single"/>
        </w:rPr>
        <w:t>Request</w:t>
      </w:r>
      <w:r w:rsidRPr="00DD52A5">
        <w:t xml:space="preserve"> </w:t>
      </w:r>
      <w:r w:rsidR="00C85D7E">
        <w:t xml:space="preserve">message </w:t>
      </w:r>
      <w:r w:rsidRPr="00DD52A5">
        <w:t xml:space="preserve">specifies the </w:t>
      </w:r>
      <w:r w:rsidR="00C85D7E">
        <w:t xml:space="preserve">account address and </w:t>
      </w:r>
      <w:r w:rsidRPr="00DD52A5">
        <w:rPr>
          <w:u w:val="single"/>
        </w:rPr>
        <w:t>ProfileUser</w:t>
      </w:r>
      <w:r>
        <w:rPr>
          <w:u w:val="single"/>
        </w:rPr>
        <w:t xml:space="preserve"> </w:t>
      </w:r>
      <w:r>
        <w:t>of the account to be serviced.</w:t>
      </w:r>
      <w:r w:rsidR="00C85D7E">
        <w:t xml:space="preserve"> </w:t>
      </w:r>
    </w:p>
    <w:p w14:paraId="2B2CAC70" w14:textId="52DF9C90" w:rsidR="00647DBD" w:rsidRDefault="00647DBD" w:rsidP="00DD52A5">
      <w:r>
        <w:t xml:space="preserve">The </w:t>
      </w:r>
      <w:r>
        <w:rPr>
          <w:u w:val="single"/>
        </w:rPr>
        <w:t>Bind</w:t>
      </w:r>
      <w:r w:rsidRPr="00647DBD">
        <w:rPr>
          <w:u w:val="single"/>
        </w:rPr>
        <w:t>Account</w:t>
      </w:r>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r w:rsidRPr="00647DBD">
        <w:t xml:space="preserve">CreateRequest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r w:rsidR="00647DBD">
        <w:t>Bind</w:t>
      </w:r>
      <w:r w:rsidRPr="00C85D7E">
        <w:t>Response</w:t>
      </w:r>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320D7">
      <w:pPr>
        <w:pStyle w:val="meta"/>
      </w:pPr>
      <w:r w:rsidRPr="00DD52A5">
        <w:t>&lt;include=..\Examples\ProtocolAccountCreate.md&gt;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Mesh Group Accounts are created in the same manner as user accounts except that a ProfileGroup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An account registration is deleted using the</w:t>
      </w:r>
      <w:r w:rsidR="00647DBD">
        <w:rPr>
          <w:u w:val="single"/>
        </w:rPr>
        <w:t>Unbind</w:t>
      </w:r>
      <w:r w:rsidRPr="00DD52A5">
        <w:rPr>
          <w:u w:val="single"/>
        </w:rPr>
        <w:t>Account</w:t>
      </w:r>
      <w:r w:rsidRPr="00DD52A5">
        <w:t xml:space="preserve"> transaction.</w:t>
      </w:r>
    </w:p>
    <w:p w14:paraId="298DF1B0" w14:textId="77777777" w:rsidR="00DD52A5" w:rsidRPr="00DD52A5" w:rsidRDefault="00DD52A5" w:rsidP="00D320D7">
      <w:pPr>
        <w:pStyle w:val="meta"/>
      </w:pPr>
      <w:r w:rsidRPr="00DD52A5">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Clients may request container updates be filtered to redact catalog entries that have been updated or deleted or spool entries that have been read, deleted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r w:rsidRPr="001803A6">
        <w:rPr>
          <w:u w:val="single"/>
        </w:rPr>
        <w:t>TransactRequest</w:t>
      </w:r>
      <w:r>
        <w:t xml:space="preserve"> message to ensure that processing time does not degrade performance for other users.</w:t>
      </w:r>
    </w:p>
    <w:p w14:paraId="7218544C" w14:textId="77777777" w:rsidR="001803A6" w:rsidRPr="001803A6" w:rsidRDefault="001803A6" w:rsidP="00DA7E5F">
      <w:pPr>
        <w:pStyle w:val="meta"/>
      </w:pPr>
      <w:r w:rsidRPr="001803A6">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To enable effective abuse mitigation, Mesh Messaging enforces a four corner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&lt;figuresvg="../Images/ArchFourCorner.svg"&gt;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DA7E5F">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completinin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 xml:space="preserve">claim request contains a </w:t>
      </w:r>
      <w:r w:rsidR="006C1AFE" w:rsidRPr="00534E34">
        <w:rPr>
          <w:u w:val="single"/>
        </w:rPr>
        <w:t>MessageClaim</w:t>
      </w:r>
      <w:r w:rsidR="006C1AFE">
        <w:t xml:space="preserve">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&lt;include=..\Examples\Protocol</w:t>
      </w:r>
      <w:r w:rsidR="00905526">
        <w:t>Poll</w:t>
      </w:r>
      <w:r>
        <w:t>Claim</w:t>
      </w:r>
      <w:r w:rsidRPr="00DB5AE6">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r w:rsidRPr="0093236D">
        <w:rPr>
          <w:u w:val="single"/>
        </w:rPr>
        <w:t>CryptographicOperationShare</w:t>
      </w:r>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r w:rsidR="0093236D" w:rsidRPr="0093236D">
        <w:rPr>
          <w:u w:val="single"/>
        </w:rPr>
        <w:t>CryptographicResultShare</w:t>
      </w:r>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r w:rsidRPr="0093236D">
        <w:t>CryptographicOperationKeyAgreement</w:t>
      </w:r>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1770F350" w:rsidR="00FB4846" w:rsidRDefault="00FB4846" w:rsidP="0040323E">
      <w:pPr>
        <w:pStyle w:val="Heading1"/>
      </w:pPr>
      <w:r>
        <w:t>Messag</w:t>
      </w:r>
      <w:r w:rsidR="00D25555">
        <w:t>e</w:t>
      </w:r>
      <w:r>
        <w:t xml:space="preserve"> </w:t>
      </w:r>
      <w:r w:rsidR="00757567">
        <w:t>Interactions</w:t>
      </w:r>
    </w:p>
    <w:p w14:paraId="323462A9" w14:textId="7CFB1149" w:rsidR="00C6332D" w:rsidRDefault="00C6332D" w:rsidP="00C6332D">
      <w:r>
        <w:t xml:space="preserve">Message </w:t>
      </w:r>
      <w:r w:rsidR="00757567">
        <w:t>interactions</w:t>
      </w:r>
      <w:r>
        <w:t xml:space="preserve">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r w:rsidR="00757567">
        <w:t xml:space="preserve"> </w:t>
      </w:r>
    </w:p>
    <w:p w14:paraId="6974C3E8" w14:textId="7684151C" w:rsidR="0089387C"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625A3FA0" w14:textId="062BA1E2" w:rsidR="008A76C6" w:rsidRDefault="00757567" w:rsidP="008A76C6">
      <w:pPr>
        <w:pStyle w:val="Heading2"/>
      </w:pPr>
      <w:r>
        <w:t xml:space="preserve">Message </w:t>
      </w:r>
      <w:r w:rsidR="008A76C6">
        <w:t xml:space="preserve">PIN </w:t>
      </w:r>
      <w:r>
        <w:t>Interaction</w:t>
      </w:r>
    </w:p>
    <w:p w14:paraId="4DA0E44A" w14:textId="2C97C474" w:rsidR="00757567" w:rsidRDefault="008A76C6" w:rsidP="008A76C6">
      <w:r>
        <w:t xml:space="preserve">The </w:t>
      </w:r>
      <w:r w:rsidR="00757567" w:rsidRPr="00757567">
        <w:t xml:space="preserve">Message </w:t>
      </w:r>
      <w:r>
        <w:t xml:space="preserve">PIN </w:t>
      </w:r>
      <w:r w:rsidR="00757567">
        <w:t>Interaction</w:t>
      </w:r>
      <w:r>
        <w:t xml:space="preserve"> is used to register and validate PIN codes used to authenticate </w:t>
      </w:r>
      <w:r w:rsidR="00757567">
        <w:t>certain transactions</w:t>
      </w:r>
      <w:r>
        <w:t xml:space="preserve">. </w:t>
      </w:r>
      <w:r w:rsidR="00757567">
        <w:t>This interaction allows a PIN code issued by one device to be consumed by another allowing for greater convenience in managing devices or contact exchange.</w:t>
      </w:r>
    </w:p>
    <w:p w14:paraId="55586E7B" w14:textId="6F17910C" w:rsidR="00757567" w:rsidRDefault="00757567" w:rsidP="008A76C6">
      <w:r>
        <w:t>For example, Alice might delegate the PIN code issue privilege to her mobile device without delegating the administration privilege to that device. This would allow Alice to use her mobile device to initiate the connection of a large number of devices to her Mesh</w:t>
      </w:r>
      <w:r w:rsidR="002D1DFA">
        <w:t xml:space="preserve"> as her house is being built </w:t>
      </w:r>
      <w:r>
        <w:t xml:space="preserve">and approve them </w:t>
      </w:r>
      <w:r w:rsidR="002D1DFA">
        <w:t>later using her administrative device.</w:t>
      </w:r>
    </w:p>
    <w:p w14:paraId="76245D63" w14:textId="2EC95B97" w:rsidR="002600E3" w:rsidRDefault="002600E3" w:rsidP="008A76C6">
      <w:r>
        <w:t>Use of the Message PIN interaction is optional. An application that issues a PIN code to authenticate a message MAY store the PIN value within the application without persisting it to external storage.</w:t>
      </w:r>
    </w:p>
    <w:p w14:paraId="4C5F2F94" w14:textId="77777777" w:rsidR="008A76C6" w:rsidRDefault="008A76C6" w:rsidP="008A76C6">
      <w:r>
        <w:t xml:space="preserve">Derivation of the SaltedPin, MessageId and Witness values from their respective inputs is described in the </w:t>
      </w:r>
      <w:r w:rsidRPr="00820426">
        <w:t>Schema Reference &lt;norm="draft-hallambaker-mesh-schema"/&gt;</w:t>
      </w:r>
      <w:r>
        <w:t>.</w:t>
      </w:r>
    </w:p>
    <w:p w14:paraId="0EE718A4" w14:textId="77777777" w:rsidR="008A76C6" w:rsidRDefault="008A76C6" w:rsidP="008A76C6">
      <w:pPr>
        <w:pStyle w:val="Heading3"/>
      </w:pPr>
      <w:r>
        <w:t>Registration</w:t>
      </w:r>
    </w:p>
    <w:p w14:paraId="52A900B4" w14:textId="77777777" w:rsidR="008A76C6" w:rsidRDefault="008A76C6" w:rsidP="008A76C6">
      <w:r>
        <w:t xml:space="preserve">To register a PIN code to an </w:t>
      </w:r>
      <w:r w:rsidRPr="00D25555">
        <w:rPr>
          <w:u w:val="single"/>
        </w:rPr>
        <w:t>Account</w:t>
      </w:r>
      <w:r>
        <w:t>, a device:</w:t>
      </w:r>
    </w:p>
    <w:p w14:paraId="388CCAEA" w14:textId="77777777" w:rsidR="008A76C6" w:rsidRDefault="008A76C6" w:rsidP="008A76C6">
      <w:pPr>
        <w:pStyle w:val="li"/>
      </w:pPr>
      <w:r>
        <w:t xml:space="preserve">Generates the </w:t>
      </w:r>
      <w:r w:rsidRPr="00D25555">
        <w:rPr>
          <w:u w:val="single"/>
        </w:rPr>
        <w:t>PIN</w:t>
      </w:r>
      <w:r>
        <w:t xml:space="preserve"> code value</w:t>
      </w:r>
    </w:p>
    <w:p w14:paraId="0C513E77" w14:textId="77777777" w:rsidR="008A76C6" w:rsidRDefault="008A76C6" w:rsidP="008A76C6">
      <w:pPr>
        <w:pStyle w:val="li"/>
      </w:pPr>
      <w:r>
        <w:t xml:space="preserve">Calculates the </w:t>
      </w:r>
      <w:r w:rsidRPr="00D25555">
        <w:rPr>
          <w:u w:val="single"/>
        </w:rPr>
        <w:t>SaltedP</w:t>
      </w:r>
      <w:r>
        <w:rPr>
          <w:u w:val="single"/>
        </w:rPr>
        <w:t>in</w:t>
      </w:r>
      <w:r>
        <w:t xml:space="preserve"> value for the specified </w:t>
      </w:r>
      <w:r>
        <w:rPr>
          <w:u w:val="single"/>
        </w:rPr>
        <w:t>A</w:t>
      </w:r>
      <w:r w:rsidRPr="00D25555">
        <w:rPr>
          <w:u w:val="single"/>
        </w:rPr>
        <w:t>ction</w:t>
      </w:r>
    </w:p>
    <w:p w14:paraId="23D60B56" w14:textId="77777777" w:rsidR="008A76C6" w:rsidRDefault="008A76C6" w:rsidP="008A76C6">
      <w:pPr>
        <w:pStyle w:val="li"/>
      </w:pPr>
      <w:r>
        <w:t xml:space="preserve">Calculates the </w:t>
      </w:r>
      <w:r>
        <w:rPr>
          <w:u w:val="single"/>
        </w:rPr>
        <w:t>Pin</w:t>
      </w:r>
      <w:r w:rsidRPr="00D25555">
        <w:rPr>
          <w:u w:val="single"/>
        </w:rPr>
        <w:t>Id</w:t>
      </w:r>
      <w:r>
        <w:t xml:space="preserve"> binding the specified </w:t>
      </w:r>
      <w:r w:rsidRPr="00C6332D">
        <w:rPr>
          <w:u w:val="single"/>
        </w:rPr>
        <w:t xml:space="preserve">SaltedPin </w:t>
      </w:r>
      <w:r>
        <w:t xml:space="preserve">to the </w:t>
      </w:r>
      <w:r w:rsidRPr="00C6332D">
        <w:rPr>
          <w:u w:val="single"/>
        </w:rPr>
        <w:t>Account</w:t>
      </w:r>
      <w:r>
        <w:t>.</w:t>
      </w:r>
    </w:p>
    <w:p w14:paraId="657DAD3E" w14:textId="77777777" w:rsidR="008A76C6" w:rsidRDefault="008A76C6" w:rsidP="008A76C6">
      <w:pPr>
        <w:pStyle w:val="li"/>
      </w:pPr>
      <w:r>
        <w:t xml:space="preserve">Creates and signs </w:t>
      </w:r>
      <w:r w:rsidRPr="00D25555">
        <w:rPr>
          <w:u w:val="single"/>
        </w:rPr>
        <w:t>MessageP</w:t>
      </w:r>
      <w:r>
        <w:rPr>
          <w:u w:val="single"/>
        </w:rPr>
        <w:t>in</w:t>
      </w:r>
      <w:r>
        <w:t xml:space="preserve"> containing the </w:t>
      </w:r>
      <w:r w:rsidRPr="00C6332D">
        <w:rPr>
          <w:u w:val="single"/>
        </w:rPr>
        <w:t xml:space="preserve">SaltedPin </w:t>
      </w:r>
      <w:r>
        <w:t xml:space="preserve">, </w:t>
      </w:r>
      <w:r w:rsidRPr="00D25555">
        <w:rPr>
          <w:u w:val="single"/>
        </w:rPr>
        <w:t>Action</w:t>
      </w:r>
      <w:r>
        <w:t xml:space="preserve"> and </w:t>
      </w:r>
      <w:r w:rsidRPr="00D25555">
        <w:rPr>
          <w:u w:val="single"/>
        </w:rPr>
        <w:t>Account</w:t>
      </w:r>
      <w:r>
        <w:t xml:space="preserve"> values with the </w:t>
      </w:r>
      <w:r w:rsidRPr="00D25555">
        <w:rPr>
          <w:u w:val="single"/>
        </w:rPr>
        <w:t>MessageId</w:t>
      </w:r>
      <w:r>
        <w:t xml:space="preserve"> value </w:t>
      </w:r>
      <w:r w:rsidRPr="00CF5279">
        <w:rPr>
          <w:u w:val="single"/>
        </w:rPr>
        <w:t>PinId</w:t>
      </w:r>
      <w:r>
        <w:t>.</w:t>
      </w:r>
    </w:p>
    <w:p w14:paraId="216C1CE9" w14:textId="77777777" w:rsidR="008A76C6" w:rsidRDefault="008A76C6" w:rsidP="008A76C6">
      <w:pPr>
        <w:pStyle w:val="li"/>
      </w:pPr>
      <w:r>
        <w:t xml:space="preserve">Appends the </w:t>
      </w:r>
      <w:r w:rsidRPr="00C6332D">
        <w:rPr>
          <w:u w:val="single"/>
        </w:rPr>
        <w:t xml:space="preserve">MessagePin </w:t>
      </w:r>
      <w:r>
        <w:t xml:space="preserve">value to the </w:t>
      </w:r>
      <w:r w:rsidRPr="00C6332D">
        <w:rPr>
          <w:u w:val="single"/>
        </w:rPr>
        <w:t>Administration</w:t>
      </w:r>
      <w:r>
        <w:t xml:space="preserve"> Spool of the </w:t>
      </w:r>
      <w:r w:rsidRPr="00C6332D">
        <w:rPr>
          <w:u w:val="single"/>
        </w:rPr>
        <w:t>Account</w:t>
      </w:r>
      <w:r>
        <w:t>.</w:t>
      </w:r>
    </w:p>
    <w:p w14:paraId="4B9DD403" w14:textId="77777777" w:rsidR="008A76C6" w:rsidRDefault="008A76C6" w:rsidP="008A76C6">
      <w:r>
        <w:t xml:space="preserve">Note that this construction provides limited protection against forgery attacks by a party with access to the </w:t>
      </w:r>
      <w:r w:rsidRPr="00820426">
        <w:rPr>
          <w:u w:val="single"/>
        </w:rPr>
        <w:t>MessagePin</w:t>
      </w:r>
      <w:r>
        <w:t xml:space="preserve">. A party with such access can use it to construct the witness value required to authenticate a request. </w:t>
      </w:r>
    </w:p>
    <w:p w14:paraId="00DB47DE" w14:textId="77777777" w:rsidR="008A76C6" w:rsidRDefault="008A76C6" w:rsidP="008A76C6">
      <w:r>
        <w:t xml:space="preserve">PIN Code values consist of an opaque sequence of octets represented as a UDF nonce value. Codes are presented in canonical UDF form, i.e. Base32 encoding separated into groups of 4 characters. The PIN value is converted to binary form for calculation of the </w:t>
      </w:r>
      <w:r w:rsidRPr="00D25555">
        <w:rPr>
          <w:u w:val="single"/>
        </w:rPr>
        <w:t>SaltedP</w:t>
      </w:r>
      <w:r>
        <w:rPr>
          <w:u w:val="single"/>
        </w:rPr>
        <w:t>in</w:t>
      </w:r>
      <w:r>
        <w:t>, thus ensuring that the canonical form of the PIN value is used.</w:t>
      </w:r>
    </w:p>
    <w:p w14:paraId="7760BBC7" w14:textId="77777777" w:rsidR="008A76C6" w:rsidRDefault="008A76C6" w:rsidP="008A76C6">
      <w:pPr>
        <w:pStyle w:val="Heading3"/>
      </w:pPr>
      <w:r>
        <w:t>Authentication</w:t>
      </w:r>
    </w:p>
    <w:p w14:paraId="5510C0F9" w14:textId="77777777" w:rsidR="008A76C6" w:rsidRDefault="008A76C6" w:rsidP="008A76C6">
      <w:r>
        <w:t xml:space="preserve">The PIN Code value is passed out of band to a user who will enter it into a device to authenticate a request made to the issuer. </w:t>
      </w:r>
    </w:p>
    <w:p w14:paraId="7EC7E340" w14:textId="77777777" w:rsidR="008A76C6" w:rsidRDefault="008A76C6" w:rsidP="008A76C6">
      <w:r>
        <w:t xml:space="preserve">A request that MAY be validated by means of a PIN is a subclass of </w:t>
      </w:r>
      <w:r w:rsidRPr="000814DA">
        <w:t>MessagePinValidated</w:t>
      </w:r>
      <w:r>
        <w:t xml:space="preserve"> and contains the following fields:</w:t>
      </w:r>
    </w:p>
    <w:p w14:paraId="55660370" w14:textId="77777777" w:rsidR="008A76C6" w:rsidRDefault="008A76C6" w:rsidP="008A76C6">
      <w:pPr>
        <w:pStyle w:val="DT"/>
      </w:pPr>
      <w:r w:rsidRPr="000814DA">
        <w:t>AuthenticatedData</w:t>
      </w:r>
    </w:p>
    <w:p w14:paraId="459EBCD3" w14:textId="77777777" w:rsidR="008A76C6" w:rsidRDefault="008A76C6" w:rsidP="008A76C6">
      <w:pPr>
        <w:pStyle w:val="DD"/>
      </w:pPr>
      <w:r>
        <w:t>A DARE Envelope containing the data that is authenticated.</w:t>
      </w:r>
    </w:p>
    <w:p w14:paraId="75BEBC06" w14:textId="77777777" w:rsidR="008A76C6" w:rsidRDefault="008A76C6" w:rsidP="008A76C6">
      <w:pPr>
        <w:pStyle w:val="DT"/>
      </w:pPr>
      <w:r w:rsidRPr="000814DA">
        <w:t>ClientNonce</w:t>
      </w:r>
    </w:p>
    <w:p w14:paraId="3140160F" w14:textId="77777777" w:rsidR="008A76C6" w:rsidRDefault="008A76C6" w:rsidP="008A76C6">
      <w:pPr>
        <w:pStyle w:val="DD"/>
      </w:pPr>
      <w:r>
        <w:t>A nonce value used to prevent certain replay attacks.</w:t>
      </w:r>
    </w:p>
    <w:p w14:paraId="029B1C3D" w14:textId="77777777" w:rsidR="008A76C6" w:rsidRDefault="008A76C6" w:rsidP="008A76C6">
      <w:pPr>
        <w:pStyle w:val="DT"/>
      </w:pPr>
      <w:r w:rsidRPr="00CF5279">
        <w:t>Pin</w:t>
      </w:r>
      <w:r>
        <w:t>Id</w:t>
      </w:r>
    </w:p>
    <w:p w14:paraId="1396FB06" w14:textId="77777777" w:rsidR="008A76C6" w:rsidRDefault="008A76C6" w:rsidP="008A76C6">
      <w:pPr>
        <w:pStyle w:val="DD"/>
      </w:pPr>
      <w:r>
        <w:t xml:space="preserve">Digest value binding the </w:t>
      </w:r>
      <w:r w:rsidRPr="00C6332D">
        <w:rPr>
          <w:u w:val="single"/>
        </w:rPr>
        <w:t xml:space="preserve">SaltedPin </w:t>
      </w:r>
      <w:r>
        <w:t xml:space="preserve">to the </w:t>
      </w:r>
      <w:r w:rsidRPr="00C6332D">
        <w:rPr>
          <w:u w:val="single"/>
        </w:rPr>
        <w:t>Account</w:t>
      </w:r>
      <w:r>
        <w:t>.</w:t>
      </w:r>
    </w:p>
    <w:p w14:paraId="2228C4C3" w14:textId="77777777" w:rsidR="008A76C6" w:rsidRDefault="008A76C6" w:rsidP="008A76C6">
      <w:pPr>
        <w:pStyle w:val="DT"/>
      </w:pPr>
      <w:r w:rsidRPr="00CF5279">
        <w:t>PinWitness</w:t>
      </w:r>
    </w:p>
    <w:p w14:paraId="1111446F" w14:textId="77777777" w:rsidR="008A76C6" w:rsidRPr="00CF5279" w:rsidRDefault="008A76C6" w:rsidP="008A76C6">
      <w:pPr>
        <w:pStyle w:val="DD"/>
      </w:pPr>
      <w:r w:rsidRPr="00CF5279">
        <w:t>Witness value calculated as KDF (Device.UDF + AccountAddress, ClientNonce)</w:t>
      </w:r>
    </w:p>
    <w:p w14:paraId="5E7B16C3" w14:textId="77777777" w:rsidR="008A76C6" w:rsidRPr="00820426" w:rsidRDefault="008A76C6" w:rsidP="008A76C6">
      <w:r>
        <w:t xml:space="preserve">The device uses the PIN code and Action identifier corresponding to the desired request to calculate the </w:t>
      </w:r>
      <w:r w:rsidRPr="000814DA">
        <w:rPr>
          <w:u w:val="single"/>
        </w:rPr>
        <w:t>SaltedPin</w:t>
      </w:r>
      <w:r>
        <w:t xml:space="preserve"> value in the same manner as during registration. This value is then used to calculate the </w:t>
      </w:r>
      <w:r w:rsidRPr="00CF5279">
        <w:rPr>
          <w:u w:val="single"/>
        </w:rPr>
        <w:t>PinId</w:t>
      </w:r>
      <w:r>
        <w:t xml:space="preserve"> and </w:t>
      </w:r>
      <w:r w:rsidRPr="00CF5279">
        <w:rPr>
          <w:u w:val="single"/>
        </w:rPr>
        <w:t>PinWitness</w:t>
      </w:r>
      <w:r>
        <w:t xml:space="preserve"> values.</w:t>
      </w:r>
    </w:p>
    <w:p w14:paraId="332518C6" w14:textId="77777777" w:rsidR="008A76C6" w:rsidRDefault="008A76C6" w:rsidP="008A76C6">
      <w:pPr>
        <w:pStyle w:val="Heading3"/>
      </w:pPr>
      <w:r>
        <w:t>Validation</w:t>
      </w:r>
    </w:p>
    <w:p w14:paraId="313426EB" w14:textId="77777777" w:rsidR="008A76C6" w:rsidRDefault="008A76C6" w:rsidP="008A76C6">
      <w:r>
        <w:t>The PIN code is validated by performing the steps of:</w:t>
      </w:r>
    </w:p>
    <w:p w14:paraId="38C5C7AF" w14:textId="77777777" w:rsidR="008A76C6" w:rsidRDefault="008A76C6" w:rsidP="008A76C6">
      <w:pPr>
        <w:pStyle w:val="li"/>
      </w:pPr>
      <w:r>
        <w:t xml:space="preserve">Calculating the </w:t>
      </w:r>
      <w:r w:rsidRPr="007B3411">
        <w:rPr>
          <w:u w:val="single"/>
        </w:rPr>
        <w:t>SaltedPin</w:t>
      </w:r>
      <w:r w:rsidRPr="00CF5279">
        <w:t xml:space="preserve"> </w:t>
      </w:r>
      <w:r>
        <w:t xml:space="preserve">value from the PIN code and </w:t>
      </w:r>
      <w:r w:rsidRPr="007B3411">
        <w:rPr>
          <w:u w:val="single"/>
        </w:rPr>
        <w:t>Action</w:t>
      </w:r>
    </w:p>
    <w:p w14:paraId="168A54E6" w14:textId="77777777" w:rsidR="008A76C6" w:rsidRDefault="008A76C6" w:rsidP="008A76C6">
      <w:pPr>
        <w:pStyle w:val="li"/>
      </w:pPr>
      <w:r>
        <w:t xml:space="preserve">Calculating </w:t>
      </w:r>
      <w:r w:rsidRPr="007B3411">
        <w:rPr>
          <w:u w:val="single"/>
        </w:rPr>
        <w:t>PinId</w:t>
      </w:r>
      <w:r>
        <w:t xml:space="preserve"> from </w:t>
      </w:r>
      <w:r w:rsidRPr="007B3411">
        <w:rPr>
          <w:u w:val="single"/>
        </w:rPr>
        <w:t>SaltedPin</w:t>
      </w:r>
      <w:r w:rsidRPr="00CF5279">
        <w:t xml:space="preserve"> </w:t>
      </w:r>
      <w:r>
        <w:t xml:space="preserve"> and </w:t>
      </w:r>
      <w:r w:rsidRPr="007B3411">
        <w:rPr>
          <w:u w:val="single"/>
        </w:rPr>
        <w:t>Account</w:t>
      </w:r>
    </w:p>
    <w:p w14:paraId="53E7CA9A" w14:textId="77777777" w:rsidR="008A76C6" w:rsidRDefault="008A76C6" w:rsidP="008A76C6">
      <w:pPr>
        <w:pStyle w:val="li"/>
      </w:pPr>
      <w:r>
        <w:t xml:space="preserve">Retrieving a </w:t>
      </w:r>
      <w:r w:rsidRPr="007B3411">
        <w:rPr>
          <w:u w:val="single"/>
        </w:rPr>
        <w:t>MessagePin</w:t>
      </w:r>
      <w:r>
        <w:t xml:space="preserve"> from the Administration spool with the </w:t>
      </w:r>
      <w:r w:rsidRPr="007B3411">
        <w:rPr>
          <w:u w:val="single"/>
        </w:rPr>
        <w:t>MessageId</w:t>
      </w:r>
      <w:r>
        <w:t xml:space="preserve"> </w:t>
      </w:r>
      <w:r w:rsidRPr="007B3411">
        <w:rPr>
          <w:u w:val="single"/>
        </w:rPr>
        <w:t>PinId</w:t>
      </w:r>
      <w:r>
        <w:t>.</w:t>
      </w:r>
    </w:p>
    <w:p w14:paraId="7E5467FC" w14:textId="77777777" w:rsidR="008A76C6" w:rsidRDefault="008A76C6" w:rsidP="008A76C6">
      <w:pPr>
        <w:pStyle w:val="li"/>
      </w:pPr>
      <w:r>
        <w:t xml:space="preserve">Calculating the </w:t>
      </w:r>
      <w:bookmarkStart w:id="4" w:name="_Hlk52285671"/>
      <w:r w:rsidRPr="007B3411">
        <w:rPr>
          <w:u w:val="single"/>
        </w:rPr>
        <w:t>PinWitness</w:t>
      </w:r>
      <w:r>
        <w:t xml:space="preserve"> </w:t>
      </w:r>
      <w:bookmarkEnd w:id="4"/>
      <w:r>
        <w:t xml:space="preserve">value from </w:t>
      </w:r>
      <w:r w:rsidRPr="007B3411">
        <w:rPr>
          <w:u w:val="single"/>
        </w:rPr>
        <w:t>SaltedPin</w:t>
      </w:r>
      <w:r>
        <w:t xml:space="preserve">, </w:t>
      </w:r>
      <w:r w:rsidRPr="007B3411">
        <w:rPr>
          <w:u w:val="single"/>
        </w:rPr>
        <w:t>ClientNonce</w:t>
      </w:r>
      <w:r>
        <w:t xml:space="preserve"> and </w:t>
      </w:r>
      <w:r w:rsidRPr="007B3411">
        <w:rPr>
          <w:u w:val="single"/>
        </w:rPr>
        <w:t>AuthenticatedData</w:t>
      </w:r>
      <w:r>
        <w:t xml:space="preserve"> and checking this matches the value specified in the message.</w:t>
      </w:r>
    </w:p>
    <w:p w14:paraId="072619EC" w14:textId="77777777" w:rsidR="008A76C6" w:rsidRDefault="008A76C6" w:rsidP="008A76C6">
      <w:pPr>
        <w:pStyle w:val="li"/>
      </w:pPr>
      <w:r>
        <w:t>Performing the requested action.</w:t>
      </w:r>
    </w:p>
    <w:p w14:paraId="5BBD3173" w14:textId="77777777" w:rsidR="008A76C6" w:rsidRDefault="008A76C6" w:rsidP="008A76C6">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041EE3E5" w14:textId="77777777" w:rsidR="008A76C6" w:rsidRDefault="008A76C6" w:rsidP="008A76C6">
      <w:r>
        <w:t>This process can fail at multiple points resulting in different error results:</w:t>
      </w:r>
    </w:p>
    <w:p w14:paraId="301976DF" w14:textId="77777777" w:rsidR="008A76C6" w:rsidRPr="007B3411" w:rsidRDefault="008A76C6" w:rsidP="008A76C6">
      <w:pPr>
        <w:pStyle w:val="DT"/>
        <w:rPr>
          <w:u w:val="single"/>
        </w:rPr>
      </w:pPr>
      <w:r w:rsidRPr="007B3411">
        <w:rPr>
          <w:u w:val="single"/>
        </w:rPr>
        <w:t>PinInvalid</w:t>
      </w:r>
    </w:p>
    <w:p w14:paraId="5BF22912" w14:textId="77777777" w:rsidR="008A76C6" w:rsidRDefault="008A76C6" w:rsidP="008A76C6">
      <w:pPr>
        <w:pStyle w:val="DD"/>
      </w:pPr>
      <w:r>
        <w:t xml:space="preserve">No PIN code is specified, the Pin code indicates an unsupported algorithm or the calculated </w:t>
      </w:r>
      <w:r w:rsidRPr="007B3411">
        <w:rPr>
          <w:u w:val="single"/>
        </w:rPr>
        <w:t>PinWitness</w:t>
      </w:r>
      <w:r w:rsidRPr="007B3411">
        <w:t xml:space="preserve"> </w:t>
      </w:r>
      <w:r>
        <w:t>does not match the one specified by the request.</w:t>
      </w:r>
    </w:p>
    <w:p w14:paraId="741E6C21" w14:textId="77777777" w:rsidR="008A76C6" w:rsidRPr="007B3411" w:rsidRDefault="008A76C6" w:rsidP="008A76C6">
      <w:pPr>
        <w:pStyle w:val="DT"/>
        <w:rPr>
          <w:u w:val="single"/>
        </w:rPr>
      </w:pPr>
      <w:r w:rsidRPr="007B3411">
        <w:rPr>
          <w:u w:val="single"/>
        </w:rPr>
        <w:t>PinUsed</w:t>
      </w:r>
    </w:p>
    <w:p w14:paraId="4E2730F6" w14:textId="77777777" w:rsidR="008A76C6" w:rsidRDefault="008A76C6" w:rsidP="008A76C6">
      <w:pPr>
        <w:pStyle w:val="DD"/>
      </w:pPr>
      <w:r>
        <w:t>The PIN code has been used previously.</w:t>
      </w:r>
    </w:p>
    <w:p w14:paraId="508E3AB0" w14:textId="77777777" w:rsidR="008A76C6" w:rsidRPr="007B3411" w:rsidRDefault="008A76C6" w:rsidP="008A76C6">
      <w:pPr>
        <w:pStyle w:val="DT"/>
        <w:rPr>
          <w:u w:val="single"/>
        </w:rPr>
      </w:pPr>
      <w:r w:rsidRPr="007B3411">
        <w:rPr>
          <w:u w:val="single"/>
        </w:rPr>
        <w:t>PinExpired</w:t>
      </w:r>
    </w:p>
    <w:p w14:paraId="7B6E4C4C" w14:textId="77777777" w:rsidR="008A76C6" w:rsidRDefault="008A76C6" w:rsidP="008A76C6">
      <w:pPr>
        <w:pStyle w:val="DD"/>
      </w:pPr>
      <w:r>
        <w:t>The PIN code is no longer valid.</w:t>
      </w:r>
    </w:p>
    <w:p w14:paraId="5172020F" w14:textId="77777777" w:rsidR="008A76C6" w:rsidRDefault="008A76C6" w:rsidP="008A76C6">
      <w:r>
        <w:t>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considered and appropriate action taken.</w:t>
      </w:r>
    </w:p>
    <w:p w14:paraId="1DC5DC6F" w14:textId="77777777" w:rsidR="008A76C6" w:rsidRPr="007B3411" w:rsidRDefault="008A76C6" w:rsidP="008A76C6">
      <w:pPr>
        <w:pStyle w:val="Heading3"/>
      </w:pPr>
      <w:r>
        <w:t>Example</w:t>
      </w:r>
    </w:p>
    <w:p w14:paraId="4AA63FC7" w14:textId="77777777" w:rsidR="008A76C6" w:rsidRDefault="008A76C6" w:rsidP="008A76C6">
      <w:pPr>
        <w:pStyle w:val="meta"/>
      </w:pPr>
      <w:r>
        <w:t>&lt;include=..\</w:t>
      </w:r>
      <w:r w:rsidRPr="00433699">
        <w:t>Examples\Protocol</w:t>
      </w:r>
      <w:r>
        <w:t>MessagePIN.md&gt;</w:t>
      </w:r>
    </w:p>
    <w:p w14:paraId="7034C1BE" w14:textId="3DBC1EB5" w:rsidR="00B61273" w:rsidRDefault="00B61273" w:rsidP="00B61273">
      <w:pPr>
        <w:pStyle w:val="Heading2"/>
      </w:pPr>
      <w:r>
        <w:t xml:space="preserve">Completion </w:t>
      </w:r>
      <w:r w:rsidR="00BF717B" w:rsidRPr="00BF717B">
        <w:t>Interaction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2A52F446" w14:textId="77777777" w:rsidR="00B61273" w:rsidRPr="00B54340" w:rsidRDefault="00B61273" w:rsidP="00B61273">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770C957" w:rsidR="0084020B" w:rsidRDefault="00B61273" w:rsidP="00B61273">
      <w:pPr>
        <w:pStyle w:val="meta"/>
      </w:pPr>
      <w:r>
        <w:t>&lt;include=..\</w:t>
      </w:r>
      <w:r w:rsidRPr="00433699">
        <w:t>Examples\</w:t>
      </w:r>
      <w:r>
        <w:t>SchemaMessageCompletion.md&gt;</w:t>
      </w:r>
    </w:p>
    <w:p w14:paraId="58027243" w14:textId="7F29FCF3" w:rsidR="0084020B" w:rsidRPr="00C6332D" w:rsidRDefault="0084020B" w:rsidP="0084020B">
      <w:r>
        <w:t>The completion message is added to the spool in the same upload transaction that adds the device to the device catalog. This ensures that both operations occur or neither occurs.</w:t>
      </w:r>
    </w:p>
    <w:p w14:paraId="0758B23C" w14:textId="37544B35" w:rsidR="00DE010E" w:rsidRDefault="00DE010E" w:rsidP="0089387C">
      <w:pPr>
        <w:pStyle w:val="Heading2"/>
      </w:pPr>
      <w:r>
        <w:t>Contact Exchange</w:t>
      </w:r>
      <w:r w:rsidR="0089387C">
        <w:t xml:space="preserve"> </w:t>
      </w:r>
      <w:r w:rsidR="002600E3">
        <w:t>Interaction</w:t>
      </w:r>
    </w:p>
    <w:p w14:paraId="5DD20738" w14:textId="2A533649" w:rsidR="00402BFF" w:rsidRDefault="00402BFF" w:rsidP="0089387C">
      <w:r>
        <w:t xml:space="preserve">The contact exchange </w:t>
      </w:r>
      <w:r w:rsidR="002600E3">
        <w:t>interaction</w:t>
      </w:r>
      <w:r>
        <w:t xml:space="preserve">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(e.g. telephone, SMS, xmpp, SMTP, OpenPGP, S/MIME, etc).</w:t>
      </w:r>
    </w:p>
    <w:p w14:paraId="4080C984" w14:textId="19B0EECE" w:rsidR="00D27417" w:rsidRDefault="00D27417" w:rsidP="0089387C">
      <w:pPr>
        <w:pStyle w:val="li"/>
      </w:pPr>
      <w:r>
        <w:t>To request that the recipient grant privileges to accept certain types of messages from the contact subject.</w:t>
      </w:r>
    </w:p>
    <w:p w14:paraId="33C6198C" w14:textId="355249C1" w:rsidR="00D27417" w:rsidRDefault="00D27417" w:rsidP="0089387C">
      <w:r>
        <w:t xml:space="preserve">Registration of the subject's contact information in </w:t>
      </w:r>
      <w:r w:rsidR="002600E3">
        <w:t xml:space="preserve">a registry service </w:t>
      </w:r>
      <w:r>
        <w:t>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320D5B88" w14:textId="1702154D" w:rsidR="002600E3" w:rsidRDefault="002600E3" w:rsidP="0089387C">
      <w:r>
        <w:t>The communication of unsolicited information afforded by the contact exchange interaction is deliberately limited so that a majority of users can accept contact exchange requests without prior authorization. It is however likely that some users will receive a considerable volume of requests forcing them to require contact requests be authorized through some form of third party accreditation.</w:t>
      </w:r>
    </w:p>
    <w:p w14:paraId="1616941E" w14:textId="728A177C" w:rsidR="00DB5AE6" w:rsidRDefault="00DB5AE6" w:rsidP="0089387C">
      <w:pPr>
        <w:pStyle w:val="Heading3"/>
      </w:pPr>
      <w:r>
        <w:t>Remote</w:t>
      </w:r>
    </w:p>
    <w:p w14:paraId="38F67FD1" w14:textId="3C580A3C" w:rsidR="00042802" w:rsidRDefault="00402BFF" w:rsidP="0089387C">
      <w:r>
        <w:t xml:space="preserve">The Remote Contact Exchange transaction consists of </w:t>
      </w:r>
      <w:r w:rsidR="00042802">
        <w:t xml:space="preserve">a sequence of </w:t>
      </w:r>
      <w:r w:rsidR="00042802" w:rsidRPr="00042F65">
        <w:rPr>
          <w:u w:val="single"/>
        </w:rPr>
        <w:t>MessageContact</w:t>
      </w:r>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54B0357" w14:textId="022F9942" w:rsidR="002600E3" w:rsidRDefault="002600E3" w:rsidP="0089387C">
      <w:r>
        <w:t>Contact exchange requests MAY be authenticated by a PIN code. Initial contact exchange requests SHOULD include a PIN code value that can be used to authenticate a response (if given). PIN codes MAY also be exchanged out of band.</w:t>
      </w:r>
    </w:p>
    <w:p w14:paraId="4B605C4A" w14:textId="502D0CD9" w:rsidR="002600E3" w:rsidRDefault="002600E3" w:rsidP="0089387C">
      <w:r>
        <w:t xml:space="preserve">A </w:t>
      </w:r>
      <w:r w:rsidRPr="002600E3">
        <w:rPr>
          <w:u w:val="single"/>
        </w:rPr>
        <w:t>MessageContact</w:t>
      </w:r>
      <w:r>
        <w:t xml:space="preserve"> authenticated by means of a PIN code is authenticated as described in the PIN Interaction section above.</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r w:rsidRPr="00042F65">
        <w:rPr>
          <w:u w:val="single"/>
        </w:rPr>
        <w:t>MessageContact</w:t>
      </w:r>
      <w:r>
        <w:t xml:space="preserve"> message MAY be published as an EARL. This allows contact data to be presented to the recipient on a printed document such as a business card in machine readable format such as a QR code.</w:t>
      </w:r>
    </w:p>
    <w:p w14:paraId="21AE419B" w14:textId="4E35CAA6" w:rsidR="00DE010E" w:rsidRDefault="00DE010E" w:rsidP="00347F37">
      <w:pPr>
        <w:pStyle w:val="Heading2"/>
      </w:pPr>
      <w:r>
        <w:t>Group Invitation</w:t>
      </w:r>
      <w:r w:rsidR="00347F37">
        <w:tab/>
      </w:r>
    </w:p>
    <w:p w14:paraId="74A806CE" w14:textId="10A283C2" w:rsidR="00BF717B" w:rsidRDefault="00696F1E" w:rsidP="0089387C">
      <w:r>
        <w:t xml:space="preserve">The </w:t>
      </w:r>
      <w:r w:rsidRPr="00696F1E">
        <w:rPr>
          <w:u w:val="single"/>
        </w:rPr>
        <w:t>GroupInvitation</w:t>
      </w:r>
      <w:r>
        <w:t xml:space="preserve"> </w:t>
      </w:r>
      <w:r w:rsidR="00BF717B">
        <w:t>interaction</w:t>
      </w:r>
      <w:r>
        <w:t xml:space="preserve"> is used to invite a recipient to join a Mesh Group. </w:t>
      </w:r>
      <w:r w:rsidR="00BF717B">
        <w:t xml:space="preserve">The </w:t>
      </w:r>
      <w:r w:rsidR="00BF717B" w:rsidRPr="00BF717B">
        <w:t xml:space="preserve">interaction </w:t>
      </w:r>
      <w:r w:rsidR="00BF717B">
        <w:t>is essentially a form of contact exchange except that a sender SHOULD NOT send group invitations unless there is an existing relationship. Thus the 'first trust' issues intrinsic to the contact exchange interaction do not apply.</w:t>
      </w:r>
    </w:p>
    <w:p w14:paraId="354AE685" w14:textId="2C2A7A71" w:rsidR="00696F1E" w:rsidRDefault="00696F1E" w:rsidP="0089387C">
      <w:r>
        <w:t xml:space="preserve">The message specifies the group name and the contact entry for the group. The contact entry includes the </w:t>
      </w:r>
      <w:r w:rsidRPr="00696F1E">
        <w:rPr>
          <w:u w:val="single"/>
        </w:rPr>
        <w:t>CapabilityDecryptServiced</w:t>
      </w:r>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r w:rsidRPr="00696F1E">
        <w:rPr>
          <w:u w:val="single"/>
        </w:rPr>
        <w:t>GroupInvitation</w:t>
      </w:r>
      <w:r>
        <w:t xml:space="preserve"> message does not require a response.</w:t>
      </w:r>
    </w:p>
    <w:p w14:paraId="38607E21" w14:textId="76330FB8" w:rsidR="00DB5AE6" w:rsidRDefault="00DB5AE6" w:rsidP="0089387C">
      <w:pPr>
        <w:pStyle w:val="meta"/>
      </w:pPr>
      <w:r w:rsidRPr="00DB5AE6">
        <w:t>&lt;include=..\Examples\ProtocolGroupInvite.md&gt;</w:t>
      </w:r>
    </w:p>
    <w:p w14:paraId="4B939B54" w14:textId="5014CA12" w:rsidR="00DE010E" w:rsidRDefault="00DE010E" w:rsidP="0089387C">
      <w:pPr>
        <w:pStyle w:val="Heading2"/>
      </w:pPr>
      <w:r>
        <w:t>Confirmation</w:t>
      </w:r>
      <w:r w:rsidR="0089387C">
        <w:t xml:space="preserve"> </w:t>
      </w:r>
      <w:r w:rsidR="00BF717B" w:rsidRPr="00BF717B">
        <w:t>Interaction</w:t>
      </w:r>
    </w:p>
    <w:p w14:paraId="0175ED67" w14:textId="35A7C829" w:rsidR="00696F1E" w:rsidRDefault="00696F1E" w:rsidP="0089387C">
      <w:r>
        <w:t xml:space="preserve">The confirmation </w:t>
      </w:r>
      <w:r w:rsidR="00BF717B">
        <w:t>interaction</w:t>
      </w:r>
      <w:r>
        <w:t xml:space="preserve"> consists of a </w:t>
      </w:r>
      <w:r w:rsidRPr="00DD52A5">
        <w:rPr>
          <w:u w:val="single"/>
        </w:rPr>
        <w:t>RequestConfirmation</w:t>
      </w:r>
      <w:r>
        <w:t xml:space="preserve"> message from the initiator followed by a </w:t>
      </w:r>
      <w:r w:rsidRPr="00DD52A5">
        <w:rPr>
          <w:u w:val="single"/>
        </w:rPr>
        <w:t>ResponseConfirmation</w:t>
      </w:r>
      <w:r>
        <w:t xml:space="preserve"> from the responder.</w:t>
      </w:r>
    </w:p>
    <w:p w14:paraId="75F6E166" w14:textId="5E13420B" w:rsidR="00696F1E" w:rsidRDefault="00696F1E" w:rsidP="0089387C">
      <w:r>
        <w:t xml:space="preserve">The </w:t>
      </w:r>
      <w:r w:rsidRPr="00DD52A5">
        <w:rPr>
          <w:u w:val="single"/>
        </w:rPr>
        <w:t>RequestConfirmation</w:t>
      </w:r>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r w:rsidRPr="00DD52A5">
        <w:rPr>
          <w:u w:val="single"/>
        </w:rPr>
        <w:t>ResponseConfirmation</w:t>
      </w:r>
      <w:r w:rsidRPr="00DD52A5">
        <w:t xml:space="preserve"> </w:t>
      </w:r>
      <w:r>
        <w:t xml:space="preserve">message contains the enveloped </w:t>
      </w:r>
      <w:r w:rsidRPr="00DD52A5">
        <w:t>RequestConfirmation</w:t>
      </w:r>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3E960D94" w14:textId="1D93AF60" w:rsidR="005B7A2F" w:rsidRDefault="005B7A2F" w:rsidP="005B7A2F">
      <w:pPr>
        <w:pStyle w:val="Heading2"/>
      </w:pPr>
      <w:r>
        <w:t>Claim Transaction</w:t>
      </w:r>
    </w:p>
    <w:p w14:paraId="45BBA9BA" w14:textId="6246785F" w:rsidR="005B7A2F" w:rsidRDefault="005B7A2F" w:rsidP="005B7A2F">
      <w:r>
        <w:t>[Here break out the EARL connect claim piece]</w:t>
      </w:r>
    </w:p>
    <w:p w14:paraId="4484C1C2" w14:textId="11D46EE8" w:rsidR="005B7A2F" w:rsidRDefault="005B7A2F" w:rsidP="005B7A2F">
      <w:r>
        <w:t>[Mention could be used in a future contact transaction]</w:t>
      </w:r>
    </w:p>
    <w:p w14:paraId="54404B40" w14:textId="723B537F" w:rsidR="005A5789" w:rsidRDefault="005A5789" w:rsidP="002E6DAA">
      <w:pPr>
        <w:pStyle w:val="Heading1"/>
      </w:pPr>
      <w:r>
        <w:t>Device Connection</w:t>
      </w:r>
      <w:r w:rsidR="0089387C">
        <w:t xml:space="preserve"> </w:t>
      </w:r>
      <w:r w:rsidR="00BD1D79">
        <w:t>Interactions</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8B93F5C" w:rsidR="009512CE" w:rsidRDefault="002F38D4" w:rsidP="003122BF">
      <w:r>
        <w:t>Three connection mechanisms are currently defined</w:t>
      </w:r>
      <w:r w:rsidR="00BF717B">
        <w:t xml:space="preserve"> </w:t>
      </w:r>
      <w:r w:rsidR="00BF717B" w:rsidRPr="00BF717B">
        <w:t xml:space="preserve">support </w:t>
      </w:r>
      <w:r w:rsidR="00BD1D79">
        <w:t xml:space="preserve">connection of </w:t>
      </w:r>
      <w:r w:rsidR="00BF717B" w:rsidRPr="00BF717B">
        <w:t>devices with difference affordances</w:t>
      </w:r>
      <w:r w:rsidR="00BF717B">
        <w:t>:</w:t>
      </w:r>
    </w:p>
    <w:p w14:paraId="20A498C7" w14:textId="5D714640" w:rsidR="009512CE" w:rsidRDefault="00BF717B" w:rsidP="00BF717B">
      <w:pPr>
        <w:pStyle w:val="DT"/>
      </w:pPr>
      <w:r>
        <w:t>Witness</w:t>
      </w:r>
      <w:r w:rsidR="009512CE">
        <w:t xml:space="preserve"> Authenticated</w:t>
      </w:r>
    </w:p>
    <w:p w14:paraId="5DA0DC3E" w14:textId="1F605E3B" w:rsidR="00BF717B" w:rsidRPr="00BF717B" w:rsidRDefault="00BF717B" w:rsidP="00BF717B">
      <w:pPr>
        <w:pStyle w:val="DD"/>
      </w:pPr>
      <w:r>
        <w:t xml:space="preserve">For connecting devices that provide data entry and display affordances and are connected to a </w:t>
      </w:r>
      <w:r w:rsidR="00BD1D79" w:rsidRPr="00BD1D79">
        <w:t>network</w:t>
      </w:r>
      <w:r>
        <w:t xml:space="preserve">. The </w:t>
      </w:r>
      <w:r w:rsidR="00BD1D79">
        <w:t>account the device is to be connected to is entered into the device which displays a witness code. This code is then compared with a code displayed on the administration device to authenticate the request,</w:t>
      </w:r>
      <w:r w:rsidR="00BD1D79" w:rsidRPr="00BD1D79">
        <w:t xml:space="preserve"> after which both devices can complete the interaction</w:t>
      </w:r>
      <w:r w:rsidR="00BD1D79">
        <w:t>.</w:t>
      </w:r>
    </w:p>
    <w:p w14:paraId="4F67047B" w14:textId="648A5D7D" w:rsidR="009512CE" w:rsidRDefault="00BD1D79" w:rsidP="00BF717B">
      <w:pPr>
        <w:pStyle w:val="DT"/>
      </w:pPr>
      <w:r>
        <w:t>Dynamic QR Code</w:t>
      </w:r>
      <w:r w:rsidR="009512CE">
        <w:t xml:space="preserve"> </w:t>
      </w:r>
      <w:r>
        <w:t xml:space="preserve">(PIN) </w:t>
      </w:r>
      <w:r w:rsidR="009512CE">
        <w:t>Authenticated</w:t>
      </w:r>
    </w:p>
    <w:p w14:paraId="2B316033" w14:textId="372F03D1" w:rsidR="00BD1D79" w:rsidRPr="00BD1D79" w:rsidRDefault="00BD1D79" w:rsidP="00BD1D79">
      <w:pPr>
        <w:pStyle w:val="DD"/>
      </w:pPr>
      <w:r>
        <w:t xml:space="preserve">For connecting devices that provide a camera affordance. The user sets the administration device into 'add device' mode, causing a QR code to be displayed. The QR code is scanned by the device being connected </w:t>
      </w:r>
      <w:r w:rsidRPr="00BD1D79">
        <w:t>after which both devices can complete the interaction</w:t>
      </w:r>
      <w:r>
        <w:t>.</w:t>
      </w:r>
    </w:p>
    <w:p w14:paraId="1AB56F53" w14:textId="68FF1530" w:rsidR="009512CE" w:rsidRDefault="00BD1D79" w:rsidP="00BF717B">
      <w:pPr>
        <w:pStyle w:val="DT"/>
      </w:pPr>
      <w:r>
        <w:t>Static QR Code Authenticated</w:t>
      </w:r>
    </w:p>
    <w:p w14:paraId="1CDCBB90" w14:textId="5101A49E" w:rsidR="00BD1D79" w:rsidRPr="00BD1D79" w:rsidRDefault="00BD1D79" w:rsidP="00BD1D79">
      <w:pPr>
        <w:pStyle w:val="DD"/>
      </w:pPr>
      <w:r>
        <w:t>For connecting devices that have been preconfigured with a device profile identified by means of a QR Code containing an EARL. The QR code is scanned by the administration device after which both devices can complete the interaction.</w:t>
      </w:r>
    </w:p>
    <w:p w14:paraId="61580287" w14:textId="53070AD3" w:rsidR="00BF717B" w:rsidRDefault="00BF717B" w:rsidP="009512CE">
      <w:r>
        <w:t>Each of these mechanisms provide</w:t>
      </w:r>
      <w:r w:rsidRPr="00BF717B">
        <w:t xml:space="preserve"> strong mutual authentication</w:t>
      </w:r>
      <w:r w:rsidR="00BD1D79">
        <w:t xml:space="preserve"> with minimal user effort.</w:t>
      </w:r>
    </w:p>
    <w:p w14:paraId="5037194B" w14:textId="2822AAA0" w:rsidR="00662A95" w:rsidRDefault="00662A95" w:rsidP="009512CE">
      <w:r>
        <w:t>The witness authenticated connection interaction is intended for use in cases in which the device is already connected to a network. The QR code interactions are intended to provide support for acquisition of networking capabilities as part of the connection process. These functions are not currently specified.</w:t>
      </w:r>
    </w:p>
    <w:p w14:paraId="12362104" w14:textId="25153689" w:rsidR="00662A95" w:rsidRDefault="00662A95" w:rsidP="009512CE">
      <w:r>
        <w:t>In each case, the interaction is completed by the administration device creating a device activation record and catalog entry which are passed to the connected device through the Mesh service. The means by which the interaction messages are authenticated differs.</w:t>
      </w:r>
    </w:p>
    <w:p w14:paraId="392E6063" w14:textId="5A1A392E" w:rsidR="00C96763" w:rsidRDefault="00662A95" w:rsidP="00741484">
      <w:pPr>
        <w:pStyle w:val="Heading2"/>
      </w:pPr>
      <w:r>
        <w:t>Witness</w:t>
      </w:r>
      <w:r w:rsidR="00A7405E">
        <w:t xml:space="preserve"> Authenticated</w:t>
      </w:r>
    </w:p>
    <w:p w14:paraId="5E23B0BE" w14:textId="28C6C2C9" w:rsidR="00E43218" w:rsidRDefault="00DD002F" w:rsidP="006D7D8D">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6C2B6645" w14:textId="31515FCE" w:rsidR="006D7D8D" w:rsidRDefault="006D7D8D" w:rsidP="006D7D8D">
      <w:r>
        <w:t xml:space="preserve">The Device Connection request is unique in that it is the only Mesh transaction in which the Mesh Service performs an active role. The communication pattern consists of </w:t>
      </w:r>
      <w:r w:rsidR="00347F37">
        <w:t>eight</w:t>
      </w:r>
      <w:r>
        <w:t xml:space="preserve"> separate interactions.</w:t>
      </w:r>
    </w:p>
    <w:p w14:paraId="7F28AEBD" w14:textId="0F348957" w:rsidR="006D7D8D" w:rsidRDefault="006D7D8D" w:rsidP="006D7D8D">
      <w:pPr>
        <w:pStyle w:val="nli"/>
      </w:pPr>
      <w:r>
        <w:t>Device posts a ConnectRequest to the Mesh Service servicing the account</w:t>
      </w:r>
    </w:p>
    <w:p w14:paraId="7BEF805E" w14:textId="26F0D435" w:rsidR="006D7D8D" w:rsidRDefault="006D7D8D" w:rsidP="006D7D8D">
      <w:pPr>
        <w:pStyle w:val="nli"/>
      </w:pPr>
      <w:r>
        <w:t xml:space="preserve">Mesh Service creates an AcknowledgeConnection message which is </w:t>
      </w:r>
      <w:r w:rsidRPr="006D7D8D">
        <w:t>returned to the device</w:t>
      </w:r>
      <w:r w:rsidR="00347F37">
        <w:t xml:space="preserve"> together with the Account Profile</w:t>
      </w:r>
      <w:r w:rsidRPr="006D7D8D">
        <w:t xml:space="preserve"> in a ConnectResponse message</w:t>
      </w:r>
    </w:p>
    <w:p w14:paraId="0009CD4D" w14:textId="54B7180F" w:rsidR="00347F37" w:rsidRDefault="00347F37" w:rsidP="006D7D8D">
      <w:pPr>
        <w:pStyle w:val="nli"/>
      </w:pPr>
      <w:r>
        <w:t xml:space="preserve">Device calculates the Witness value from the </w:t>
      </w:r>
      <w:r w:rsidRPr="00347F37">
        <w:t>AcknowledgeConnection message</w:t>
      </w:r>
      <w:r>
        <w:t xml:space="preserve"> and presents it to the user.</w:t>
      </w:r>
    </w:p>
    <w:p w14:paraId="6D8596D5" w14:textId="5F912B51" w:rsidR="006D7D8D" w:rsidRDefault="00347F37" w:rsidP="006D7D8D">
      <w:pPr>
        <w:pStyle w:val="nli"/>
      </w:pPr>
      <w:r w:rsidRPr="00347F37">
        <w:t>Mesh Service</w:t>
      </w:r>
      <w:r>
        <w:t xml:space="preserve"> posts the </w:t>
      </w:r>
      <w:r w:rsidRPr="00347F37">
        <w:t xml:space="preserve">AcknowledgeConnection </w:t>
      </w:r>
      <w:r>
        <w:t>message</w:t>
      </w:r>
      <w:r w:rsidR="006D7D8D">
        <w:t xml:space="preserve"> to the Inbound spool of the account</w:t>
      </w:r>
      <w:r>
        <w:t xml:space="preserve"> to be collected by the Account holder.</w:t>
      </w:r>
    </w:p>
    <w:p w14:paraId="7F38374C" w14:textId="6672D70A" w:rsidR="006D7D8D" w:rsidRDefault="006D7D8D" w:rsidP="006D7D8D">
      <w:pPr>
        <w:pStyle w:val="nli"/>
      </w:pPr>
      <w:r>
        <w:t xml:space="preserve">Account </w:t>
      </w:r>
      <w:r w:rsidR="00347F37" w:rsidRPr="00347F37">
        <w:t>holder</w:t>
      </w:r>
      <w:r w:rsidR="00347F37">
        <w:t xml:space="preserve">'s administrative device opens the </w:t>
      </w:r>
      <w:r w:rsidR="00347F37" w:rsidRPr="00347F37">
        <w:t>AcknowledgeConnection message</w:t>
      </w:r>
      <w:r w:rsidR="00347F37">
        <w:t xml:space="preserve"> and presents it to the user allowing them to verify that the </w:t>
      </w:r>
      <w:r w:rsidR="00347F37" w:rsidRPr="00347F37">
        <w:t xml:space="preserve">Witness </w:t>
      </w:r>
      <w:r w:rsidR="00347F37">
        <w:t>value matches the one presented by the device.</w:t>
      </w:r>
    </w:p>
    <w:p w14:paraId="72A7F008" w14:textId="04AA23D6" w:rsidR="006D7D8D" w:rsidRDefault="00347F37" w:rsidP="006D7D8D">
      <w:pPr>
        <w:pStyle w:val="nli"/>
      </w:pPr>
      <w:r w:rsidRPr="00347F37">
        <w:t>Account holder's administrative device</w:t>
      </w:r>
      <w:r>
        <w:t xml:space="preserve"> creates the Activation</w:t>
      </w:r>
      <w:r w:rsidRPr="00347F37">
        <w:t xml:space="preserve">Device </w:t>
      </w:r>
      <w:r>
        <w:t xml:space="preserve"> record and a CatalogedDevice and appends them to the Local spool and Device catalog respectively.</w:t>
      </w:r>
    </w:p>
    <w:p w14:paraId="0E2D7FD1" w14:textId="230F700B" w:rsidR="00347F37" w:rsidRDefault="00347F37" w:rsidP="006D7D8D">
      <w:pPr>
        <w:pStyle w:val="nli"/>
      </w:pPr>
      <w:r w:rsidRPr="00347F37">
        <w:t xml:space="preserve">Device </w:t>
      </w:r>
      <w:r>
        <w:t>requests completion of the connection</w:t>
      </w:r>
    </w:p>
    <w:p w14:paraId="224A0E92" w14:textId="6F928927" w:rsidR="00347F37" w:rsidRPr="00DD002F" w:rsidRDefault="00347F37" w:rsidP="006D7D8D">
      <w:pPr>
        <w:pStyle w:val="nli"/>
      </w:pPr>
      <w:r>
        <w:t>Service returns the completion data.</w:t>
      </w:r>
    </w:p>
    <w:p w14:paraId="238049DA" w14:textId="5DFAD300" w:rsidR="00D12777" w:rsidRDefault="00D12777" w:rsidP="00C92348">
      <w:pPr>
        <w:pStyle w:val="meta"/>
      </w:pPr>
      <w:r>
        <w:t>&lt;include=..\</w:t>
      </w:r>
      <w:r w:rsidRPr="00433699">
        <w:t>Examples\</w:t>
      </w:r>
      <w:r w:rsidRPr="000A2754">
        <w:t>ProtocolConnect</w:t>
      </w:r>
      <w:r>
        <w:t>.md&gt;</w:t>
      </w:r>
    </w:p>
    <w:p w14:paraId="2453ADF7" w14:textId="7E0BCC35" w:rsidR="00C153BD" w:rsidRDefault="000A09DD" w:rsidP="00741484">
      <w:pPr>
        <w:pStyle w:val="Heading2"/>
      </w:pPr>
      <w:r w:rsidRPr="000A09DD">
        <w:t>Dynamic QR Code (PIN) Authenticated</w:t>
      </w:r>
    </w:p>
    <w:p w14:paraId="3A3F3967" w14:textId="12852146" w:rsidR="00347F37" w:rsidRDefault="000A09DD" w:rsidP="00AC063F">
      <w:r>
        <w:t xml:space="preserve">The </w:t>
      </w:r>
      <w:r w:rsidRPr="000A09DD">
        <w:t>Dynamic QR Code</w:t>
      </w:r>
      <w:r>
        <w:t xml:space="preserve"> interaction is essentially identical to the Witness authenticated interaction except that the account address and a PIN value are passed to the device being connected</w:t>
      </w:r>
      <w:r w:rsidR="00E43218">
        <w:t xml:space="preserve"> as a URI presented as machine readable QR code.</w:t>
      </w:r>
    </w:p>
    <w:p w14:paraId="047903E3" w14:textId="185A3819" w:rsidR="00D12777" w:rsidRDefault="00D12777" w:rsidP="00C92348">
      <w:pPr>
        <w:pStyle w:val="meta"/>
      </w:pPr>
      <w:r>
        <w:t>&lt;include=..\</w:t>
      </w:r>
      <w:r w:rsidRPr="00433699">
        <w:t>Examples\</w:t>
      </w:r>
      <w:r w:rsidRPr="000A2754">
        <w:t>ProtocolConnectPIN</w:t>
      </w:r>
      <w:r>
        <w:t>.md&gt;</w:t>
      </w:r>
    </w:p>
    <w:p w14:paraId="5826DD5D" w14:textId="7B5EE9BF" w:rsidR="00347F37" w:rsidRDefault="00347F37" w:rsidP="00347F37">
      <w:r>
        <w:t xml:space="preserve">The use of the PIN code to authenticate the </w:t>
      </w:r>
      <w:r w:rsidRPr="00347F37">
        <w:t>RequestConnection</w:t>
      </w:r>
      <w:r>
        <w:t xml:space="preserve"> message was shown earlier in section ###.  </w:t>
      </w:r>
    </w:p>
    <w:p w14:paraId="725C13D3" w14:textId="20A7F4C2" w:rsidR="00C153BD" w:rsidRDefault="00E43218" w:rsidP="00741484">
      <w:pPr>
        <w:pStyle w:val="Heading2"/>
      </w:pPr>
      <w:r w:rsidRPr="00E43218">
        <w:t>Static QR Code Authenticated</w:t>
      </w:r>
    </w:p>
    <w:p w14:paraId="5C1A21C0" w14:textId="2AC84E82" w:rsidR="00E43218" w:rsidRDefault="00E43218" w:rsidP="00AC063F">
      <w:r>
        <w:t xml:space="preserve">The </w:t>
      </w:r>
      <w:r w:rsidRPr="00E43218">
        <w:t>Static QR Code Authenticated</w:t>
      </w:r>
      <w:r>
        <w:t xml:space="preserve"> mode is used to connect devices that have been preconfigured for use with the Mesh with a device configuration identified by a </w:t>
      </w:r>
      <w:r w:rsidRPr="00E43218">
        <w:t xml:space="preserve">URI </w:t>
      </w:r>
      <w:r w:rsidR="004B41DE">
        <w:t xml:space="preserve">typically </w:t>
      </w:r>
      <w:r w:rsidRPr="00E43218">
        <w:t>presented as machine readable QR code</w:t>
      </w:r>
      <w:r w:rsidR="004B41DE">
        <w:t xml:space="preserve"> on the device itself</w:t>
      </w:r>
      <w:r w:rsidRPr="00E43218">
        <w:t>.</w:t>
      </w:r>
    </w:p>
    <w:p w14:paraId="62DC6615" w14:textId="027E0AD9" w:rsidR="00E43218" w:rsidRDefault="00533DF4" w:rsidP="00AC063F">
      <w:r>
        <w:t xml:space="preserve">The device is preconfigured with a </w:t>
      </w:r>
      <w:r w:rsidRPr="00533DF4">
        <w:t>DevicePreconfiguration</w:t>
      </w:r>
      <w:r>
        <w:t xml:space="preserve"> record as shown in </w:t>
      </w:r>
      <w:r w:rsidRPr="00533DF4">
        <w:t>&lt;norm="draft-hallambaker-mesh-schema"/&gt;</w:t>
      </w:r>
      <w:r>
        <w:t xml:space="preserve"> section $$$.</w:t>
      </w:r>
    </w:p>
    <w:p w14:paraId="3872C8ED" w14:textId="144F0E46" w:rsidR="00533DF4" w:rsidRDefault="00F970A4" w:rsidP="00AC063F">
      <w:r>
        <w:t xml:space="preserve">A symmetric key </w:t>
      </w:r>
      <w:r w:rsidR="00533DF4">
        <w:t xml:space="preserve">is generated and the </w:t>
      </w:r>
      <w:r w:rsidR="00533DF4" w:rsidRPr="00533DF4">
        <w:t>ProfileDevice</w:t>
      </w:r>
      <w:r w:rsidR="00533DF4">
        <w:t xml:space="preserve"> corresponding to the </w:t>
      </w:r>
      <w:r w:rsidR="00533DF4" w:rsidRPr="00533DF4">
        <w:t xml:space="preserve">DevicePreconfiguration </w:t>
      </w:r>
      <w:r w:rsidR="00533DF4">
        <w:t xml:space="preserve">record encrypted </w:t>
      </w:r>
      <w:r>
        <w:t xml:space="preserve">under the key to create an EARL locator as described in </w:t>
      </w:r>
      <w:r w:rsidRPr="00F970A4">
        <w:t>&lt;norm="draft-hallambaker-mesh-dare"/&gt;</w:t>
      </w:r>
      <w:r>
        <w:t xml:space="preserve"> section $$$$. This EARL is printed on the device as a QR code.</w:t>
      </w:r>
    </w:p>
    <w:p w14:paraId="4C2FCDA0" w14:textId="6BE2A932" w:rsidR="00F970A4" w:rsidRDefault="00F970A4" w:rsidP="00AC063F">
      <w:r>
        <w:t xml:space="preserve">To connect to the device, a user scans the QR code with an administration device which uses the embedded information to locate and decrypt the ProfileDevice record. </w:t>
      </w:r>
    </w:p>
    <w:p w14:paraId="5113DE14" w14:textId="453D9A64" w:rsidR="005C76FF" w:rsidRDefault="005C76FF" w:rsidP="00AC063F">
      <w:r>
        <w:t>Completion of the connection requires the device to be aware that the URI has been read and a connection offered. This may be achieved by</w:t>
      </w:r>
      <w:r w:rsidR="004B41DE">
        <w:t xml:space="preserve"> </w:t>
      </w:r>
    </w:p>
    <w:p w14:paraId="02AADB42" w14:textId="30BF31EC" w:rsidR="005C76FF" w:rsidRDefault="005C76FF" w:rsidP="005C76FF">
      <w:pPr>
        <w:pStyle w:val="li"/>
      </w:pPr>
      <w:r>
        <w:t>Polling a claim service specified in the device description to determine if a claim has been registered.</w:t>
      </w:r>
    </w:p>
    <w:p w14:paraId="3EA2E94B" w14:textId="761C4705" w:rsidR="004B41DE" w:rsidRDefault="004B41DE" w:rsidP="004B41DE">
      <w:pPr>
        <w:pStyle w:val="li"/>
      </w:pPr>
      <w:r>
        <w:t>Listening on an ad-hoc WiFi network, Blootooth network etc., for a connection request.</w:t>
      </w:r>
    </w:p>
    <w:p w14:paraId="73E6B810" w14:textId="24CC80F7" w:rsidR="00D12777" w:rsidRDefault="00D12777" w:rsidP="00C92348">
      <w:pPr>
        <w:pStyle w:val="meta"/>
      </w:pPr>
      <w:r>
        <w:t>&lt;include=..\</w:t>
      </w:r>
      <w:r w:rsidRPr="00433699">
        <w:t>Examples\\</w:t>
      </w:r>
      <w:r w:rsidRPr="000A2754">
        <w:t>ProtocolConnectEARL</w:t>
      </w:r>
      <w:r>
        <w:t>.md&gt;</w:t>
      </w:r>
    </w:p>
    <w:p w14:paraId="547C3E53" w14:textId="78BE3286" w:rsidR="00533DF4" w:rsidRDefault="00533DF4" w:rsidP="00533DF4">
      <w:r w:rsidRPr="00533DF4">
        <w:t>The use of the Claim interaction to discover a pending claim for a document was shown in section $$$ above.</w:t>
      </w:r>
      <w:r w:rsidR="00F970A4">
        <w:t xml:space="preserve"> The claim is authenticated using the </w:t>
      </w:r>
      <w:r w:rsidR="00F970A4" w:rsidRPr="00F970A4">
        <w:t xml:space="preserve">key </w:t>
      </w:r>
      <w:r w:rsidR="00F970A4">
        <w:t xml:space="preserve"> specified in the EARL.</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BB6A7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764D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AC97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163A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8CA1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561E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3416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668B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AE40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247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821F4"/>
    <w:multiLevelType w:val="hybridMultilevel"/>
    <w:tmpl w:val="FEFCD070"/>
    <w:lvl w:ilvl="0" w:tplc="0212A46E">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94AC0"/>
    <w:multiLevelType w:val="hybridMultilevel"/>
    <w:tmpl w:val="E05CC472"/>
    <w:lvl w:ilvl="0" w:tplc="0D302F36">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09D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623EE"/>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00E3"/>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47F37"/>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14FFE"/>
    <w:rsid w:val="00420C89"/>
    <w:rsid w:val="00431E75"/>
    <w:rsid w:val="0043301B"/>
    <w:rsid w:val="00433699"/>
    <w:rsid w:val="00447A3F"/>
    <w:rsid w:val="00456F1A"/>
    <w:rsid w:val="00461F33"/>
    <w:rsid w:val="004754D0"/>
    <w:rsid w:val="00483C8D"/>
    <w:rsid w:val="00484A65"/>
    <w:rsid w:val="0049029D"/>
    <w:rsid w:val="004906C8"/>
    <w:rsid w:val="00491A8C"/>
    <w:rsid w:val="004932F9"/>
    <w:rsid w:val="004943BF"/>
    <w:rsid w:val="004B17B0"/>
    <w:rsid w:val="004B2208"/>
    <w:rsid w:val="004B3CF7"/>
    <w:rsid w:val="004B41DE"/>
    <w:rsid w:val="004B5679"/>
    <w:rsid w:val="004B7365"/>
    <w:rsid w:val="004C28FB"/>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3DF4"/>
    <w:rsid w:val="00534E34"/>
    <w:rsid w:val="00536630"/>
    <w:rsid w:val="00536773"/>
    <w:rsid w:val="005402B0"/>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B7A2F"/>
    <w:rsid w:val="005C0690"/>
    <w:rsid w:val="005C39A6"/>
    <w:rsid w:val="005C5D86"/>
    <w:rsid w:val="005C76FF"/>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2A95"/>
    <w:rsid w:val="006652C2"/>
    <w:rsid w:val="006660B3"/>
    <w:rsid w:val="006667D6"/>
    <w:rsid w:val="00671C3E"/>
    <w:rsid w:val="006721C4"/>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D7D8D"/>
    <w:rsid w:val="006E0350"/>
    <w:rsid w:val="007041CC"/>
    <w:rsid w:val="00706CB0"/>
    <w:rsid w:val="00711430"/>
    <w:rsid w:val="0071754C"/>
    <w:rsid w:val="0072061C"/>
    <w:rsid w:val="007239D5"/>
    <w:rsid w:val="007362B1"/>
    <w:rsid w:val="00741484"/>
    <w:rsid w:val="007416B8"/>
    <w:rsid w:val="007533E4"/>
    <w:rsid w:val="00756921"/>
    <w:rsid w:val="00757567"/>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020B"/>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373F"/>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69FD"/>
    <w:rsid w:val="00B00635"/>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1D79"/>
    <w:rsid w:val="00BD3C8F"/>
    <w:rsid w:val="00BD51CB"/>
    <w:rsid w:val="00BD57CA"/>
    <w:rsid w:val="00BE2B0B"/>
    <w:rsid w:val="00BE4893"/>
    <w:rsid w:val="00BF04E6"/>
    <w:rsid w:val="00BF1C77"/>
    <w:rsid w:val="00BF634B"/>
    <w:rsid w:val="00BF717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218"/>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0A4"/>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9B1E3F47-83DE-4106-9E17-149BD14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D8D"/>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 w:type="paragraph" w:customStyle="1" w:styleId="nli">
    <w:name w:val="nli"/>
    <w:basedOn w:val="li"/>
    <w:qFormat/>
    <w:rsid w:val="006D7D8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034840736">
      <w:bodyDiv w:val="1"/>
      <w:marLeft w:val="0"/>
      <w:marRight w:val="0"/>
      <w:marTop w:val="0"/>
      <w:marBottom w:val="0"/>
      <w:divBdr>
        <w:top w:val="none" w:sz="0" w:space="0" w:color="auto"/>
        <w:left w:val="none" w:sz="0" w:space="0" w:color="auto"/>
        <w:bottom w:val="none" w:sz="0" w:space="0" w:color="auto"/>
        <w:right w:val="none" w:sz="0" w:space="0" w:color="auto"/>
      </w:divBdr>
    </w:div>
    <w:div w:id="1377195707">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6121</Words>
  <Characters>34891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cp:revision>
  <dcterms:created xsi:type="dcterms:W3CDTF">2021-01-12T21:19:00Z</dcterms:created>
  <dcterms:modified xsi:type="dcterms:W3CDTF">2021-01-12T23:29:00Z</dcterms:modified>
</cp:coreProperties>
</file>