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8396A" w14:textId="77777777" w:rsidR="0027108D" w:rsidRDefault="0027108D" w:rsidP="0027108D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91FC2D1" wp14:editId="22817E21">
            <wp:extent cx="3886200" cy="2878667"/>
            <wp:effectExtent l="0" t="0" r="0" b="0"/>
            <wp:docPr id="2" name="Picture 1" descr="RAID1:Users:wdurno:sagex:sagExtrap5:sagex:paper:dens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1:Users:wdurno:sagex:sagExtrap5:sagex:paper:densit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70F9" w14:textId="77777777" w:rsidR="0027108D" w:rsidRPr="00055877" w:rsidRDefault="0027108D" w:rsidP="0027108D">
      <w:pPr>
        <w:widowControl w:val="0"/>
        <w:autoSpaceDE w:val="0"/>
        <w:autoSpaceDN w:val="0"/>
        <w:adjustRightInd w:val="0"/>
        <w:ind w:left="1276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55877">
        <w:rPr>
          <w:rFonts w:ascii="Times New Roman" w:hAnsi="Times New Roman" w:cs="Times New Roman"/>
          <w:b/>
          <w:bCs/>
          <w:color w:val="193441"/>
          <w:sz w:val="20"/>
          <w:szCs w:val="20"/>
        </w:rPr>
        <w:t>Figure 1</w:t>
      </w:r>
      <w:r w:rsidRPr="00055877">
        <w:rPr>
          <w:rFonts w:ascii="Times New Roman" w:hAnsi="Times New Roman" w:cs="Times New Roman"/>
          <w:b/>
          <w:color w:val="000000"/>
          <w:sz w:val="20"/>
          <w:szCs w:val="20"/>
        </w:rPr>
        <w:t>. SAGEX confidently extrapolates SAGs.</w:t>
      </w:r>
    </w:p>
    <w:p w14:paraId="3EBDD5A7" w14:textId="77777777" w:rsidR="0027108D" w:rsidRPr="00055877" w:rsidRDefault="0027108D" w:rsidP="0027108D">
      <w:pPr>
        <w:widowControl w:val="0"/>
        <w:autoSpaceDE w:val="0"/>
        <w:autoSpaceDN w:val="0"/>
        <w:adjustRightInd w:val="0"/>
        <w:ind w:left="1276"/>
        <w:rPr>
          <w:rFonts w:ascii="Times New Roman" w:hAnsi="Times New Roman" w:cs="Times New Roman"/>
          <w:color w:val="000000"/>
          <w:sz w:val="20"/>
          <w:szCs w:val="20"/>
        </w:rPr>
      </w:pPr>
      <w:r w:rsidRPr="00055877">
        <w:rPr>
          <w:rFonts w:ascii="Times New Roman" w:hAnsi="Times New Roman" w:cs="Times New Roman"/>
          <w:color w:val="000000"/>
          <w:sz w:val="20"/>
          <w:szCs w:val="20"/>
        </w:rPr>
        <w:t xml:space="preserve">Prior to running SAGEX on 129 SUP05 SAGs sourced from the </w:t>
      </w:r>
      <w:proofErr w:type="spellStart"/>
      <w:r w:rsidRPr="00055877">
        <w:rPr>
          <w:rFonts w:ascii="Times New Roman" w:hAnsi="Times New Roman" w:cs="Times New Roman"/>
          <w:color w:val="000000"/>
          <w:sz w:val="20"/>
          <w:szCs w:val="20"/>
        </w:rPr>
        <w:t>Saanich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55877">
        <w:rPr>
          <w:rFonts w:ascii="Times New Roman" w:hAnsi="Times New Roman" w:cs="Times New Roman"/>
          <w:color w:val="000000"/>
          <w:sz w:val="20"/>
          <w:szCs w:val="20"/>
        </w:rPr>
        <w:t>Inlet water column (black) [3], estimated completeness (by counting COGs)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55877">
        <w:rPr>
          <w:rFonts w:ascii="Times New Roman" w:hAnsi="Times New Roman" w:cs="Times New Roman"/>
          <w:color w:val="000000"/>
          <w:sz w:val="20"/>
          <w:szCs w:val="20"/>
        </w:rPr>
        <w:t>prior to extrapolation averages 40% (red). Using high PPV settings, SAGEX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55877">
        <w:rPr>
          <w:rFonts w:ascii="Times New Roman" w:hAnsi="Times New Roman" w:cs="Times New Roman"/>
          <w:color w:val="000000"/>
          <w:sz w:val="20"/>
          <w:szCs w:val="20"/>
        </w:rPr>
        <w:t>increases average completeness to 70%. Rel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axing PPV settings can increase </w:t>
      </w:r>
      <w:r w:rsidRPr="00055877">
        <w:rPr>
          <w:rFonts w:ascii="Times New Roman" w:hAnsi="Times New Roman" w:cs="Times New Roman"/>
          <w:color w:val="000000"/>
          <w:sz w:val="20"/>
          <w:szCs w:val="20"/>
        </w:rPr>
        <w:t>completeness of the extrapolated genome.</w:t>
      </w:r>
    </w:p>
    <w:p w14:paraId="13BA2F4D" w14:textId="77777777" w:rsidR="005F3CF5" w:rsidRDefault="005F3CF5"/>
    <w:p w14:paraId="68B56953" w14:textId="77777777" w:rsidR="0027108D" w:rsidRDefault="0027108D"/>
    <w:p w14:paraId="12967284" w14:textId="77777777" w:rsidR="0027108D" w:rsidRDefault="0027108D"/>
    <w:p w14:paraId="3B899E32" w14:textId="77777777" w:rsidR="00520213" w:rsidRDefault="00520213"/>
    <w:p w14:paraId="2986C2BA" w14:textId="77777777" w:rsidR="00520213" w:rsidRDefault="00520213"/>
    <w:p w14:paraId="31E92CE4" w14:textId="77777777" w:rsidR="00520213" w:rsidRDefault="00520213"/>
    <w:p w14:paraId="596C0011" w14:textId="77777777" w:rsidR="00520213" w:rsidRDefault="00520213"/>
    <w:p w14:paraId="30B3F1DE" w14:textId="77777777" w:rsidR="0027108D" w:rsidRDefault="0027108D"/>
    <w:p w14:paraId="0252A92B" w14:textId="77777777" w:rsidR="0027108D" w:rsidRDefault="0027108D"/>
    <w:p w14:paraId="38309018" w14:textId="77777777" w:rsidR="0027108D" w:rsidRDefault="003E20AB" w:rsidP="003E20AB">
      <w:pPr>
        <w:jc w:val="center"/>
      </w:pPr>
      <w:r>
        <w:rPr>
          <w:noProof/>
        </w:rPr>
        <w:lastRenderedPageBreak/>
        <w:drawing>
          <wp:inline distT="0" distB="0" distL="0" distR="0" wp14:anchorId="5CD08649" wp14:editId="46BC979B">
            <wp:extent cx="4612957" cy="3039533"/>
            <wp:effectExtent l="0" t="0" r="10160" b="8890"/>
            <wp:docPr id="1" name="Picture 1" descr="RAID1:Users:wdurno:sagex:sagExtrap5:sagex:paper: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1:Users:wdurno:sagex:sagExtrap5:sagex:paper:pipe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57" cy="303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A869" w14:textId="77777777" w:rsidR="003E20AB" w:rsidRPr="003E20AB" w:rsidRDefault="003E20AB" w:rsidP="003E20AB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b/>
          <w:color w:val="000000"/>
          <w:sz w:val="20"/>
          <w:szCs w:val="20"/>
        </w:rPr>
      </w:pPr>
      <w:r w:rsidRPr="003E20AB">
        <w:rPr>
          <w:rFonts w:eastAsiaTheme="minorEastAsia" w:cs="Times New Roman"/>
          <w:b/>
          <w:bCs/>
          <w:color w:val="193441"/>
          <w:sz w:val="20"/>
          <w:szCs w:val="20"/>
        </w:rPr>
        <w:t xml:space="preserve">Figure </w:t>
      </w:r>
      <w:r>
        <w:rPr>
          <w:rFonts w:eastAsiaTheme="minorEastAsia" w:cs="Times New Roman"/>
          <w:b/>
          <w:bCs/>
          <w:color w:val="193441"/>
          <w:sz w:val="20"/>
          <w:szCs w:val="20"/>
        </w:rPr>
        <w:t>2</w:t>
      </w:r>
      <w:r w:rsidRPr="003E20AB">
        <w:rPr>
          <w:rFonts w:eastAsiaTheme="minorEastAsia" w:cs="Times New Roman"/>
          <w:b/>
          <w:color w:val="000000"/>
          <w:sz w:val="20"/>
          <w:szCs w:val="20"/>
        </w:rPr>
        <w:t xml:space="preserve">. </w:t>
      </w:r>
      <w:proofErr w:type="gramStart"/>
      <w:r w:rsidRPr="003E20AB">
        <w:rPr>
          <w:rFonts w:eastAsiaTheme="minorEastAsia" w:cs="Times New Roman"/>
          <w:b/>
          <w:color w:val="000000"/>
          <w:sz w:val="20"/>
          <w:szCs w:val="20"/>
        </w:rPr>
        <w:t>The SAGEX pipeline.</w:t>
      </w:r>
      <w:proofErr w:type="gramEnd"/>
    </w:p>
    <w:p w14:paraId="458D9DC2" w14:textId="77777777" w:rsidR="003E20AB" w:rsidRDefault="003E20AB" w:rsidP="003E20AB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color w:val="000000"/>
          <w:sz w:val="20"/>
          <w:szCs w:val="20"/>
        </w:rPr>
      </w:pPr>
      <w:r w:rsidRPr="003E20AB">
        <w:rPr>
          <w:rFonts w:eastAsiaTheme="minorEastAsia" w:cs="Times New Roman"/>
          <w:color w:val="000000"/>
          <w:sz w:val="20"/>
          <w:szCs w:val="20"/>
        </w:rPr>
        <w:t xml:space="preserve">SAGEX accepts two input FASTAs, an </w:t>
      </w:r>
      <w:proofErr w:type="spellStart"/>
      <w:r w:rsidRPr="003E20AB">
        <w:rPr>
          <w:rFonts w:eastAsiaTheme="minorEastAsia" w:cs="Times New Roman"/>
          <w:color w:val="000000"/>
          <w:sz w:val="20"/>
          <w:szCs w:val="20"/>
        </w:rPr>
        <w:t>assembeld</w:t>
      </w:r>
      <w:proofErr w:type="spell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 SAG and assembled </w:t>
      </w:r>
      <w:proofErr w:type="spellStart"/>
      <w:r w:rsidRPr="003E20AB">
        <w:rPr>
          <w:rFonts w:eastAsiaTheme="minorEastAsia" w:cs="Times New Roman"/>
          <w:color w:val="000000"/>
          <w:sz w:val="20"/>
          <w:szCs w:val="20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, and </w:t>
      </w:r>
      <w:r>
        <w:rPr>
          <w:rFonts w:eastAsiaTheme="minorEastAsia" w:cs="Times New Roman"/>
          <w:color w:val="000000"/>
          <w:sz w:val="20"/>
          <w:szCs w:val="20"/>
        </w:rPr>
        <w:t>p</w:t>
      </w:r>
      <w:r w:rsidRPr="003E20AB">
        <w:rPr>
          <w:rFonts w:eastAsiaTheme="minorEastAsia" w:cs="Times New Roman"/>
          <w:color w:val="000000"/>
          <w:sz w:val="20"/>
          <w:szCs w:val="20"/>
        </w:rPr>
        <w:t>rovides a single output FASTA, a subset of</w:t>
      </w:r>
      <w:r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Pr="003E20AB">
        <w:rPr>
          <w:rFonts w:eastAsiaTheme="minorEastAsia" w:cs="Times New Roman"/>
          <w:color w:val="000000"/>
          <w:sz w:val="20"/>
          <w:szCs w:val="20"/>
        </w:rPr>
        <w:t xml:space="preserve">the </w:t>
      </w:r>
      <w:proofErr w:type="spellStart"/>
      <w:r w:rsidRPr="003E20AB">
        <w:rPr>
          <w:rFonts w:eastAsiaTheme="minorEastAsia" w:cs="Times New Roman"/>
          <w:color w:val="000000"/>
          <w:sz w:val="20"/>
          <w:szCs w:val="20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 </w:t>
      </w:r>
      <w:proofErr w:type="spellStart"/>
      <w:r w:rsidRPr="003E20AB">
        <w:rPr>
          <w:rFonts w:eastAsiaTheme="minorEastAsia" w:cs="Times New Roman"/>
          <w:color w:val="000000"/>
          <w:sz w:val="20"/>
          <w:szCs w:val="20"/>
        </w:rPr>
        <w:t>conigs</w:t>
      </w:r>
      <w:proofErr w:type="spell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 recruited by the SAG. </w:t>
      </w:r>
      <w:r>
        <w:rPr>
          <w:rFonts w:eastAsiaTheme="minorEastAsia" w:cs="Times New Roman"/>
          <w:color w:val="000000"/>
          <w:sz w:val="20"/>
          <w:szCs w:val="20"/>
        </w:rPr>
        <w:t>T</w:t>
      </w:r>
      <w:r w:rsidRPr="003E20AB">
        <w:rPr>
          <w:rFonts w:eastAsiaTheme="minorEastAsia" w:cs="Times New Roman"/>
          <w:color w:val="000000"/>
          <w:sz w:val="20"/>
          <w:szCs w:val="20"/>
        </w:rPr>
        <w:t xml:space="preserve">he two </w:t>
      </w:r>
      <w:proofErr w:type="gramStart"/>
      <w:r w:rsidRPr="003E20AB">
        <w:rPr>
          <w:rFonts w:eastAsiaTheme="minorEastAsia" w:cs="Times New Roman"/>
          <w:color w:val="000000"/>
          <w:sz w:val="20"/>
          <w:szCs w:val="20"/>
        </w:rPr>
        <w:t>tests which every hit must pass</w:t>
      </w:r>
      <w:proofErr w:type="gram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 are expanded here. The identity filter test requires</w:t>
      </w:r>
      <w:r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Pr="003E20AB">
        <w:rPr>
          <w:rFonts w:eastAsiaTheme="minorEastAsia" w:cs="Times New Roman"/>
          <w:color w:val="000000"/>
          <w:sz w:val="20"/>
          <w:szCs w:val="20"/>
        </w:rPr>
        <w:t xml:space="preserve">every hit to share at least one M-length substring with any SAG </w:t>
      </w:r>
      <w:proofErr w:type="spellStart"/>
      <w:r w:rsidRPr="003E20AB">
        <w:rPr>
          <w:rFonts w:eastAsiaTheme="minorEastAsia" w:cs="Times New Roman"/>
          <w:color w:val="000000"/>
          <w:sz w:val="20"/>
          <w:szCs w:val="20"/>
        </w:rPr>
        <w:t>contig</w:t>
      </w:r>
      <w:proofErr w:type="spell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. The </w:t>
      </w:r>
      <w:proofErr w:type="spellStart"/>
      <w:r w:rsidRPr="003E20AB">
        <w:rPr>
          <w:rFonts w:eastAsiaTheme="minorEastAsia" w:cs="Times New Roman"/>
          <w:color w:val="000000"/>
          <w:sz w:val="20"/>
          <w:szCs w:val="20"/>
        </w:rPr>
        <w:t>kmer</w:t>
      </w:r>
      <w:proofErr w:type="spell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 signature </w:t>
      </w:r>
      <w:r>
        <w:rPr>
          <w:rFonts w:eastAsiaTheme="minorEastAsia" w:cs="Times New Roman"/>
          <w:color w:val="000000"/>
          <w:sz w:val="20"/>
          <w:szCs w:val="20"/>
        </w:rPr>
        <w:t>f</w:t>
      </w:r>
      <w:r w:rsidRPr="003E20AB">
        <w:rPr>
          <w:rFonts w:eastAsiaTheme="minorEastAsia" w:cs="Times New Roman"/>
          <w:color w:val="000000"/>
          <w:sz w:val="20"/>
          <w:szCs w:val="20"/>
        </w:rPr>
        <w:t>ilter requires each every hit to fall within</w:t>
      </w:r>
      <w:r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Pr="003E20AB">
        <w:rPr>
          <w:rFonts w:eastAsiaTheme="minorEastAsia" w:cs="Times New Roman"/>
          <w:color w:val="000000"/>
          <w:sz w:val="20"/>
          <w:szCs w:val="20"/>
        </w:rPr>
        <w:t xml:space="preserve">the </w:t>
      </w:r>
      <w:proofErr w:type="spellStart"/>
      <w:r w:rsidRPr="003E20AB">
        <w:rPr>
          <w:rFonts w:eastAsiaTheme="minorEastAsia" w:cs="Times New Roman"/>
          <w:color w:val="000000"/>
          <w:sz w:val="20"/>
          <w:szCs w:val="20"/>
        </w:rPr>
        <w:t>kmer</w:t>
      </w:r>
      <w:proofErr w:type="spell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 signature region as estimated by a </w:t>
      </w:r>
      <w:r>
        <w:rPr>
          <w:rFonts w:eastAsiaTheme="minorEastAsia" w:cs="Times New Roman"/>
          <w:color w:val="000000"/>
          <w:sz w:val="20"/>
          <w:szCs w:val="20"/>
        </w:rPr>
        <w:t>G</w:t>
      </w:r>
      <w:r w:rsidRPr="003E20AB">
        <w:rPr>
          <w:rFonts w:eastAsiaTheme="minorEastAsia" w:cs="Times New Roman"/>
          <w:color w:val="000000"/>
          <w:sz w:val="20"/>
          <w:szCs w:val="20"/>
        </w:rPr>
        <w:t xml:space="preserve">aussian Mixture Model in a </w:t>
      </w:r>
      <w:proofErr w:type="spellStart"/>
      <w:r w:rsidRPr="003E20AB">
        <w:rPr>
          <w:rFonts w:eastAsiaTheme="minorEastAsia" w:cs="Times New Roman"/>
          <w:color w:val="000000"/>
          <w:sz w:val="20"/>
          <w:szCs w:val="20"/>
        </w:rPr>
        <w:t>kmer-proprotion</w:t>
      </w:r>
      <w:proofErr w:type="spellEnd"/>
      <w:r w:rsidRPr="003E20AB">
        <w:rPr>
          <w:rFonts w:eastAsiaTheme="minorEastAsia" w:cs="Times New Roman"/>
          <w:color w:val="000000"/>
          <w:sz w:val="20"/>
          <w:szCs w:val="20"/>
        </w:rPr>
        <w:t xml:space="preserve"> principal component subspace.</w:t>
      </w:r>
    </w:p>
    <w:p w14:paraId="64E9FE9B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FD9660F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4B72D4" w14:textId="77777777" w:rsidR="00520213" w:rsidRDefault="00520213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C810303" w14:textId="77777777" w:rsidR="00520213" w:rsidRDefault="00520213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C5D5551" w14:textId="77777777" w:rsidR="00520213" w:rsidRDefault="00520213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39EEC5A" w14:textId="77777777" w:rsidR="00520213" w:rsidRDefault="00520213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  <w:bookmarkStart w:id="0" w:name="_GoBack"/>
      <w:bookmarkEnd w:id="0"/>
    </w:p>
    <w:p w14:paraId="522D40EA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D202767" w14:textId="77777777" w:rsidR="003E20AB" w:rsidRPr="003E20AB" w:rsidRDefault="003E20AB" w:rsidP="003E20AB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4C10DD2A" wp14:editId="3E017584">
            <wp:extent cx="5486400" cy="3192145"/>
            <wp:effectExtent l="0" t="0" r="0" b="8255"/>
            <wp:docPr id="3" name="Picture 2" descr="RAID1:Users:wdurno:sagex:sagExtrap5:sagex:paper:k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ID1:Users:wdurno:sagex:sagExtrap5:sagex:paper:km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5E74" w14:textId="77777777" w:rsidR="003E20AB" w:rsidRPr="003E20AB" w:rsidRDefault="003E20AB" w:rsidP="003E20AB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b/>
          <w:color w:val="000000"/>
          <w:sz w:val="22"/>
          <w:szCs w:val="22"/>
        </w:rPr>
      </w:pPr>
      <w:r w:rsidRPr="003E20AB">
        <w:rPr>
          <w:rFonts w:eastAsiaTheme="minorEastAsia" w:cs="Times New Roman"/>
          <w:b/>
          <w:bCs/>
          <w:color w:val="193441"/>
          <w:sz w:val="22"/>
          <w:szCs w:val="22"/>
        </w:rPr>
        <w:t>Figure 2</w:t>
      </w:r>
      <w:r w:rsidRPr="003E20AB">
        <w:rPr>
          <w:rFonts w:eastAsiaTheme="minorEastAsia" w:cs="Times New Roman"/>
          <w:b/>
          <w:color w:val="000000"/>
          <w:sz w:val="22"/>
          <w:szCs w:val="22"/>
        </w:rPr>
        <w:t xml:space="preserve">. </w:t>
      </w:r>
      <w:proofErr w:type="gramStart"/>
      <w:r w:rsidRPr="003E20AB">
        <w:rPr>
          <w:rFonts w:eastAsiaTheme="minorEastAsia" w:cs="Times New Roman"/>
          <w:b/>
          <w:color w:val="000000"/>
          <w:sz w:val="22"/>
          <w:szCs w:val="22"/>
        </w:rPr>
        <w:t xml:space="preserve">Genome’s </w:t>
      </w:r>
      <w:proofErr w:type="spellStart"/>
      <w:r w:rsidRPr="003E20AB">
        <w:rPr>
          <w:rFonts w:eastAsiaTheme="minorEastAsia" w:cs="Times New Roman"/>
          <w:b/>
          <w:color w:val="000000"/>
          <w:sz w:val="22"/>
          <w:szCs w:val="22"/>
        </w:rPr>
        <w:t>kmer</w:t>
      </w:r>
      <w:proofErr w:type="spellEnd"/>
      <w:r w:rsidRPr="003E20AB">
        <w:rPr>
          <w:rFonts w:eastAsiaTheme="minorEastAsia" w:cs="Times New Roman"/>
          <w:b/>
          <w:color w:val="000000"/>
          <w:sz w:val="22"/>
          <w:szCs w:val="22"/>
        </w:rPr>
        <w:t xml:space="preserve"> signatures.</w:t>
      </w:r>
      <w:proofErr w:type="gramEnd"/>
    </w:p>
    <w:p w14:paraId="67F85F48" w14:textId="77777777" w:rsidR="003E20AB" w:rsidRPr="003E20AB" w:rsidRDefault="003E20AB" w:rsidP="003E20AB">
      <w:pPr>
        <w:widowControl w:val="0"/>
        <w:autoSpaceDE w:val="0"/>
        <w:autoSpaceDN w:val="0"/>
        <w:adjustRightInd w:val="0"/>
        <w:ind w:left="709"/>
        <w:rPr>
          <w:sz w:val="22"/>
          <w:szCs w:val="22"/>
        </w:rPr>
      </w:pPr>
      <w:r w:rsidRPr="003E20AB">
        <w:rPr>
          <w:rFonts w:eastAsiaTheme="minorEastAsia" w:cs="Times New Roman"/>
          <w:color w:val="000000"/>
          <w:sz w:val="22"/>
          <w:szCs w:val="22"/>
        </w:rPr>
        <w:t xml:space="preserve">SAGEX requires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contigs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to pass two tests before calling them hits. First is an identity filter. Second is a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kmer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signature filter. Various genome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kmer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signatures are pictured above demonstrating the intuition behind the second test. Notice how the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EColi’s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genome and SAG share very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similar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kmer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signatures. The image is generated by calculating the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tetranucleotide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</w:t>
      </w:r>
      <w:r>
        <w:rPr>
          <w:rFonts w:eastAsiaTheme="minorEastAsia" w:cs="Times New Roman"/>
          <w:color w:val="000000"/>
          <w:sz w:val="22"/>
          <w:szCs w:val="22"/>
        </w:rPr>
        <w:t>f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requencies of each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contig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>, converting counts to proportions,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transforming all data to the principal component basis of the standardized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>, and plotting only two principal components.</w:t>
      </w:r>
    </w:p>
    <w:p w14:paraId="3E6C3083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78DE5E2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9B8F633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0619F3" wp14:editId="5A1E66AD">
            <wp:extent cx="5478145" cy="4935855"/>
            <wp:effectExtent l="0" t="0" r="8255" b="0"/>
            <wp:docPr id="4" name="Picture 3" descr="RAID1:Users:wdurno:sagex:sagExtrap5:sagex:paper: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D1:Users:wdurno:sagex:sagExtrap5:sagex:paper:e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0055" w14:textId="77777777" w:rsidR="003E20AB" w:rsidRPr="003E20AB" w:rsidRDefault="003E20AB" w:rsidP="00965B73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b/>
          <w:color w:val="000000"/>
          <w:sz w:val="22"/>
          <w:szCs w:val="22"/>
        </w:rPr>
      </w:pPr>
      <w:r w:rsidRPr="003E20AB">
        <w:rPr>
          <w:rFonts w:eastAsiaTheme="minorEastAsia" w:cs="Times New Roman"/>
          <w:b/>
          <w:bCs/>
          <w:color w:val="193441"/>
          <w:sz w:val="22"/>
          <w:szCs w:val="22"/>
        </w:rPr>
        <w:t>Figure 4</w:t>
      </w:r>
      <w:r w:rsidRPr="003E20AB">
        <w:rPr>
          <w:rFonts w:eastAsiaTheme="minorEastAsia" w:cs="Times New Roman"/>
          <w:b/>
          <w:color w:val="000000"/>
          <w:sz w:val="22"/>
          <w:szCs w:val="22"/>
        </w:rPr>
        <w:t xml:space="preserve">. </w:t>
      </w:r>
      <w:proofErr w:type="gramStart"/>
      <w:r w:rsidRPr="003E20AB">
        <w:rPr>
          <w:rFonts w:eastAsiaTheme="minorEastAsia" w:cs="Times New Roman"/>
          <w:b/>
          <w:color w:val="000000"/>
          <w:sz w:val="22"/>
          <w:szCs w:val="22"/>
        </w:rPr>
        <w:t>Error analyses of SAGEX.</w:t>
      </w:r>
      <w:proofErr w:type="gramEnd"/>
    </w:p>
    <w:p w14:paraId="4C23812F" w14:textId="0B03021A" w:rsidR="003E20AB" w:rsidRDefault="003E20AB" w:rsidP="00965B73">
      <w:pPr>
        <w:widowControl w:val="0"/>
        <w:autoSpaceDE w:val="0"/>
        <w:autoSpaceDN w:val="0"/>
        <w:adjustRightInd w:val="0"/>
        <w:ind w:left="709"/>
        <w:rPr>
          <w:sz w:val="22"/>
          <w:szCs w:val="22"/>
        </w:rPr>
      </w:pPr>
      <w:r w:rsidRPr="003E20AB">
        <w:rPr>
          <w:rFonts w:eastAsiaTheme="minorEastAsia" w:cs="Times New Roman"/>
          <w:b/>
          <w:color w:val="000000"/>
          <w:sz w:val="22"/>
          <w:szCs w:val="22"/>
        </w:rPr>
        <w:t>(</w:t>
      </w:r>
      <w:proofErr w:type="spellStart"/>
      <w:proofErr w:type="gramStart"/>
      <w:r w:rsidRPr="003E20AB">
        <w:rPr>
          <w:rFonts w:eastAsiaTheme="minorEastAsia" w:cs="Times New Roman"/>
          <w:b/>
          <w:color w:val="000000"/>
          <w:sz w:val="22"/>
          <w:szCs w:val="22"/>
        </w:rPr>
        <w:t>a</w:t>
      </w:r>
      <w:proofErr w:type="gramEnd"/>
      <w:r w:rsidRPr="003E20AB">
        <w:rPr>
          <w:rFonts w:eastAsiaTheme="minorEastAsia" w:cs="Times New Roman"/>
          <w:b/>
          <w:color w:val="000000"/>
          <w:sz w:val="22"/>
          <w:szCs w:val="22"/>
        </w:rPr>
        <w:t>,b</w:t>
      </w:r>
      <w:proofErr w:type="spellEnd"/>
      <w:r w:rsidRPr="003E20AB">
        <w:rPr>
          <w:rFonts w:eastAsiaTheme="minorEastAsia" w:cs="Times New Roman"/>
          <w:b/>
          <w:color w:val="000000"/>
          <w:sz w:val="22"/>
          <w:szCs w:val="22"/>
        </w:rPr>
        <w:t>)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 Classification errors were estimated for SAGEX using </w:t>
      </w:r>
      <w:proofErr w:type="gramStart"/>
      <w:r w:rsidRPr="003E20AB">
        <w:rPr>
          <w:rFonts w:eastAsiaTheme="minorEastAsia" w:cs="Times New Roman"/>
          <w:color w:val="000000"/>
          <w:sz w:val="22"/>
          <w:szCs w:val="22"/>
        </w:rPr>
        <w:t>an E. Coli MG1655 SAG</w:t>
      </w:r>
      <w:proofErr w:type="gram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[4] as training data, a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Saanich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Inlet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[5] as false hits, and an E. Coli MG1655 isolate genome [6] as true hits. E. Coli MG1655 was ideal because it is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not expected to occur naturally in the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, thus not confusing true and false hits. </w:t>
      </w:r>
      <w:r w:rsidRPr="003E20AB">
        <w:rPr>
          <w:rFonts w:eastAsiaTheme="minorEastAsia" w:cs="Times New Roman"/>
          <w:b/>
          <w:color w:val="000000"/>
          <w:sz w:val="22"/>
          <w:szCs w:val="22"/>
        </w:rPr>
        <w:t>(c)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 SAGEX PPV was validated because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E. Coli is too ideal a case. We conclude that SAGEX should be used with a SAG and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from the same sample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(or similar). To validate SAGEX PPV, the 129 SUP05 SAGs were run against 48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metagenomes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at various depths and times.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BLAST was used to query SAGEX identified ORFs against a database containing all SUP05 SAG </w:t>
      </w:r>
      <w:r>
        <w:rPr>
          <w:rFonts w:eastAsiaTheme="minorEastAsia" w:cs="Times New Roman"/>
          <w:color w:val="000000"/>
          <w:sz w:val="22"/>
          <w:szCs w:val="22"/>
        </w:rPr>
        <w:t>s</w:t>
      </w:r>
      <w:r w:rsidRPr="003E20AB">
        <w:rPr>
          <w:rFonts w:eastAsiaTheme="minorEastAsia" w:cs="Times New Roman"/>
          <w:color w:val="000000"/>
          <w:sz w:val="22"/>
          <w:szCs w:val="22"/>
        </w:rPr>
        <w:t>equences, requiring at least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>one successful hit for validation. (</w:t>
      </w:r>
      <w:proofErr w:type="spellStart"/>
      <w:proofErr w:type="gramStart"/>
      <w:r w:rsidRPr="003E20AB">
        <w:rPr>
          <w:rFonts w:eastAsiaTheme="minorEastAsia" w:cs="Times New Roman"/>
          <w:color w:val="000000"/>
          <w:sz w:val="22"/>
          <w:szCs w:val="22"/>
        </w:rPr>
        <w:t>c</w:t>
      </w:r>
      <w:proofErr w:type="gramEnd"/>
      <w:r w:rsidRPr="003E20AB">
        <w:rPr>
          <w:rFonts w:eastAsiaTheme="minorEastAsia" w:cs="Times New Roman"/>
          <w:color w:val="000000"/>
          <w:sz w:val="22"/>
          <w:szCs w:val="22"/>
        </w:rPr>
        <w:t>,top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), The average validated PPV per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>. Dots represent sample points in time and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depth. Interpolation was used to create the contour plot in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Matlab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>. (</w:t>
      </w:r>
      <w:proofErr w:type="spellStart"/>
      <w:proofErr w:type="gramStart"/>
      <w:r w:rsidRPr="003E20AB">
        <w:rPr>
          <w:rFonts w:eastAsiaTheme="minorEastAsia" w:cs="Times New Roman"/>
          <w:color w:val="000000"/>
          <w:sz w:val="22"/>
          <w:szCs w:val="22"/>
        </w:rPr>
        <w:t>c</w:t>
      </w:r>
      <w:proofErr w:type="gramEnd"/>
      <w:r w:rsidRPr="003E20AB">
        <w:rPr>
          <w:rFonts w:eastAsiaTheme="minorEastAsia" w:cs="Times New Roman"/>
          <w:color w:val="000000"/>
          <w:sz w:val="22"/>
          <w:szCs w:val="22"/>
        </w:rPr>
        <w:t>,bottom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>), H2S concentrations. SUP05 is a sulfur-oxidizing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gamma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proteobacterial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group known to inhabit anoxic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sulfidic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waters up to 4μM </w:t>
      </w:r>
      <w:proofErr w:type="gramStart"/>
      <w:r w:rsidRPr="003E20AB">
        <w:rPr>
          <w:rFonts w:eastAsiaTheme="minorEastAsia" w:cs="Times New Roman"/>
          <w:color w:val="000000"/>
          <w:sz w:val="22"/>
          <w:szCs w:val="22"/>
        </w:rPr>
        <w:t>H2S,</w:t>
      </w:r>
      <w:proofErr w:type="gram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High validated PPV is associated with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>increased SUP05 abundance and water column H2S concentrations. The higher validated PPV in upper waters appears to be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>associated with a second group of putative sulfur-oxidizing bacteria, Arctic96BD-19 closely related to SUP05.</w:t>
      </w:r>
    </w:p>
    <w:p w14:paraId="0D745971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3980E28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B63E0A9" w14:textId="46A09F36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3488E9E" wp14:editId="625A8B58">
            <wp:extent cx="5478145" cy="2184400"/>
            <wp:effectExtent l="0" t="0" r="8255" b="0"/>
            <wp:docPr id="5" name="Picture 4" descr="RAID1:Users:wdurno:sagex:sagExtrap5:sagex:paper:rp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ID1:Users:wdurno:sagex:sagExtrap5:sagex:paper:rpk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7BDB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DD2267A" w14:textId="388F77B6" w:rsidR="00965B73" w:rsidRPr="00965B73" w:rsidRDefault="00965B73" w:rsidP="009F55FC">
      <w:pPr>
        <w:widowControl w:val="0"/>
        <w:autoSpaceDE w:val="0"/>
        <w:autoSpaceDN w:val="0"/>
        <w:adjustRightInd w:val="0"/>
        <w:ind w:left="28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Figure 5. </w:t>
      </w:r>
      <w:proofErr w:type="gramStart"/>
      <w:r>
        <w:rPr>
          <w:b/>
          <w:sz w:val="22"/>
          <w:szCs w:val="22"/>
        </w:rPr>
        <w:t>SUP05 RPKM recruitment.</w:t>
      </w:r>
      <w:proofErr w:type="gramEnd"/>
    </w:p>
    <w:p w14:paraId="221AC65B" w14:textId="7DDA8AA2" w:rsidR="00965B73" w:rsidRDefault="00965B73" w:rsidP="009F55FC">
      <w:pPr>
        <w:widowControl w:val="0"/>
        <w:autoSpaceDE w:val="0"/>
        <w:autoSpaceDN w:val="0"/>
        <w:adjustRightInd w:val="0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This interpolated surface of average SUP05 RPKM recruitment from </w:t>
      </w:r>
      <w:proofErr w:type="spellStart"/>
      <w:r>
        <w:rPr>
          <w:sz w:val="22"/>
          <w:szCs w:val="22"/>
        </w:rPr>
        <w:t>metagenomes</w:t>
      </w:r>
      <w:proofErr w:type="spellEnd"/>
      <w:r>
        <w:rPr>
          <w:sz w:val="22"/>
          <w:szCs w:val="22"/>
        </w:rPr>
        <w:t xml:space="preserve"> at varying depths and times demonstrates that SAGEX may be used to infer abundances of relatives to the SAG used to train SAGEX.</w:t>
      </w:r>
    </w:p>
    <w:p w14:paraId="783845BB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1D80B60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8391FD6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2875D43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E11AB61" w14:textId="77777777" w:rsidR="00965B73" w:rsidRP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sectPr w:rsidR="00965B73" w:rsidRPr="00965B73" w:rsidSect="005F3CF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A7CED"/>
    <w:multiLevelType w:val="hybridMultilevel"/>
    <w:tmpl w:val="AF60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8D"/>
    <w:rsid w:val="0027108D"/>
    <w:rsid w:val="003E20AB"/>
    <w:rsid w:val="00431D5B"/>
    <w:rsid w:val="00520213"/>
    <w:rsid w:val="005F3CF5"/>
    <w:rsid w:val="00915CC8"/>
    <w:rsid w:val="0093476E"/>
    <w:rsid w:val="00965B73"/>
    <w:rsid w:val="009F55FC"/>
    <w:rsid w:val="00B32EC0"/>
    <w:rsid w:val="00CA34A0"/>
    <w:rsid w:val="00E264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E8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8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8D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2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8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8D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470</Words>
  <Characters>2680</Characters>
  <Application>Microsoft Macintosh Word</Application>
  <DocSecurity>0</DocSecurity>
  <Lines>22</Lines>
  <Paragraphs>6</Paragraphs>
  <ScaleCrop>false</ScaleCrop>
  <Company>Microbiology &amp; Immunology, UBC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Durno</dc:creator>
  <cp:keywords/>
  <dc:description/>
  <cp:lastModifiedBy>Evan Durno</cp:lastModifiedBy>
  <cp:revision>5</cp:revision>
  <dcterms:created xsi:type="dcterms:W3CDTF">2015-03-23T23:16:00Z</dcterms:created>
  <dcterms:modified xsi:type="dcterms:W3CDTF">2015-03-23T23:26:00Z</dcterms:modified>
</cp:coreProperties>
</file>