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BC9673" w14:textId="069F45B5" w:rsidR="00B72E50" w:rsidRPr="00591ACE" w:rsidRDefault="00F80EBF">
      <w:pPr>
        <w:rPr>
          <w:b/>
          <w:u w:val="single"/>
        </w:rPr>
      </w:pPr>
      <w:r w:rsidRPr="00591ACE">
        <w:rPr>
          <w:b/>
          <w:u w:val="single"/>
        </w:rPr>
        <w:t>Abstract</w:t>
      </w:r>
    </w:p>
    <w:p w14:paraId="4DC8D5F0" w14:textId="77777777" w:rsidR="00F80EBF" w:rsidRDefault="00F80EBF" w:rsidP="00F80EBF">
      <w:pPr>
        <w:widowControl w:val="0"/>
        <w:autoSpaceDE w:val="0"/>
        <w:autoSpaceDN w:val="0"/>
        <w:adjustRightInd w:val="0"/>
        <w:rPr>
          <w:rFonts w:cs="Times New Roman"/>
        </w:rPr>
      </w:pPr>
    </w:p>
    <w:p w14:paraId="2CC42E0F" w14:textId="7D27AF11" w:rsidR="00F80EBF" w:rsidRPr="003F6871" w:rsidRDefault="00F80EBF" w:rsidP="00F80EBF">
      <w:pPr>
        <w:widowControl w:val="0"/>
        <w:autoSpaceDE w:val="0"/>
        <w:autoSpaceDN w:val="0"/>
        <w:adjustRightInd w:val="0"/>
        <w:rPr>
          <w:rFonts w:cs="Times New Roman"/>
          <w:u w:val="single"/>
        </w:rPr>
      </w:pPr>
      <w:r w:rsidRPr="003F6871">
        <w:rPr>
          <w:rFonts w:cs="Times New Roman"/>
          <w:b/>
          <w:u w:val="single"/>
        </w:rPr>
        <w:t>Introduction</w:t>
      </w:r>
    </w:p>
    <w:p w14:paraId="783F3CA1" w14:textId="3423BDDA" w:rsidR="00F80EBF" w:rsidRDefault="00F80EBF" w:rsidP="00F80EBF">
      <w:pPr>
        <w:widowControl w:val="0"/>
        <w:autoSpaceDE w:val="0"/>
        <w:autoSpaceDN w:val="0"/>
        <w:adjustRightInd w:val="0"/>
        <w:rPr>
          <w:rFonts w:cs="Times New Roman"/>
        </w:rPr>
      </w:pPr>
      <w:r w:rsidRPr="00F80EBF">
        <w:rPr>
          <w:rFonts w:cs="Times New Roman"/>
        </w:rPr>
        <w:t>Single-cell amplified genome (SAG) sequencing promises</w:t>
      </w:r>
      <w:r>
        <w:rPr>
          <w:rFonts w:cs="Times New Roman"/>
        </w:rPr>
        <w:t xml:space="preserve"> </w:t>
      </w:r>
      <w:r w:rsidRPr="00F80EBF">
        <w:rPr>
          <w:rFonts w:cs="Times New Roman"/>
        </w:rPr>
        <w:t>to provide a powerful adjunct to shotgun sequencing</w:t>
      </w:r>
      <w:r>
        <w:rPr>
          <w:rFonts w:cs="Times New Roman"/>
        </w:rPr>
        <w:t xml:space="preserve"> </w:t>
      </w:r>
      <w:r w:rsidRPr="00F80EBF">
        <w:rPr>
          <w:rFonts w:cs="Times New Roman"/>
        </w:rPr>
        <w:t>of environmental DNA (e.g. metagenome) in determining</w:t>
      </w:r>
      <w:r>
        <w:rPr>
          <w:rFonts w:cs="Times New Roman"/>
        </w:rPr>
        <w:t xml:space="preserve"> </w:t>
      </w:r>
      <w:r w:rsidRPr="00F80EBF">
        <w:rPr>
          <w:rFonts w:cs="Times New Roman"/>
        </w:rPr>
        <w:t>uncultivated microbial community structure and function.</w:t>
      </w:r>
      <w:r>
        <w:rPr>
          <w:rFonts w:cs="Times New Roman"/>
        </w:rPr>
        <w:t xml:space="preserve"> </w:t>
      </w:r>
      <w:r w:rsidRPr="00F80EBF">
        <w:rPr>
          <w:rFonts w:cs="Times New Roman"/>
        </w:rPr>
        <w:t>Resulting SAG sequences can be unambiguously assigned</w:t>
      </w:r>
      <w:r>
        <w:rPr>
          <w:rFonts w:cs="Times New Roman"/>
        </w:rPr>
        <w:t xml:space="preserve"> </w:t>
      </w:r>
      <w:r w:rsidRPr="00F80EBF">
        <w:rPr>
          <w:rFonts w:cs="Times New Roman"/>
        </w:rPr>
        <w:t>to cognate taxa providing robust fragment recruitment platforms</w:t>
      </w:r>
      <w:r>
        <w:rPr>
          <w:rFonts w:cs="Times New Roman"/>
        </w:rPr>
        <w:t xml:space="preserve"> </w:t>
      </w:r>
      <w:r w:rsidRPr="00F80EBF">
        <w:rPr>
          <w:rFonts w:cs="Times New Roman"/>
        </w:rPr>
        <w:t>for determining gene frequency distribution patterns</w:t>
      </w:r>
      <w:r>
        <w:rPr>
          <w:rFonts w:cs="Times New Roman"/>
        </w:rPr>
        <w:t xml:space="preserve"> </w:t>
      </w:r>
      <w:r w:rsidRPr="00F80EBF">
        <w:rPr>
          <w:rFonts w:cs="Times New Roman"/>
        </w:rPr>
        <w:t>and population structure in natural and human engineered</w:t>
      </w:r>
      <w:r>
        <w:rPr>
          <w:rFonts w:cs="Times New Roman"/>
        </w:rPr>
        <w:t xml:space="preserve"> </w:t>
      </w:r>
      <w:r w:rsidRPr="00F80EBF">
        <w:rPr>
          <w:rFonts w:cs="Times New Roman"/>
        </w:rPr>
        <w:t>ecosystems. Unfortunately the multiple displacement amplification</w:t>
      </w:r>
      <w:r>
        <w:rPr>
          <w:rFonts w:cs="Times New Roman"/>
        </w:rPr>
        <w:t xml:space="preserve"> </w:t>
      </w:r>
      <w:r w:rsidRPr="00F80EBF">
        <w:rPr>
          <w:rFonts w:cs="Times New Roman"/>
        </w:rPr>
        <w:t>process used to generate SAG sequences results</w:t>
      </w:r>
      <w:r>
        <w:rPr>
          <w:rFonts w:cs="Times New Roman"/>
        </w:rPr>
        <w:t xml:space="preserve"> </w:t>
      </w:r>
      <w:r w:rsidRPr="00F80EBF">
        <w:rPr>
          <w:rFonts w:cs="Times New Roman"/>
        </w:rPr>
        <w:t>in substantial gaps in genome coverage. For example, by</w:t>
      </w:r>
      <w:r>
        <w:rPr>
          <w:rFonts w:cs="Times New Roman"/>
        </w:rPr>
        <w:t xml:space="preserve"> </w:t>
      </w:r>
      <w:r w:rsidRPr="00F80EBF">
        <w:rPr>
          <w:rFonts w:cs="Times New Roman"/>
        </w:rPr>
        <w:t>counting Clusters of Orthologous Groups (COGs) [1], we</w:t>
      </w:r>
      <w:r>
        <w:rPr>
          <w:rFonts w:cs="Times New Roman"/>
        </w:rPr>
        <w:t xml:space="preserve"> </w:t>
      </w:r>
      <w:r w:rsidRPr="00F80EBF">
        <w:rPr>
          <w:rFonts w:cs="Times New Roman"/>
        </w:rPr>
        <w:t>show that for a collection of 129 SAGs genome completeness</w:t>
      </w:r>
      <w:r>
        <w:rPr>
          <w:rFonts w:cs="Times New Roman"/>
        </w:rPr>
        <w:t xml:space="preserve"> </w:t>
      </w:r>
      <w:r w:rsidRPr="00F80EBF">
        <w:rPr>
          <w:rFonts w:cs="Times New Roman"/>
        </w:rPr>
        <w:t>ranges between 5-80%</w:t>
      </w:r>
      <w:r w:rsidR="00055877">
        <w:rPr>
          <w:rFonts w:cs="Times New Roman"/>
        </w:rPr>
        <w:t xml:space="preserve"> (Figure 1)</w:t>
      </w:r>
      <w:r w:rsidRPr="00F80EBF">
        <w:rPr>
          <w:rFonts w:cs="Times New Roman"/>
        </w:rPr>
        <w:t xml:space="preserve">. Here, we propose a </w:t>
      </w:r>
      <w:r>
        <w:rPr>
          <w:rFonts w:cs="Times New Roman"/>
        </w:rPr>
        <w:t xml:space="preserve">bioinformatics </w:t>
      </w:r>
      <w:r w:rsidRPr="00F80EBF">
        <w:rPr>
          <w:rFonts w:cs="Times New Roman"/>
        </w:rPr>
        <w:t>remedy to incompleteness inspired by [2], the singlecell</w:t>
      </w:r>
      <w:r>
        <w:rPr>
          <w:rFonts w:cs="Times New Roman"/>
        </w:rPr>
        <w:t xml:space="preserve"> </w:t>
      </w:r>
      <w:r w:rsidRPr="00F80EBF">
        <w:rPr>
          <w:rFonts w:cs="Times New Roman"/>
        </w:rPr>
        <w:t>amplified genome extrapolator (SAGEX) that leverages</w:t>
      </w:r>
      <w:r>
        <w:rPr>
          <w:rFonts w:cs="Times New Roman"/>
        </w:rPr>
        <w:t xml:space="preserve"> </w:t>
      </w:r>
      <w:r w:rsidRPr="00F80EBF">
        <w:rPr>
          <w:rFonts w:cs="Times New Roman"/>
        </w:rPr>
        <w:t>available SAG sequence information to extrapolate genome</w:t>
      </w:r>
      <w:r>
        <w:rPr>
          <w:rFonts w:cs="Times New Roman"/>
        </w:rPr>
        <w:t xml:space="preserve"> </w:t>
      </w:r>
      <w:r w:rsidRPr="00F80EBF">
        <w:rPr>
          <w:rFonts w:cs="Times New Roman"/>
        </w:rPr>
        <w:t>coverage using assembled metagenome sequences generating</w:t>
      </w:r>
      <w:r>
        <w:rPr>
          <w:rFonts w:cs="Times New Roman"/>
        </w:rPr>
        <w:t xml:space="preserve"> </w:t>
      </w:r>
      <w:r w:rsidRPr="00F80EBF">
        <w:rPr>
          <w:rFonts w:cs="Times New Roman"/>
        </w:rPr>
        <w:t xml:space="preserve">a </w:t>
      </w:r>
      <w:r w:rsidR="009061D1">
        <w:rPr>
          <w:rFonts w:cs="Times New Roman"/>
        </w:rPr>
        <w:t>P</w:t>
      </w:r>
      <w:r w:rsidRPr="00F80EBF">
        <w:rPr>
          <w:rFonts w:cs="Times New Roman"/>
        </w:rPr>
        <w:t xml:space="preserve">opulation </w:t>
      </w:r>
      <w:r w:rsidR="009061D1">
        <w:rPr>
          <w:rFonts w:cs="Times New Roman"/>
        </w:rPr>
        <w:t>G</w:t>
      </w:r>
      <w:r w:rsidRPr="00F80EBF">
        <w:rPr>
          <w:rFonts w:cs="Times New Roman"/>
        </w:rPr>
        <w:t xml:space="preserve">enome </w:t>
      </w:r>
      <w:r w:rsidR="009061D1">
        <w:rPr>
          <w:rFonts w:cs="Times New Roman"/>
        </w:rPr>
        <w:t>B</w:t>
      </w:r>
      <w:r w:rsidRPr="00F80EBF">
        <w:rPr>
          <w:rFonts w:cs="Times New Roman"/>
        </w:rPr>
        <w:t>in</w:t>
      </w:r>
      <w:r w:rsidR="009061D1">
        <w:rPr>
          <w:rFonts w:cs="Times New Roman"/>
        </w:rPr>
        <w:t xml:space="preserve"> (PGB)</w:t>
      </w:r>
      <w:r w:rsidRPr="00F80EBF">
        <w:rPr>
          <w:rFonts w:cs="Times New Roman"/>
        </w:rPr>
        <w:t>. SAGEX is capable of high</w:t>
      </w:r>
      <w:r>
        <w:rPr>
          <w:rFonts w:cs="Times New Roman"/>
        </w:rPr>
        <w:t xml:space="preserve"> </w:t>
      </w:r>
      <w:r w:rsidRPr="00F80EBF">
        <w:rPr>
          <w:rFonts w:cs="Times New Roman"/>
        </w:rPr>
        <w:t>Positive Predictive Value (PPV) while maintaining sensitivity</w:t>
      </w:r>
      <w:r>
        <w:rPr>
          <w:rFonts w:cs="Times New Roman"/>
        </w:rPr>
        <w:t xml:space="preserve"> </w:t>
      </w:r>
      <w:r w:rsidRPr="00F80EBF">
        <w:rPr>
          <w:rFonts w:cs="Times New Roman"/>
        </w:rPr>
        <w:t>making it an excellent predictor of related donor genotypes.</w:t>
      </w:r>
      <w:r>
        <w:rPr>
          <w:rFonts w:cs="Times New Roman"/>
        </w:rPr>
        <w:t xml:space="preserve"> </w:t>
      </w:r>
      <w:r w:rsidRPr="00F80EBF">
        <w:rPr>
          <w:rFonts w:cs="Times New Roman"/>
        </w:rPr>
        <w:t>SAGEX is implemented in C/C++ and requires no</w:t>
      </w:r>
      <w:r>
        <w:rPr>
          <w:rFonts w:cs="Times New Roman"/>
        </w:rPr>
        <w:t xml:space="preserve"> </w:t>
      </w:r>
      <w:r w:rsidRPr="00F80EBF">
        <w:rPr>
          <w:rFonts w:cs="Times New Roman"/>
        </w:rPr>
        <w:t>additional libraries beyond the compiler. The pipeline is fast</w:t>
      </w:r>
      <w:r>
        <w:rPr>
          <w:rFonts w:cs="Times New Roman"/>
        </w:rPr>
        <w:t xml:space="preserve"> </w:t>
      </w:r>
      <w:r w:rsidRPr="00F80EBF">
        <w:rPr>
          <w:rFonts w:cs="Times New Roman"/>
        </w:rPr>
        <w:t>(usually running in under 5 minutes) and can be used to</w:t>
      </w:r>
      <w:r>
        <w:rPr>
          <w:rFonts w:cs="Times New Roman"/>
        </w:rPr>
        <w:t xml:space="preserve"> </w:t>
      </w:r>
      <w:r w:rsidRPr="00F80EBF">
        <w:rPr>
          <w:rFonts w:cs="Times New Roman"/>
        </w:rPr>
        <w:t>optionally write kmer coun</w:t>
      </w:r>
      <w:r>
        <w:rPr>
          <w:rFonts w:cs="Times New Roman"/>
        </w:rPr>
        <w:t xml:space="preserve">ts and a kmer PCA readable into </w:t>
      </w:r>
      <w:r w:rsidRPr="00F80EBF">
        <w:rPr>
          <w:rFonts w:cs="Times New Roman"/>
        </w:rPr>
        <w:t>R for visualization.</w:t>
      </w:r>
    </w:p>
    <w:p w14:paraId="718BDDC4" w14:textId="7ACA0CB4" w:rsidR="009061D1" w:rsidRDefault="009061D1" w:rsidP="00F80EBF">
      <w:pPr>
        <w:widowControl w:val="0"/>
        <w:autoSpaceDE w:val="0"/>
        <w:autoSpaceDN w:val="0"/>
        <w:adjustRightInd w:val="0"/>
        <w:rPr>
          <w:rFonts w:cs="Times New Roman"/>
        </w:rPr>
      </w:pPr>
      <w:r>
        <w:rPr>
          <w:rFonts w:cs="Times New Roman"/>
        </w:rPr>
        <w:tab/>
        <w:t xml:space="preserve">SAGEX allows each SAG to be more valuable, because fewer SAGs will be needed to understand a PGB. </w:t>
      </w:r>
      <w:r w:rsidR="001761BB">
        <w:rPr>
          <w:rFonts w:cs="Times New Roman"/>
        </w:rPr>
        <w:t>We demonstrate this point by utilizing SAGEX on organism XXX. We also explore the possibility of using SAGEX to understand organism abundance by counting recruited Reads Per Kilobase per Million mapped reads (RPKM) by leveraging our large collection of SUP05 SAGs.</w:t>
      </w:r>
    </w:p>
    <w:p w14:paraId="17A59265" w14:textId="77777777" w:rsidR="00157BF2" w:rsidRDefault="00157BF2" w:rsidP="00F80EBF">
      <w:pPr>
        <w:widowControl w:val="0"/>
        <w:autoSpaceDE w:val="0"/>
        <w:autoSpaceDN w:val="0"/>
        <w:adjustRightInd w:val="0"/>
        <w:rPr>
          <w:rFonts w:cs="Times New Roman"/>
        </w:rPr>
      </w:pPr>
    </w:p>
    <w:p w14:paraId="16765912" w14:textId="77777777" w:rsidR="00DC41AE" w:rsidRDefault="00157BF2" w:rsidP="00F80EBF">
      <w:pPr>
        <w:widowControl w:val="0"/>
        <w:autoSpaceDE w:val="0"/>
        <w:autoSpaceDN w:val="0"/>
        <w:adjustRightInd w:val="0"/>
        <w:rPr>
          <w:rFonts w:cs="Times New Roman"/>
        </w:rPr>
      </w:pPr>
      <w:r w:rsidRPr="00157BF2">
        <w:rPr>
          <w:rFonts w:cs="Times New Roman"/>
          <w:i/>
          <w:u w:val="single"/>
        </w:rPr>
        <w:t>REMARKS</w:t>
      </w:r>
      <w:r w:rsidR="00DC41AE">
        <w:rPr>
          <w:rFonts w:cs="Times New Roman"/>
          <w:i/>
          <w:u w:val="single"/>
        </w:rPr>
        <w:t>:</w:t>
      </w:r>
      <w:r w:rsidR="00DC41AE">
        <w:rPr>
          <w:rFonts w:cs="Times New Roman"/>
        </w:rPr>
        <w:t xml:space="preserve"> </w:t>
      </w:r>
    </w:p>
    <w:p w14:paraId="45EDD980" w14:textId="5543B2FF" w:rsidR="00157BF2" w:rsidRDefault="00DC41AE" w:rsidP="00F80EBF">
      <w:pPr>
        <w:widowControl w:val="0"/>
        <w:autoSpaceDE w:val="0"/>
        <w:autoSpaceDN w:val="0"/>
        <w:adjustRightInd w:val="0"/>
        <w:rPr>
          <w:rFonts w:cs="Times New Roman"/>
        </w:rPr>
      </w:pPr>
      <w:r>
        <w:rPr>
          <w:rFonts w:cs="Times New Roman"/>
        </w:rPr>
        <w:t>The hooks for selling SAGEX are two-fold:</w:t>
      </w:r>
    </w:p>
    <w:p w14:paraId="0CAB1BEE" w14:textId="6614A4C3" w:rsidR="00DC41AE" w:rsidRPr="00DC41AE" w:rsidRDefault="00DC41AE" w:rsidP="00DC41AE">
      <w:pPr>
        <w:pStyle w:val="ListParagraph"/>
        <w:widowControl w:val="0"/>
        <w:numPr>
          <w:ilvl w:val="0"/>
          <w:numId w:val="1"/>
        </w:numPr>
        <w:autoSpaceDE w:val="0"/>
        <w:autoSpaceDN w:val="0"/>
        <w:adjustRightInd w:val="0"/>
        <w:rPr>
          <w:rFonts w:cs="Times New Roman"/>
        </w:rPr>
      </w:pPr>
      <w:r w:rsidRPr="00DC41AE">
        <w:rPr>
          <w:rFonts w:cs="Times New Roman"/>
        </w:rPr>
        <w:t>Users get more out of their SAGs via greater completion (extrapolation). Fewer SAGs may be required to perform an experiment or their sequencing can represent more taxonomic variety.</w:t>
      </w:r>
    </w:p>
    <w:p w14:paraId="240E0EA3" w14:textId="782890CA" w:rsidR="00DC41AE" w:rsidRPr="00DC41AE" w:rsidRDefault="00DC41AE" w:rsidP="00DC41AE">
      <w:pPr>
        <w:pStyle w:val="ListParagraph"/>
        <w:widowControl w:val="0"/>
        <w:numPr>
          <w:ilvl w:val="0"/>
          <w:numId w:val="1"/>
        </w:numPr>
        <w:autoSpaceDE w:val="0"/>
        <w:autoSpaceDN w:val="0"/>
        <w:adjustRightInd w:val="0"/>
        <w:rPr>
          <w:rFonts w:cs="Times New Roman"/>
        </w:rPr>
      </w:pPr>
      <w:r>
        <w:rPr>
          <w:rFonts w:cs="Times New Roman"/>
        </w:rPr>
        <w:t>Combining with RPKM demonstrates where relatives of the SAG have been across several metagenomes.</w:t>
      </w:r>
    </w:p>
    <w:p w14:paraId="21766BE5" w14:textId="77777777" w:rsidR="00055877" w:rsidRDefault="00055877" w:rsidP="003C47CB">
      <w:pPr>
        <w:widowControl w:val="0"/>
        <w:autoSpaceDE w:val="0"/>
        <w:autoSpaceDN w:val="0"/>
        <w:adjustRightInd w:val="0"/>
        <w:rPr>
          <w:rFonts w:cs="Times New Roman"/>
        </w:rPr>
      </w:pPr>
    </w:p>
    <w:p w14:paraId="2F10429E" w14:textId="4E2A8521" w:rsidR="00055877" w:rsidRPr="003F6871" w:rsidRDefault="00055877" w:rsidP="00F80EBF">
      <w:pPr>
        <w:widowControl w:val="0"/>
        <w:autoSpaceDE w:val="0"/>
        <w:autoSpaceDN w:val="0"/>
        <w:adjustRightInd w:val="0"/>
        <w:rPr>
          <w:rFonts w:cs="Times New Roman"/>
          <w:u w:val="single"/>
        </w:rPr>
      </w:pPr>
      <w:r w:rsidRPr="003F6871">
        <w:rPr>
          <w:rFonts w:cs="Times New Roman"/>
          <w:b/>
          <w:u w:val="single"/>
        </w:rPr>
        <w:t>Methodology</w:t>
      </w:r>
    </w:p>
    <w:p w14:paraId="47478ACC" w14:textId="77777777" w:rsidR="00DC41AE" w:rsidRDefault="00DC41AE" w:rsidP="00F80EBF">
      <w:pPr>
        <w:widowControl w:val="0"/>
        <w:autoSpaceDE w:val="0"/>
        <w:autoSpaceDN w:val="0"/>
        <w:adjustRightInd w:val="0"/>
        <w:rPr>
          <w:rFonts w:cs="Times New Roman"/>
        </w:rPr>
      </w:pPr>
    </w:p>
    <w:p w14:paraId="1EA47FDD" w14:textId="7B8ACDB6" w:rsidR="00DC41AE" w:rsidRDefault="00DC41AE" w:rsidP="00F80EBF">
      <w:pPr>
        <w:widowControl w:val="0"/>
        <w:autoSpaceDE w:val="0"/>
        <w:autoSpaceDN w:val="0"/>
        <w:adjustRightInd w:val="0"/>
        <w:rPr>
          <w:rFonts w:cs="Times New Roman"/>
        </w:rPr>
      </w:pPr>
      <w:r>
        <w:rPr>
          <w:rFonts w:cs="Times New Roman"/>
          <w:i/>
          <w:u w:val="single"/>
        </w:rPr>
        <w:t>REMARKS:</w:t>
      </w:r>
      <w:r>
        <w:rPr>
          <w:rFonts w:cs="Times New Roman"/>
        </w:rPr>
        <w:t xml:space="preserve"> </w:t>
      </w:r>
    </w:p>
    <w:p w14:paraId="7587F339" w14:textId="5D3F17E2" w:rsidR="00DC41AE" w:rsidRDefault="00DC41AE" w:rsidP="00F80EBF">
      <w:pPr>
        <w:widowControl w:val="0"/>
        <w:autoSpaceDE w:val="0"/>
        <w:autoSpaceDN w:val="0"/>
        <w:adjustRightInd w:val="0"/>
        <w:rPr>
          <w:rFonts w:cs="Times New Roman"/>
        </w:rPr>
      </w:pPr>
      <w:r>
        <w:rPr>
          <w:rFonts w:cs="Times New Roman"/>
        </w:rPr>
        <w:t>Currently we are combining methodology and discussion until a target journal is decided. The general sections of this section follow.</w:t>
      </w:r>
    </w:p>
    <w:p w14:paraId="0A88C30D" w14:textId="29078A99" w:rsidR="00DC41AE" w:rsidRDefault="00DC41AE" w:rsidP="00DC41AE">
      <w:pPr>
        <w:pStyle w:val="ListParagraph"/>
        <w:widowControl w:val="0"/>
        <w:numPr>
          <w:ilvl w:val="0"/>
          <w:numId w:val="2"/>
        </w:numPr>
        <w:autoSpaceDE w:val="0"/>
        <w:autoSpaceDN w:val="0"/>
        <w:adjustRightInd w:val="0"/>
        <w:rPr>
          <w:rFonts w:cs="Times New Roman"/>
        </w:rPr>
      </w:pPr>
      <w:r w:rsidRPr="00DC41AE">
        <w:rPr>
          <w:rFonts w:cs="Times New Roman"/>
        </w:rPr>
        <w:t>A description of how SAGEX works</w:t>
      </w:r>
      <w:r>
        <w:rPr>
          <w:rFonts w:cs="Times New Roman"/>
        </w:rPr>
        <w:t xml:space="preserve"> (figure 2)</w:t>
      </w:r>
    </w:p>
    <w:p w14:paraId="3F8BB44D" w14:textId="1D08404B" w:rsidR="00DC41AE" w:rsidRDefault="00DC41AE" w:rsidP="00DC41AE">
      <w:pPr>
        <w:widowControl w:val="0"/>
        <w:autoSpaceDE w:val="0"/>
        <w:autoSpaceDN w:val="0"/>
        <w:adjustRightInd w:val="0"/>
        <w:ind w:left="360" w:firstLine="360"/>
        <w:rPr>
          <w:rFonts w:cs="Times New Roman"/>
        </w:rPr>
      </w:pPr>
      <w:r>
        <w:rPr>
          <w:rFonts w:cs="Times New Roman"/>
        </w:rPr>
        <w:t>2a. Cover general usage</w:t>
      </w:r>
    </w:p>
    <w:p w14:paraId="3B221005" w14:textId="27064EE9" w:rsidR="00DC41AE" w:rsidRDefault="00DC41AE" w:rsidP="00DC41AE">
      <w:pPr>
        <w:widowControl w:val="0"/>
        <w:autoSpaceDE w:val="0"/>
        <w:autoSpaceDN w:val="0"/>
        <w:adjustRightInd w:val="0"/>
        <w:ind w:left="360" w:firstLine="360"/>
        <w:rPr>
          <w:rFonts w:cs="Times New Roman"/>
        </w:rPr>
      </w:pPr>
      <w:r>
        <w:rPr>
          <w:rFonts w:cs="Times New Roman"/>
        </w:rPr>
        <w:t>2b. Identity filter</w:t>
      </w:r>
    </w:p>
    <w:p w14:paraId="60974A32" w14:textId="215CD292" w:rsidR="00DC41AE" w:rsidRDefault="00DC41AE" w:rsidP="00DC41AE">
      <w:pPr>
        <w:widowControl w:val="0"/>
        <w:autoSpaceDE w:val="0"/>
        <w:autoSpaceDN w:val="0"/>
        <w:adjustRightInd w:val="0"/>
        <w:ind w:left="360" w:firstLine="360"/>
        <w:rPr>
          <w:rFonts w:cs="Times New Roman"/>
        </w:rPr>
      </w:pPr>
      <w:r>
        <w:rPr>
          <w:rFonts w:cs="Times New Roman"/>
        </w:rPr>
        <w:t>2c. Kmer signature filter (figure 3)</w:t>
      </w:r>
    </w:p>
    <w:p w14:paraId="380E05F4" w14:textId="699B8E30" w:rsidR="00DC41AE" w:rsidRPr="00DC41AE" w:rsidRDefault="00DC41AE" w:rsidP="00DC41AE">
      <w:pPr>
        <w:widowControl w:val="0"/>
        <w:autoSpaceDE w:val="0"/>
        <w:autoSpaceDN w:val="0"/>
        <w:adjustRightInd w:val="0"/>
        <w:ind w:left="360" w:firstLine="360"/>
        <w:rPr>
          <w:rFonts w:cs="Times New Roman"/>
        </w:rPr>
      </w:pPr>
      <w:r>
        <w:rPr>
          <w:rFonts w:cs="Times New Roman"/>
        </w:rPr>
        <w:t>2d. Optional byproducts: kemrs, R-plottable PCA</w:t>
      </w:r>
    </w:p>
    <w:p w14:paraId="377F32BF" w14:textId="7B4BA43A" w:rsidR="00DC41AE" w:rsidRDefault="00DC41AE" w:rsidP="00DC41AE">
      <w:pPr>
        <w:pStyle w:val="ListParagraph"/>
        <w:widowControl w:val="0"/>
        <w:numPr>
          <w:ilvl w:val="0"/>
          <w:numId w:val="2"/>
        </w:numPr>
        <w:autoSpaceDE w:val="0"/>
        <w:autoSpaceDN w:val="0"/>
        <w:adjustRightInd w:val="0"/>
        <w:rPr>
          <w:rFonts w:cs="Times New Roman"/>
        </w:rPr>
      </w:pPr>
      <w:r>
        <w:rPr>
          <w:rFonts w:cs="Times New Roman"/>
        </w:rPr>
        <w:lastRenderedPageBreak/>
        <w:t>Error Analysis (figure 4)</w:t>
      </w:r>
    </w:p>
    <w:p w14:paraId="1937010F" w14:textId="7DCD0640" w:rsidR="00DC41AE" w:rsidRDefault="00DC41AE" w:rsidP="00DC41AE">
      <w:pPr>
        <w:widowControl w:val="0"/>
        <w:autoSpaceDE w:val="0"/>
        <w:autoSpaceDN w:val="0"/>
        <w:adjustRightInd w:val="0"/>
        <w:ind w:left="360" w:firstLine="360"/>
        <w:rPr>
          <w:rFonts w:cs="Times New Roman"/>
        </w:rPr>
      </w:pPr>
      <w:r>
        <w:rPr>
          <w:rFonts w:cs="Times New Roman"/>
        </w:rPr>
        <w:t>2a. Ecoli error analysis covers ideal circumstances</w:t>
      </w:r>
    </w:p>
    <w:p w14:paraId="75634EA5" w14:textId="6910D14D" w:rsidR="00DC41AE" w:rsidRDefault="00DC41AE" w:rsidP="00DC41AE">
      <w:pPr>
        <w:widowControl w:val="0"/>
        <w:autoSpaceDE w:val="0"/>
        <w:autoSpaceDN w:val="0"/>
        <w:adjustRightInd w:val="0"/>
        <w:ind w:left="360" w:firstLine="360"/>
        <w:rPr>
          <w:rFonts w:cs="Times New Roman"/>
        </w:rPr>
      </w:pPr>
      <w:r>
        <w:rPr>
          <w:rFonts w:cs="Times New Roman"/>
        </w:rPr>
        <w:t>2b. Sell the excellent PPV-sensitivity trade-off</w:t>
      </w:r>
    </w:p>
    <w:p w14:paraId="3D75BE42" w14:textId="453A6352" w:rsidR="00DC41AE" w:rsidRPr="00DC41AE" w:rsidRDefault="00DC41AE" w:rsidP="00DC41AE">
      <w:pPr>
        <w:widowControl w:val="0"/>
        <w:autoSpaceDE w:val="0"/>
        <w:autoSpaceDN w:val="0"/>
        <w:adjustRightInd w:val="0"/>
        <w:ind w:left="360" w:firstLine="360"/>
        <w:rPr>
          <w:rFonts w:cs="Times New Roman"/>
        </w:rPr>
      </w:pPr>
      <w:r>
        <w:rPr>
          <w:rFonts w:cs="Times New Roman"/>
        </w:rPr>
        <w:t>2c. The 129 SUP05 SAGs are used to validate PPV, a powerful addition</w:t>
      </w:r>
    </w:p>
    <w:p w14:paraId="31DD5E88" w14:textId="4984B1BF" w:rsidR="00DC41AE" w:rsidRDefault="00DC41AE" w:rsidP="00DC41AE">
      <w:pPr>
        <w:pStyle w:val="ListParagraph"/>
        <w:widowControl w:val="0"/>
        <w:numPr>
          <w:ilvl w:val="0"/>
          <w:numId w:val="2"/>
        </w:numPr>
        <w:autoSpaceDE w:val="0"/>
        <w:autoSpaceDN w:val="0"/>
        <w:adjustRightInd w:val="0"/>
        <w:rPr>
          <w:rFonts w:cs="Times New Roman"/>
        </w:rPr>
      </w:pPr>
      <w:r>
        <w:rPr>
          <w:rFonts w:cs="Times New Roman"/>
        </w:rPr>
        <w:t>Application</w:t>
      </w:r>
    </w:p>
    <w:p w14:paraId="7F67BB2D" w14:textId="09E7AF26" w:rsidR="00DC41AE" w:rsidRDefault="00DC41AE" w:rsidP="00DC41AE">
      <w:pPr>
        <w:widowControl w:val="0"/>
        <w:autoSpaceDE w:val="0"/>
        <w:autoSpaceDN w:val="0"/>
        <w:adjustRightInd w:val="0"/>
        <w:ind w:left="360" w:firstLine="360"/>
        <w:rPr>
          <w:rFonts w:cs="Times New Roman"/>
        </w:rPr>
      </w:pPr>
      <w:r>
        <w:rPr>
          <w:rFonts w:cs="Times New Roman"/>
        </w:rPr>
        <w:t>3a. Describe completion after extrapolation (figure 1)</w:t>
      </w:r>
    </w:p>
    <w:p w14:paraId="0106ED5B" w14:textId="4F16CCAB" w:rsidR="00DC41AE" w:rsidRPr="00DC41AE" w:rsidRDefault="00DC41AE" w:rsidP="00DC41AE">
      <w:pPr>
        <w:pStyle w:val="ListParagraph"/>
        <w:widowControl w:val="0"/>
        <w:numPr>
          <w:ilvl w:val="0"/>
          <w:numId w:val="2"/>
        </w:numPr>
        <w:autoSpaceDE w:val="0"/>
        <w:autoSpaceDN w:val="0"/>
        <w:adjustRightInd w:val="0"/>
        <w:rPr>
          <w:rFonts w:cs="Times New Roman"/>
        </w:rPr>
      </w:pPr>
      <w:r w:rsidRPr="00DC41AE">
        <w:rPr>
          <w:rFonts w:cs="Times New Roman"/>
        </w:rPr>
        <w:t>Discussion</w:t>
      </w:r>
    </w:p>
    <w:p w14:paraId="19729CDF" w14:textId="79820E66" w:rsidR="00DC41AE" w:rsidRDefault="00DC41AE" w:rsidP="00DC41AE">
      <w:pPr>
        <w:widowControl w:val="0"/>
        <w:autoSpaceDE w:val="0"/>
        <w:autoSpaceDN w:val="0"/>
        <w:adjustRightInd w:val="0"/>
        <w:ind w:left="360" w:firstLine="360"/>
        <w:rPr>
          <w:rFonts w:cs="Times New Roman"/>
        </w:rPr>
      </w:pPr>
      <w:r>
        <w:rPr>
          <w:rFonts w:cs="Times New Roman"/>
        </w:rPr>
        <w:t>4a. Describe caveats of usage</w:t>
      </w:r>
    </w:p>
    <w:p w14:paraId="11C624E5" w14:textId="0D6F5B84" w:rsidR="00DC41AE" w:rsidRPr="00DC41AE" w:rsidRDefault="00DC41AE" w:rsidP="00DC41AE">
      <w:pPr>
        <w:widowControl w:val="0"/>
        <w:autoSpaceDE w:val="0"/>
        <w:autoSpaceDN w:val="0"/>
        <w:adjustRightInd w:val="0"/>
        <w:ind w:left="360" w:firstLine="360"/>
        <w:rPr>
          <w:rFonts w:cs="Times New Roman"/>
        </w:rPr>
      </w:pPr>
      <w:r>
        <w:rPr>
          <w:rFonts w:cs="Times New Roman"/>
        </w:rPr>
        <w:t>4b. Explore completion of MDM???</w:t>
      </w:r>
    </w:p>
    <w:p w14:paraId="27CA0D44" w14:textId="77777777" w:rsidR="00DC41AE" w:rsidRDefault="00DC41AE" w:rsidP="00F80EBF">
      <w:pPr>
        <w:widowControl w:val="0"/>
        <w:autoSpaceDE w:val="0"/>
        <w:autoSpaceDN w:val="0"/>
        <w:adjustRightInd w:val="0"/>
        <w:rPr>
          <w:rFonts w:cs="Times New Roman"/>
        </w:rPr>
      </w:pPr>
    </w:p>
    <w:p w14:paraId="50422EE2" w14:textId="543540A9" w:rsidR="00055877" w:rsidRDefault="001761BB" w:rsidP="00F80EBF">
      <w:pPr>
        <w:widowControl w:val="0"/>
        <w:autoSpaceDE w:val="0"/>
        <w:autoSpaceDN w:val="0"/>
        <w:adjustRightInd w:val="0"/>
        <w:rPr>
          <w:rFonts w:cs="Times New Roman"/>
        </w:rPr>
      </w:pPr>
      <w:r>
        <w:rPr>
          <w:rFonts w:cs="Times New Roman"/>
        </w:rPr>
        <w:tab/>
      </w:r>
      <w:r w:rsidR="007C0964">
        <w:rPr>
          <w:rFonts w:cs="Times New Roman"/>
        </w:rPr>
        <w:t xml:space="preserve">SAGEX is a classifier. </w:t>
      </w:r>
      <w:r>
        <w:rPr>
          <w:rFonts w:cs="Times New Roman"/>
        </w:rPr>
        <w:t xml:space="preserve">The pipeline (Figure 2), in optimized default behavior, has a simple interface. It accepts an assembled SAG fasta and an assembled metagenome fasta as input, and outputs </w:t>
      </w:r>
      <w:r w:rsidR="007C0964">
        <w:rPr>
          <w:rFonts w:cs="Times New Roman"/>
        </w:rPr>
        <w:t xml:space="preserve">contigs from the metagenome classified to be part of the extrapolated SAG. The SAG is training data for the classifier. The metagenome is the data to be classified. </w:t>
      </w:r>
    </w:p>
    <w:p w14:paraId="671B688E" w14:textId="36739D36" w:rsidR="002C472D" w:rsidRDefault="007A11C7" w:rsidP="00F80EBF">
      <w:pPr>
        <w:widowControl w:val="0"/>
        <w:autoSpaceDE w:val="0"/>
        <w:autoSpaceDN w:val="0"/>
        <w:adjustRightInd w:val="0"/>
        <w:rPr>
          <w:rFonts w:cs="Times New Roman"/>
        </w:rPr>
      </w:pPr>
      <w:r>
        <w:rPr>
          <w:rFonts w:cs="Times New Roman"/>
        </w:rPr>
        <w:tab/>
        <w:t>The classifier works by leveraging two intuitions suggesting a contig may belong to the SAG’s PGB, (1) they should share an identical subsequence, and (2) they have a similar</w:t>
      </w:r>
      <w:r w:rsidR="002C472D">
        <w:rPr>
          <w:rFonts w:cs="Times New Roman"/>
        </w:rPr>
        <w:t xml:space="preserve"> kmer signature (Figure 3). A contig must pass a test for each to be accepted into the extrapolated SAG. Parameters have been optimized to allow for 90% PPV and approximately 60% sensitivity. SAGEX is implemented in C/C++ and requires no additional libraries beyond a compiler allowing the software to remain easy to compile.</w:t>
      </w:r>
    </w:p>
    <w:p w14:paraId="0D7210F6" w14:textId="77777777" w:rsidR="003F6871" w:rsidRDefault="003F6871" w:rsidP="00F80EBF">
      <w:pPr>
        <w:widowControl w:val="0"/>
        <w:autoSpaceDE w:val="0"/>
        <w:autoSpaceDN w:val="0"/>
        <w:adjustRightInd w:val="0"/>
        <w:rPr>
          <w:rFonts w:cs="Times New Roman"/>
        </w:rPr>
      </w:pPr>
    </w:p>
    <w:p w14:paraId="6C015993" w14:textId="37FD5C06" w:rsidR="003F6871" w:rsidRPr="003F6871" w:rsidRDefault="003F6871" w:rsidP="00F80EBF">
      <w:pPr>
        <w:widowControl w:val="0"/>
        <w:autoSpaceDE w:val="0"/>
        <w:autoSpaceDN w:val="0"/>
        <w:adjustRightInd w:val="0"/>
        <w:rPr>
          <w:rFonts w:cs="Times New Roman"/>
          <w:u w:val="single"/>
        </w:rPr>
      </w:pPr>
      <w:r>
        <w:rPr>
          <w:rFonts w:cs="Times New Roman"/>
          <w:u w:val="single"/>
        </w:rPr>
        <w:t>The classification rule</w:t>
      </w:r>
    </w:p>
    <w:p w14:paraId="160D8386" w14:textId="474B0289" w:rsidR="00055877" w:rsidRDefault="002C472D" w:rsidP="00F80EBF">
      <w:pPr>
        <w:widowControl w:val="0"/>
        <w:autoSpaceDE w:val="0"/>
        <w:autoSpaceDN w:val="0"/>
        <w:adjustRightInd w:val="0"/>
        <w:rPr>
          <w:rFonts w:cs="Times New Roman"/>
        </w:rPr>
      </w:pPr>
      <w:r>
        <w:rPr>
          <w:rFonts w:cs="Times New Roman"/>
          <w:b/>
        </w:rPr>
        <w:tab/>
      </w:r>
      <w:r>
        <w:rPr>
          <w:rFonts w:cs="Times New Roman"/>
        </w:rPr>
        <w:t>The identity filter with stringency M requires each</w:t>
      </w:r>
      <w:r w:rsidR="00344124">
        <w:rPr>
          <w:rFonts w:cs="Times New Roman"/>
        </w:rPr>
        <w:t xml:space="preserve"> candidate</w:t>
      </w:r>
      <w:r>
        <w:rPr>
          <w:rFonts w:cs="Times New Roman"/>
        </w:rPr>
        <w:t xml:space="preserve"> metagenome</w:t>
      </w:r>
      <w:r w:rsidR="00344124">
        <w:rPr>
          <w:rFonts w:cs="Times New Roman"/>
        </w:rPr>
        <w:t xml:space="preserve"> </w:t>
      </w:r>
      <w:r>
        <w:rPr>
          <w:rFonts w:cs="Times New Roman"/>
        </w:rPr>
        <w:t>contig to share an exact M-length subsequence with at least one S</w:t>
      </w:r>
      <w:r w:rsidR="0051740A">
        <w:rPr>
          <w:rFonts w:cs="Times New Roman"/>
        </w:rPr>
        <w:t xml:space="preserve">AG contig. It works by hashing all M-length SAG contigs as integers (M-mers) into a sorted array for binary search by the metagenome’s contig’s M-mers. </w:t>
      </w:r>
      <w:r w:rsidR="00344124">
        <w:rPr>
          <w:rFonts w:cs="Times New Roman"/>
        </w:rPr>
        <w:t>Since M is large (i.e. 20), b</w:t>
      </w:r>
      <w:r w:rsidR="0051740A">
        <w:rPr>
          <w:rFonts w:cs="Times New Roman"/>
        </w:rPr>
        <w:t xml:space="preserve">inary search is used instead of constant time look-ups because </w:t>
      </w:r>
      <w:r w:rsidR="00344124">
        <w:rPr>
          <w:rFonts w:cs="Times New Roman"/>
        </w:rPr>
        <w:t>unique storage of all possible M-mers is space-inefficient, and logarithmic time look-ups are sufficiently fast for the task.</w:t>
      </w:r>
    </w:p>
    <w:p w14:paraId="40C1A6E8" w14:textId="11F1BEA4" w:rsidR="00344124" w:rsidRDefault="00344124" w:rsidP="00F80EBF">
      <w:pPr>
        <w:widowControl w:val="0"/>
        <w:autoSpaceDE w:val="0"/>
        <w:autoSpaceDN w:val="0"/>
        <w:adjustRightInd w:val="0"/>
        <w:rPr>
          <w:rFonts w:cs="Times New Roman"/>
        </w:rPr>
      </w:pPr>
      <w:r>
        <w:rPr>
          <w:rFonts w:cs="Times New Roman"/>
        </w:rPr>
        <w:tab/>
        <w:t>The kmer signature filter with distance D and clusters K requires candidate contigs to have a kmer signature similar to the SAG. In precise language, the metagenome</w:t>
      </w:r>
      <w:r w:rsidR="002A23C7">
        <w:rPr>
          <w:rFonts w:cs="Times New Roman"/>
        </w:rPr>
        <w:t xml:space="preserve"> and SAG</w:t>
      </w:r>
      <w:r>
        <w:rPr>
          <w:rFonts w:cs="Times New Roman"/>
        </w:rPr>
        <w:t xml:space="preserve"> </w:t>
      </w:r>
      <w:r w:rsidR="002A23C7">
        <w:rPr>
          <w:rFonts w:cs="Times New Roman"/>
        </w:rPr>
        <w:t xml:space="preserve">contigs have their tetranucleotide (4-mers) frequencies calculated and are thus represented as 256-length integer lists which are then converted to proportions to control for contig length variation. The correlation matrix of the metagenome 4-mers is calculated, of which eigenvectors are generated, and both the SAG and metagenome 4-mers are dimensionally reduced via Pricipal Component Analysis (PCA) to three dimensions is the basis generated by the metagenome. A Guassian Mixture Model (GMM) with K clusters is fit to the SAG’s 4-mers in the PCA-subspace. If K = 1, the null distribution of the GMM is known and the 95% confidence region is calculable as the Mahalanobis distance follows a Chi-Squared distribution. If K &gt; 1, the null distribution is estimated via simulation, and the 95% confidence region is defined </w:t>
      </w:r>
      <w:r w:rsidR="00C963FC">
        <w:rPr>
          <w:rFonts w:cs="Times New Roman"/>
        </w:rPr>
        <w:t>as the minimum Mahalanobis distance to a Gaussian centroid. Any metagenome 4-mer which falls within D times the Mahalanobis distance cut-off passes the filter.</w:t>
      </w:r>
    </w:p>
    <w:p w14:paraId="1CCE8324" w14:textId="43947199" w:rsidR="009A17E1" w:rsidRDefault="009A17E1" w:rsidP="00F80EBF">
      <w:pPr>
        <w:widowControl w:val="0"/>
        <w:autoSpaceDE w:val="0"/>
        <w:autoSpaceDN w:val="0"/>
        <w:adjustRightInd w:val="0"/>
        <w:rPr>
          <w:rFonts w:cs="Times New Roman"/>
        </w:rPr>
      </w:pPr>
      <w:r>
        <w:rPr>
          <w:rFonts w:cs="Times New Roman"/>
        </w:rPr>
        <w:tab/>
        <w:t>It should be noted that SAGEX has some features of convenience due to the variety of computations required to produce classifications. SAGEX can be used to calculate 4-mers and write them to disk. It can also write the PCA to disk in an R-readable format ready for easy visualization.</w:t>
      </w:r>
    </w:p>
    <w:p w14:paraId="0DC01625" w14:textId="77777777" w:rsidR="003F6871" w:rsidRDefault="003F6871" w:rsidP="00F80EBF">
      <w:pPr>
        <w:widowControl w:val="0"/>
        <w:autoSpaceDE w:val="0"/>
        <w:autoSpaceDN w:val="0"/>
        <w:adjustRightInd w:val="0"/>
        <w:rPr>
          <w:rFonts w:cs="Times New Roman"/>
        </w:rPr>
      </w:pPr>
    </w:p>
    <w:p w14:paraId="1D1E3341" w14:textId="2AA105BA" w:rsidR="003F6871" w:rsidRPr="003F6871" w:rsidRDefault="003F6871" w:rsidP="00F80EBF">
      <w:pPr>
        <w:widowControl w:val="0"/>
        <w:autoSpaceDE w:val="0"/>
        <w:autoSpaceDN w:val="0"/>
        <w:adjustRightInd w:val="0"/>
        <w:rPr>
          <w:rFonts w:cs="Times New Roman"/>
        </w:rPr>
      </w:pPr>
      <w:r>
        <w:rPr>
          <w:rFonts w:cs="Times New Roman"/>
          <w:u w:val="single"/>
        </w:rPr>
        <w:t>Error analysis</w:t>
      </w:r>
    </w:p>
    <w:p w14:paraId="22DDD40A" w14:textId="2A7FAC42" w:rsidR="00DE47E0" w:rsidRDefault="00DE47E0" w:rsidP="00F80EBF">
      <w:pPr>
        <w:widowControl w:val="0"/>
        <w:autoSpaceDE w:val="0"/>
        <w:autoSpaceDN w:val="0"/>
        <w:adjustRightInd w:val="0"/>
        <w:rPr>
          <w:rFonts w:cs="Times New Roman"/>
        </w:rPr>
      </w:pPr>
      <w:r>
        <w:rPr>
          <w:rFonts w:cs="Times New Roman"/>
        </w:rPr>
        <w:tab/>
      </w:r>
      <w:r w:rsidR="00D86D15">
        <w:rPr>
          <w:rFonts w:cs="Times New Roman"/>
        </w:rPr>
        <w:t>The</w:t>
      </w:r>
      <w:r>
        <w:rPr>
          <w:rFonts w:cs="Times New Roman"/>
        </w:rPr>
        <w:t xml:space="preserve"> two rules, inspired by heuristics of genomic science</w:t>
      </w:r>
      <w:r w:rsidR="00F20EAA">
        <w:rPr>
          <w:rFonts w:cs="Times New Roman"/>
        </w:rPr>
        <w:t xml:space="preserve"> (???)</w:t>
      </w:r>
      <w:r>
        <w:rPr>
          <w:rFonts w:cs="Times New Roman"/>
        </w:rPr>
        <w:t>, are very effective</w:t>
      </w:r>
      <w:r w:rsidR="009A17E1">
        <w:rPr>
          <w:rFonts w:cs="Times New Roman"/>
        </w:rPr>
        <w:t xml:space="preserve"> when tuned</w:t>
      </w:r>
      <w:r>
        <w:rPr>
          <w:rFonts w:cs="Times New Roman"/>
        </w:rPr>
        <w:t xml:space="preserve">. An error analysis </w:t>
      </w:r>
      <w:r w:rsidR="009A17E1">
        <w:rPr>
          <w:rFonts w:cs="Times New Roman"/>
        </w:rPr>
        <w:t>(figure 4</w:t>
      </w:r>
      <w:r w:rsidR="00B25A1E">
        <w:rPr>
          <w:rFonts w:cs="Times New Roman"/>
        </w:rPr>
        <w:t>a,b</w:t>
      </w:r>
      <w:r w:rsidR="009A17E1">
        <w:rPr>
          <w:rFonts w:cs="Times New Roman"/>
        </w:rPr>
        <w:t xml:space="preserve">) suggests that SAGEX is capable </w:t>
      </w:r>
      <w:r w:rsidR="00D86D15">
        <w:rPr>
          <w:rFonts w:cs="Times New Roman"/>
        </w:rPr>
        <w:t>of above 95% PPV with at least 60% sensitivity. The error analysis is validated with a large collection of 129 SUP05 SAGs.</w:t>
      </w:r>
    </w:p>
    <w:p w14:paraId="40D7088F" w14:textId="41528296" w:rsidR="00D86D15" w:rsidRDefault="00D86D15" w:rsidP="00F80EBF">
      <w:pPr>
        <w:widowControl w:val="0"/>
        <w:autoSpaceDE w:val="0"/>
        <w:autoSpaceDN w:val="0"/>
        <w:adjustRightInd w:val="0"/>
        <w:rPr>
          <w:rFonts w:cs="Times New Roman"/>
        </w:rPr>
      </w:pPr>
      <w:r>
        <w:rPr>
          <w:rFonts w:cs="Times New Roman"/>
        </w:rPr>
        <w:tab/>
      </w:r>
      <w:r w:rsidR="00F20EAA">
        <w:rPr>
          <w:rFonts w:cs="Times New Roman"/>
        </w:rPr>
        <w:t>The e</w:t>
      </w:r>
      <w:r w:rsidR="002B6072">
        <w:rPr>
          <w:rFonts w:cs="Times New Roman"/>
        </w:rPr>
        <w:t>rror analysis was done by using an EColi MG1655 SAG as training data, its genome as true positives, and a Saanich Inlet metagenome as false positives. The lab-cultivated strain is ideal for validating the tool because it allows for minimal variation in the kmer signature. The analysis demonstrates the favorable exchange between PPV and sensitivity but also shows SAGEX to be a highly specific classifier in that its Negative Predictive Value (NPV) and specificity are always very high (above 97.5%).</w:t>
      </w:r>
    </w:p>
    <w:p w14:paraId="7C92F4D8" w14:textId="2CC7F0EA" w:rsidR="003F6871" w:rsidRPr="002C472D" w:rsidRDefault="002B6072" w:rsidP="00F80EBF">
      <w:pPr>
        <w:widowControl w:val="0"/>
        <w:autoSpaceDE w:val="0"/>
        <w:autoSpaceDN w:val="0"/>
        <w:adjustRightInd w:val="0"/>
        <w:rPr>
          <w:rFonts w:cs="Times New Roman"/>
        </w:rPr>
      </w:pPr>
      <w:r>
        <w:rPr>
          <w:rFonts w:cs="Times New Roman"/>
        </w:rPr>
        <w:tab/>
        <w:t xml:space="preserve">Because EColi MG1655 was never expected to exist in Saanich Inlet, the initial error analysis is perhaps trivially favourful. To validate the claims of high PPV, we </w:t>
      </w:r>
      <w:r w:rsidR="00B25A1E">
        <w:rPr>
          <w:rFonts w:cs="Times New Roman"/>
        </w:rPr>
        <w:t>estimated PPV via a more realistic means using SAGEX on SUP05 SAGs. Our validated PPV estimate is calculated by deciding hits as valid by aligning hit contig Open Reading Frames (ORFs) to our database of 129 SUP05 SAG ORFs with BLAST. Validated PPV estimates were then calculated for all 129 SUP05 SAGs across a 48 metagenomes from the Saanich Inlet (Figure 4c). The metagenomes were samp</w:t>
      </w:r>
      <w:r w:rsidR="006B4EF6">
        <w:rPr>
          <w:rFonts w:cs="Times New Roman"/>
        </w:rPr>
        <w:t>led across depth and time, containing the region where SUP05 is expected to reside. It was seen that average validated PPV estimates were highest (about 90%) in SUP05’s region. This tells us that SAGEX maintains high PPV when the metagenome contains an abundance of members from the SAG’s family.</w:t>
      </w:r>
    </w:p>
    <w:p w14:paraId="1F7B62FB" w14:textId="77777777" w:rsidR="00055877" w:rsidRDefault="00055877" w:rsidP="00F80EBF">
      <w:pPr>
        <w:widowControl w:val="0"/>
        <w:autoSpaceDE w:val="0"/>
        <w:autoSpaceDN w:val="0"/>
        <w:adjustRightInd w:val="0"/>
        <w:rPr>
          <w:rFonts w:cs="Times New Roman"/>
        </w:rPr>
      </w:pPr>
    </w:p>
    <w:p w14:paraId="034503F1" w14:textId="77777777" w:rsidR="003F6871" w:rsidRPr="003F6871" w:rsidRDefault="003F6871" w:rsidP="003F6871">
      <w:pPr>
        <w:widowControl w:val="0"/>
        <w:autoSpaceDE w:val="0"/>
        <w:autoSpaceDN w:val="0"/>
        <w:adjustRightInd w:val="0"/>
        <w:rPr>
          <w:rFonts w:cs="Times New Roman"/>
          <w:u w:val="single"/>
        </w:rPr>
      </w:pPr>
      <w:r>
        <w:rPr>
          <w:rFonts w:cs="Times New Roman"/>
          <w:u w:val="single"/>
        </w:rPr>
        <w:t>An ideal application</w:t>
      </w:r>
    </w:p>
    <w:p w14:paraId="0BE5ED49" w14:textId="0ECCBC8D" w:rsidR="001475D8" w:rsidRDefault="003F6871" w:rsidP="00F80EBF">
      <w:pPr>
        <w:widowControl w:val="0"/>
        <w:autoSpaceDE w:val="0"/>
        <w:autoSpaceDN w:val="0"/>
        <w:adjustRightInd w:val="0"/>
        <w:rPr>
          <w:rFonts w:cs="Times New Roman"/>
        </w:rPr>
      </w:pPr>
      <w:r>
        <w:rPr>
          <w:rFonts w:cs="Times New Roman"/>
        </w:rPr>
        <w:tab/>
        <w:t>SAGEX can be used to get maximum value per SAG. If used correctly, fewer SAGs will be needed to understand a PGB. Thus sequencing can be strategically distributed across different taxa</w:t>
      </w:r>
      <w:r w:rsidR="001475D8">
        <w:rPr>
          <w:rFonts w:cs="Times New Roman"/>
        </w:rPr>
        <w:t>, allowing a better understanding of the whole community. Alternatively, it may simply reduce sequencing costs by allowing fewer SAGs to sequenced.  To demonstrate this value, we’ve taken a SAG with only XXX representatives in our SAG collection and run it through SAGEX with an appropriate metagenome. By analyzing the extrapolated genome, we can see …</w:t>
      </w:r>
    </w:p>
    <w:p w14:paraId="53872937" w14:textId="77777777" w:rsidR="003F6871" w:rsidRDefault="003F6871" w:rsidP="00F80EBF">
      <w:pPr>
        <w:widowControl w:val="0"/>
        <w:autoSpaceDE w:val="0"/>
        <w:autoSpaceDN w:val="0"/>
        <w:adjustRightInd w:val="0"/>
        <w:rPr>
          <w:rFonts w:cs="Times New Roman"/>
        </w:rPr>
      </w:pPr>
    </w:p>
    <w:p w14:paraId="7E65847D" w14:textId="545A1107" w:rsidR="003F6871" w:rsidRDefault="003F6871" w:rsidP="00F80EBF">
      <w:pPr>
        <w:widowControl w:val="0"/>
        <w:autoSpaceDE w:val="0"/>
        <w:autoSpaceDN w:val="0"/>
        <w:adjustRightInd w:val="0"/>
        <w:rPr>
          <w:rFonts w:cs="Times New Roman"/>
        </w:rPr>
      </w:pPr>
      <w:r>
        <w:rPr>
          <w:rFonts w:cs="Times New Roman"/>
          <w:u w:val="single"/>
        </w:rPr>
        <w:t>RPKM recruitment</w:t>
      </w:r>
    </w:p>
    <w:p w14:paraId="5F6A1515" w14:textId="067B1C52" w:rsidR="001475D8" w:rsidRDefault="001475D8" w:rsidP="00F80EBF">
      <w:pPr>
        <w:widowControl w:val="0"/>
        <w:autoSpaceDE w:val="0"/>
        <w:autoSpaceDN w:val="0"/>
        <w:adjustRightInd w:val="0"/>
        <w:rPr>
          <w:rFonts w:cs="Times New Roman"/>
        </w:rPr>
      </w:pPr>
      <w:r>
        <w:rPr>
          <w:rFonts w:cs="Times New Roman"/>
        </w:rPr>
        <w:tab/>
        <w:t xml:space="preserve">As an alternative application of SAGEX, we’ve </w:t>
      </w:r>
      <w:r w:rsidR="002F7FC0">
        <w:rPr>
          <w:rFonts w:cs="Times New Roman"/>
        </w:rPr>
        <w:t>used it to attempt to measure abundance of a SAG’s PGB in alternative metagenomes. To do this we’ve calculated the recruited RPKM per metagenome. A plot of the average recruited RPKM (Figure 5) across our SUP05 SAGs via our Saanich Inlet metagenomes demonstrates how SAGEX suggest the presence of SUP05 in the correct locations.</w:t>
      </w:r>
    </w:p>
    <w:p w14:paraId="4A97FD75" w14:textId="77777777" w:rsidR="00166E19" w:rsidRDefault="00166E19" w:rsidP="00F80EBF">
      <w:pPr>
        <w:widowControl w:val="0"/>
        <w:autoSpaceDE w:val="0"/>
        <w:autoSpaceDN w:val="0"/>
        <w:adjustRightInd w:val="0"/>
        <w:rPr>
          <w:rFonts w:cs="Times New Roman"/>
        </w:rPr>
      </w:pPr>
    </w:p>
    <w:p w14:paraId="7CBE63F0" w14:textId="2F0CF5E2" w:rsidR="001B50AD" w:rsidRDefault="001B50AD" w:rsidP="00F80EBF">
      <w:pPr>
        <w:widowControl w:val="0"/>
        <w:autoSpaceDE w:val="0"/>
        <w:autoSpaceDN w:val="0"/>
        <w:adjustRightInd w:val="0"/>
        <w:rPr>
          <w:rFonts w:cs="Times New Roman"/>
        </w:rPr>
      </w:pPr>
      <w:bookmarkStart w:id="0" w:name="_GoBack"/>
      <w:bookmarkEnd w:id="0"/>
      <w:r>
        <w:rPr>
          <w:rFonts w:cs="Times New Roman"/>
        </w:rPr>
        <w:tab/>
      </w:r>
    </w:p>
    <w:p w14:paraId="1F41B725" w14:textId="371BCA54" w:rsidR="001B50AD" w:rsidRDefault="001B50AD" w:rsidP="00F80EBF">
      <w:pPr>
        <w:widowControl w:val="0"/>
        <w:autoSpaceDE w:val="0"/>
        <w:autoSpaceDN w:val="0"/>
        <w:adjustRightInd w:val="0"/>
        <w:rPr>
          <w:rFonts w:cs="Times New Roman"/>
        </w:rPr>
      </w:pPr>
      <w:r>
        <w:rPr>
          <w:rFonts w:cs="Times New Roman"/>
          <w:b/>
          <w:u w:val="single"/>
        </w:rPr>
        <w:t>Conclusion</w:t>
      </w:r>
    </w:p>
    <w:p w14:paraId="402DC1B9" w14:textId="426078D8" w:rsidR="001B50AD" w:rsidRPr="001B50AD" w:rsidRDefault="001B50AD" w:rsidP="00F80EBF">
      <w:pPr>
        <w:widowControl w:val="0"/>
        <w:autoSpaceDE w:val="0"/>
        <w:autoSpaceDN w:val="0"/>
        <w:adjustRightInd w:val="0"/>
        <w:rPr>
          <w:rFonts w:cs="Times New Roman"/>
        </w:rPr>
      </w:pPr>
      <w:r>
        <w:rPr>
          <w:rFonts w:cs="Times New Roman"/>
        </w:rPr>
        <w:tab/>
        <w:t xml:space="preserve">SAGEX is a classifier trains on a Single-cell Amplified Genome (SAG) and recruits from a metagenome to help the user better understand the Population Genome Bin (PGB). SAGEX adds value to SAG-driven analyses by complementing the incomplete SAG with extrapolated content from the metagenome. This empowers the user to taxonomically diversify sequencing of SAGs or simply reduce sequencing costs by sequencing fewer SAGs. SAGEX is a powerful classifier capable of high PPV (90% or higher) while maintaining sensitivity (60% or higher). The error analysis has been validated </w:t>
      </w:r>
      <w:r w:rsidR="00175F4A">
        <w:rPr>
          <w:rFonts w:cs="Times New Roman"/>
        </w:rPr>
        <w:t>with</w:t>
      </w:r>
      <w:r>
        <w:rPr>
          <w:rFonts w:cs="Times New Roman"/>
        </w:rPr>
        <w:t xml:space="preserve"> a set of 129 SUP05 SAGs.</w:t>
      </w:r>
      <w:r w:rsidR="008D6A44">
        <w:rPr>
          <w:rFonts w:cs="Times New Roman"/>
        </w:rPr>
        <w:t xml:space="preserve"> SAGEX’s ideal application has been exemplified through an analysis of XXX revealing XXX. It has also been demonstrated that SAGEX is capable of indicating existence of a PGB lineage in a set of metagenomes.</w:t>
      </w:r>
    </w:p>
    <w:p w14:paraId="03B7B8C0" w14:textId="77777777" w:rsidR="001475D8" w:rsidRPr="00055877" w:rsidRDefault="001475D8" w:rsidP="00F80EBF">
      <w:pPr>
        <w:widowControl w:val="0"/>
        <w:autoSpaceDE w:val="0"/>
        <w:autoSpaceDN w:val="0"/>
        <w:adjustRightInd w:val="0"/>
        <w:rPr>
          <w:rFonts w:cs="Times New Roman"/>
        </w:rPr>
      </w:pPr>
    </w:p>
    <w:p w14:paraId="5E1012FD" w14:textId="1E10D7CE" w:rsidR="00F80EBF" w:rsidRPr="003F6871" w:rsidRDefault="00055877" w:rsidP="00F80EBF">
      <w:pPr>
        <w:widowControl w:val="0"/>
        <w:autoSpaceDE w:val="0"/>
        <w:autoSpaceDN w:val="0"/>
        <w:adjustRightInd w:val="0"/>
        <w:rPr>
          <w:rFonts w:cs="Times New Roman"/>
          <w:u w:val="single"/>
        </w:rPr>
      </w:pPr>
      <w:r w:rsidRPr="003F6871">
        <w:rPr>
          <w:rFonts w:cs="Times New Roman"/>
          <w:b/>
          <w:u w:val="single"/>
        </w:rPr>
        <w:t>References</w:t>
      </w:r>
    </w:p>
    <w:p w14:paraId="6DA18AFC" w14:textId="77777777" w:rsidR="00055877" w:rsidRPr="00055877" w:rsidRDefault="00055877" w:rsidP="00055877">
      <w:pPr>
        <w:widowControl w:val="0"/>
        <w:autoSpaceDE w:val="0"/>
        <w:autoSpaceDN w:val="0"/>
        <w:adjustRightInd w:val="0"/>
        <w:rPr>
          <w:rFonts w:cs="Times New Roman"/>
        </w:rPr>
      </w:pPr>
      <w:r w:rsidRPr="00055877">
        <w:rPr>
          <w:rFonts w:cs="Times New Roman"/>
          <w:b/>
        </w:rPr>
        <w:t>1.</w:t>
      </w:r>
      <w:r w:rsidRPr="00055877">
        <w:rPr>
          <w:rFonts w:cs="Times New Roman"/>
        </w:rPr>
        <w:t xml:space="preserve"> C. Rinke et al. Insights into the phylogeny and coding potential of microbial dark matter. Nature 449, 7459 (2013).</w:t>
      </w:r>
    </w:p>
    <w:p w14:paraId="419617AC" w14:textId="77777777" w:rsidR="00055877" w:rsidRDefault="00055877" w:rsidP="00055877">
      <w:pPr>
        <w:widowControl w:val="0"/>
        <w:autoSpaceDE w:val="0"/>
        <w:autoSpaceDN w:val="0"/>
        <w:adjustRightInd w:val="0"/>
        <w:rPr>
          <w:rFonts w:cs="Times New Roman"/>
        </w:rPr>
      </w:pPr>
    </w:p>
    <w:p w14:paraId="695DE9F1" w14:textId="5B78AC84" w:rsidR="00055877" w:rsidRPr="00055877" w:rsidRDefault="00055877" w:rsidP="00055877">
      <w:pPr>
        <w:widowControl w:val="0"/>
        <w:autoSpaceDE w:val="0"/>
        <w:autoSpaceDN w:val="0"/>
        <w:adjustRightInd w:val="0"/>
        <w:rPr>
          <w:rFonts w:cs="Times New Roman"/>
        </w:rPr>
      </w:pPr>
      <w:r w:rsidRPr="00055877">
        <w:rPr>
          <w:rFonts w:cs="Times New Roman"/>
          <w:b/>
        </w:rPr>
        <w:t>2.</w:t>
      </w:r>
      <w:r w:rsidRPr="00055877">
        <w:rPr>
          <w:rFonts w:cs="Times New Roman"/>
        </w:rPr>
        <w:t xml:space="preserve"> J. A. Dodworth et al. Single-cell and metagnomic analyses indicate a fermentative and saccharolytic lifestlye for members of the OP9</w:t>
      </w:r>
      <w:r>
        <w:rPr>
          <w:rFonts w:cs="Times New Roman"/>
        </w:rPr>
        <w:t xml:space="preserve"> lineage. Nature Communications </w:t>
      </w:r>
      <w:r w:rsidRPr="00055877">
        <w:rPr>
          <w:rFonts w:cs="Times New Roman"/>
        </w:rPr>
        <w:t>4, 1854 (2012).</w:t>
      </w:r>
    </w:p>
    <w:p w14:paraId="3F7F3E16" w14:textId="77777777" w:rsidR="00055877" w:rsidRDefault="00055877" w:rsidP="00055877">
      <w:pPr>
        <w:widowControl w:val="0"/>
        <w:autoSpaceDE w:val="0"/>
        <w:autoSpaceDN w:val="0"/>
        <w:adjustRightInd w:val="0"/>
        <w:rPr>
          <w:rFonts w:cs="Times New Roman"/>
        </w:rPr>
      </w:pPr>
    </w:p>
    <w:p w14:paraId="52E4C141" w14:textId="1CF6C2A6" w:rsidR="00055877" w:rsidRPr="00055877" w:rsidRDefault="00055877" w:rsidP="00055877">
      <w:pPr>
        <w:widowControl w:val="0"/>
        <w:autoSpaceDE w:val="0"/>
        <w:autoSpaceDN w:val="0"/>
        <w:adjustRightInd w:val="0"/>
        <w:rPr>
          <w:rFonts w:cs="Times New Roman"/>
        </w:rPr>
      </w:pPr>
      <w:r w:rsidRPr="00055877">
        <w:rPr>
          <w:rFonts w:cs="Times New Roman"/>
          <w:b/>
        </w:rPr>
        <w:t>3.</w:t>
      </w:r>
      <w:r w:rsidRPr="00055877">
        <w:rPr>
          <w:rFonts w:cs="Times New Roman"/>
        </w:rPr>
        <w:t xml:space="preserve"> S. Roux et al. Ecology and evolution of viruses infecting uncultivated SUP05 bacteria as revealed by single-cell and meta-genomics. eLife</w:t>
      </w:r>
      <w:r>
        <w:rPr>
          <w:rFonts w:cs="Times New Roman"/>
        </w:rPr>
        <w:t xml:space="preserve"> </w:t>
      </w:r>
      <w:r w:rsidRPr="00055877">
        <w:rPr>
          <w:rFonts w:cs="Times New Roman"/>
        </w:rPr>
        <w:t>2014;10.7554/eLife.03125.</w:t>
      </w:r>
    </w:p>
    <w:p w14:paraId="0F7DAEAF" w14:textId="77777777" w:rsidR="00055877" w:rsidRDefault="00055877" w:rsidP="00055877">
      <w:pPr>
        <w:widowControl w:val="0"/>
        <w:autoSpaceDE w:val="0"/>
        <w:autoSpaceDN w:val="0"/>
        <w:adjustRightInd w:val="0"/>
        <w:rPr>
          <w:rFonts w:cs="Times New Roman"/>
        </w:rPr>
      </w:pPr>
    </w:p>
    <w:p w14:paraId="2CD6BA60" w14:textId="77777777" w:rsidR="00055877" w:rsidRPr="00055877" w:rsidRDefault="00055877" w:rsidP="00055877">
      <w:pPr>
        <w:widowControl w:val="0"/>
        <w:autoSpaceDE w:val="0"/>
        <w:autoSpaceDN w:val="0"/>
        <w:adjustRightInd w:val="0"/>
        <w:rPr>
          <w:rFonts w:cs="Times New Roman"/>
        </w:rPr>
      </w:pPr>
      <w:r w:rsidRPr="00055877">
        <w:rPr>
          <w:rFonts w:cs="Times New Roman"/>
          <w:b/>
        </w:rPr>
        <w:t>4.</w:t>
      </w:r>
      <w:r w:rsidRPr="00055877">
        <w:rPr>
          <w:rFonts w:cs="Times New Roman"/>
        </w:rPr>
        <w:t xml:space="preserve"> J. Gole et al. Massively parallel polymerase cloning and genome sequencing of single cells using nanoluter microwells. Nature Biotechnology 31, 1126-1132 (2013).</w:t>
      </w:r>
    </w:p>
    <w:p w14:paraId="63A31722" w14:textId="77777777" w:rsidR="00055877" w:rsidRDefault="00055877" w:rsidP="00055877">
      <w:pPr>
        <w:widowControl w:val="0"/>
        <w:autoSpaceDE w:val="0"/>
        <w:autoSpaceDN w:val="0"/>
        <w:adjustRightInd w:val="0"/>
        <w:rPr>
          <w:rFonts w:cs="Times New Roman"/>
        </w:rPr>
      </w:pPr>
    </w:p>
    <w:p w14:paraId="44B8AD99" w14:textId="195A9DAB" w:rsidR="00055877" w:rsidRPr="00055877" w:rsidRDefault="00055877" w:rsidP="00055877">
      <w:pPr>
        <w:widowControl w:val="0"/>
        <w:autoSpaceDE w:val="0"/>
        <w:autoSpaceDN w:val="0"/>
        <w:adjustRightInd w:val="0"/>
        <w:rPr>
          <w:rFonts w:cs="Times New Roman"/>
        </w:rPr>
      </w:pPr>
      <w:r w:rsidRPr="00055877">
        <w:rPr>
          <w:rFonts w:cs="Times New Roman"/>
          <w:b/>
        </w:rPr>
        <w:t>5.</w:t>
      </w:r>
      <w:r w:rsidRPr="00055877">
        <w:rPr>
          <w:rFonts w:cs="Times New Roman"/>
        </w:rPr>
        <w:t xml:space="preserve"> E. Zaikova et al. Microbial community dynamics in a seasonally anoxic fjord:</w:t>
      </w:r>
      <w:r>
        <w:rPr>
          <w:rFonts w:cs="Times New Roman"/>
        </w:rPr>
        <w:t xml:space="preserve"> </w:t>
      </w:r>
      <w:r w:rsidRPr="00055877">
        <w:rPr>
          <w:rFonts w:cs="Times New Roman"/>
        </w:rPr>
        <w:t>Saanich Inlet, British Columbia. Environmental Microbiology 12, 1 (2010).</w:t>
      </w:r>
    </w:p>
    <w:p w14:paraId="02BB6FF6" w14:textId="77777777" w:rsidR="00055877" w:rsidRDefault="00055877" w:rsidP="00055877">
      <w:pPr>
        <w:widowControl w:val="0"/>
        <w:autoSpaceDE w:val="0"/>
        <w:autoSpaceDN w:val="0"/>
        <w:adjustRightInd w:val="0"/>
        <w:rPr>
          <w:rFonts w:cs="Times New Roman"/>
        </w:rPr>
      </w:pPr>
    </w:p>
    <w:p w14:paraId="0733C78A" w14:textId="525AC3A0" w:rsidR="00055877" w:rsidRPr="00055877" w:rsidRDefault="00055877" w:rsidP="00055877">
      <w:pPr>
        <w:widowControl w:val="0"/>
        <w:autoSpaceDE w:val="0"/>
        <w:autoSpaceDN w:val="0"/>
        <w:adjustRightInd w:val="0"/>
        <w:rPr>
          <w:rFonts w:cs="Times New Roman"/>
        </w:rPr>
      </w:pPr>
      <w:r w:rsidRPr="00055877">
        <w:rPr>
          <w:rFonts w:cs="Times New Roman"/>
          <w:b/>
        </w:rPr>
        <w:t>6.</w:t>
      </w:r>
      <w:r w:rsidRPr="00055877">
        <w:rPr>
          <w:rFonts w:cs="Times New Roman"/>
        </w:rPr>
        <w:t xml:space="preserve"> F. R. Blattner et al. The Complete Genome of the</w:t>
      </w:r>
      <w:r>
        <w:rPr>
          <w:rFonts w:cs="Times New Roman"/>
        </w:rPr>
        <w:t xml:space="preserve"> Escherichia coli K-12. Science </w:t>
      </w:r>
      <w:r w:rsidRPr="00055877">
        <w:rPr>
          <w:rFonts w:cs="Times New Roman"/>
        </w:rPr>
        <w:t>277, 533 (1997).</w:t>
      </w:r>
    </w:p>
    <w:sectPr w:rsidR="00055877" w:rsidRPr="00055877" w:rsidSect="00B72E50">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F00FAB" w14:textId="77777777" w:rsidR="00DC41AE" w:rsidRDefault="00DC41AE" w:rsidP="000A09A2">
      <w:r>
        <w:separator/>
      </w:r>
    </w:p>
  </w:endnote>
  <w:endnote w:type="continuationSeparator" w:id="0">
    <w:p w14:paraId="5895D326" w14:textId="77777777" w:rsidR="00DC41AE" w:rsidRDefault="00DC41AE" w:rsidP="000A0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E92A1D" w14:textId="77777777" w:rsidR="00DC41AE" w:rsidRDefault="00DC41AE" w:rsidP="000A09A2">
      <w:r>
        <w:separator/>
      </w:r>
    </w:p>
  </w:footnote>
  <w:footnote w:type="continuationSeparator" w:id="0">
    <w:p w14:paraId="13310DE7" w14:textId="77777777" w:rsidR="00DC41AE" w:rsidRDefault="00DC41AE" w:rsidP="000A09A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870A6"/>
    <w:multiLevelType w:val="hybridMultilevel"/>
    <w:tmpl w:val="50565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017D0E"/>
    <w:multiLevelType w:val="hybridMultilevel"/>
    <w:tmpl w:val="D996D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B72E50"/>
    <w:rsid w:val="00055877"/>
    <w:rsid w:val="000A09A2"/>
    <w:rsid w:val="00134B29"/>
    <w:rsid w:val="001475D8"/>
    <w:rsid w:val="00157BF2"/>
    <w:rsid w:val="00166E19"/>
    <w:rsid w:val="00175F4A"/>
    <w:rsid w:val="001761BB"/>
    <w:rsid w:val="00180301"/>
    <w:rsid w:val="001B50AD"/>
    <w:rsid w:val="001C0049"/>
    <w:rsid w:val="001E5E7F"/>
    <w:rsid w:val="00295526"/>
    <w:rsid w:val="002A23C7"/>
    <w:rsid w:val="002B5986"/>
    <w:rsid w:val="002B6072"/>
    <w:rsid w:val="002C472D"/>
    <w:rsid w:val="002E62A7"/>
    <w:rsid w:val="002F7FC0"/>
    <w:rsid w:val="003073BC"/>
    <w:rsid w:val="00344124"/>
    <w:rsid w:val="00390D24"/>
    <w:rsid w:val="003C47CB"/>
    <w:rsid w:val="003F21AB"/>
    <w:rsid w:val="003F6871"/>
    <w:rsid w:val="004D7829"/>
    <w:rsid w:val="0051740A"/>
    <w:rsid w:val="00591ACE"/>
    <w:rsid w:val="006B1B2C"/>
    <w:rsid w:val="006B4EF6"/>
    <w:rsid w:val="006D01F3"/>
    <w:rsid w:val="00767816"/>
    <w:rsid w:val="007A11C7"/>
    <w:rsid w:val="007A3786"/>
    <w:rsid w:val="007C0964"/>
    <w:rsid w:val="008D6A44"/>
    <w:rsid w:val="009061D1"/>
    <w:rsid w:val="00973132"/>
    <w:rsid w:val="00990CDC"/>
    <w:rsid w:val="009A17E1"/>
    <w:rsid w:val="009B63EB"/>
    <w:rsid w:val="00A554A8"/>
    <w:rsid w:val="00AB00E9"/>
    <w:rsid w:val="00B25A1E"/>
    <w:rsid w:val="00B6605C"/>
    <w:rsid w:val="00B72E50"/>
    <w:rsid w:val="00BD449F"/>
    <w:rsid w:val="00C2094F"/>
    <w:rsid w:val="00C666D8"/>
    <w:rsid w:val="00C76023"/>
    <w:rsid w:val="00C963FC"/>
    <w:rsid w:val="00CB1D21"/>
    <w:rsid w:val="00D07427"/>
    <w:rsid w:val="00D86D15"/>
    <w:rsid w:val="00DB21FD"/>
    <w:rsid w:val="00DC41AE"/>
    <w:rsid w:val="00DE47E0"/>
    <w:rsid w:val="00DF2C7A"/>
    <w:rsid w:val="00E11FE2"/>
    <w:rsid w:val="00ED204A"/>
    <w:rsid w:val="00F20EAA"/>
    <w:rsid w:val="00F80EBF"/>
    <w:rsid w:val="00FF20A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67D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D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7829"/>
    <w:rPr>
      <w:rFonts w:ascii="Lucida Grande" w:hAnsi="Lucida Grande"/>
      <w:sz w:val="18"/>
      <w:szCs w:val="18"/>
    </w:rPr>
  </w:style>
  <w:style w:type="character" w:customStyle="1" w:styleId="BalloonTextChar">
    <w:name w:val="Balloon Text Char"/>
    <w:basedOn w:val="DefaultParagraphFont"/>
    <w:link w:val="BalloonText"/>
    <w:uiPriority w:val="99"/>
    <w:semiHidden/>
    <w:rsid w:val="004D7829"/>
    <w:rPr>
      <w:rFonts w:ascii="Lucida Grande" w:hAnsi="Lucida Grande"/>
      <w:sz w:val="18"/>
      <w:szCs w:val="18"/>
    </w:rPr>
  </w:style>
  <w:style w:type="paragraph" w:styleId="Header">
    <w:name w:val="header"/>
    <w:basedOn w:val="Normal"/>
    <w:link w:val="HeaderChar"/>
    <w:uiPriority w:val="99"/>
    <w:unhideWhenUsed/>
    <w:rsid w:val="000A09A2"/>
    <w:pPr>
      <w:tabs>
        <w:tab w:val="center" w:pos="4320"/>
        <w:tab w:val="right" w:pos="8640"/>
      </w:tabs>
    </w:pPr>
  </w:style>
  <w:style w:type="character" w:customStyle="1" w:styleId="HeaderChar">
    <w:name w:val="Header Char"/>
    <w:basedOn w:val="DefaultParagraphFont"/>
    <w:link w:val="Header"/>
    <w:uiPriority w:val="99"/>
    <w:rsid w:val="000A09A2"/>
  </w:style>
  <w:style w:type="paragraph" w:styleId="Footer">
    <w:name w:val="footer"/>
    <w:basedOn w:val="Normal"/>
    <w:link w:val="FooterChar"/>
    <w:uiPriority w:val="99"/>
    <w:unhideWhenUsed/>
    <w:rsid w:val="000A09A2"/>
    <w:pPr>
      <w:tabs>
        <w:tab w:val="center" w:pos="4320"/>
        <w:tab w:val="right" w:pos="8640"/>
      </w:tabs>
    </w:pPr>
  </w:style>
  <w:style w:type="character" w:customStyle="1" w:styleId="FooterChar">
    <w:name w:val="Footer Char"/>
    <w:basedOn w:val="DefaultParagraphFont"/>
    <w:link w:val="Footer"/>
    <w:uiPriority w:val="99"/>
    <w:rsid w:val="000A09A2"/>
  </w:style>
  <w:style w:type="paragraph" w:styleId="ListParagraph">
    <w:name w:val="List Paragraph"/>
    <w:basedOn w:val="Normal"/>
    <w:uiPriority w:val="34"/>
    <w:qFormat/>
    <w:rsid w:val="00DC41A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4</Pages>
  <Words>1494</Words>
  <Characters>8517</Characters>
  <Application>Microsoft Macintosh Word</Application>
  <DocSecurity>0</DocSecurity>
  <Lines>70</Lines>
  <Paragraphs>19</Paragraphs>
  <ScaleCrop>false</ScaleCrop>
  <Company>Microbiology &amp; Immunology, UBC</Company>
  <LinksUpToDate>false</LinksUpToDate>
  <CharactersWithSpaces>9992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Evan Durno</cp:lastModifiedBy>
  <cp:revision>30</cp:revision>
  <dcterms:created xsi:type="dcterms:W3CDTF">2015-01-30T21:24:00Z</dcterms:created>
  <dcterms:modified xsi:type="dcterms:W3CDTF">2015-03-28T00:51:00Z</dcterms:modified>
</cp:coreProperties>
</file>