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8396A" w14:textId="77777777" w:rsidR="0027108D" w:rsidRDefault="0027108D" w:rsidP="0027108D">
      <w:pPr>
        <w:widowControl w:val="0"/>
        <w:autoSpaceDE w:val="0"/>
        <w:autoSpaceDN w:val="0"/>
        <w:adjustRightInd w:val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91FC2D1" wp14:editId="22817E21">
            <wp:extent cx="3886200" cy="2878667"/>
            <wp:effectExtent l="0" t="0" r="0" b="0"/>
            <wp:docPr id="2" name="Picture 1" descr="RAID1:Users:wdurno:sagex:sagExtrap5:sagex:paper:dens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D1:Users:wdurno:sagex:sagExtrap5:sagex:paper:densiti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7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70F9" w14:textId="77777777" w:rsidR="0027108D" w:rsidRPr="00055877" w:rsidRDefault="0027108D" w:rsidP="0027108D">
      <w:pPr>
        <w:widowControl w:val="0"/>
        <w:autoSpaceDE w:val="0"/>
        <w:autoSpaceDN w:val="0"/>
        <w:adjustRightInd w:val="0"/>
        <w:ind w:left="1276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055877">
        <w:rPr>
          <w:rFonts w:ascii="Times New Roman" w:hAnsi="Times New Roman" w:cs="Times New Roman"/>
          <w:b/>
          <w:bCs/>
          <w:color w:val="193441"/>
          <w:sz w:val="20"/>
          <w:szCs w:val="20"/>
        </w:rPr>
        <w:t>Figure 1</w:t>
      </w:r>
      <w:r w:rsidRPr="00055877">
        <w:rPr>
          <w:rFonts w:ascii="Times New Roman" w:hAnsi="Times New Roman" w:cs="Times New Roman"/>
          <w:b/>
          <w:color w:val="000000"/>
          <w:sz w:val="20"/>
          <w:szCs w:val="20"/>
        </w:rPr>
        <w:t>. SAGEX confidently extrapolates SAGs.</w:t>
      </w:r>
    </w:p>
    <w:p w14:paraId="2E56FC26" w14:textId="3BA52402" w:rsidR="00CE037A" w:rsidRDefault="00CE037A" w:rsidP="0027108D">
      <w:pPr>
        <w:widowControl w:val="0"/>
        <w:autoSpaceDE w:val="0"/>
        <w:autoSpaceDN w:val="0"/>
        <w:adjustRightInd w:val="0"/>
        <w:ind w:left="1276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density of estimated completeness of 129 SUP05 SAGs (black) is compared with the density of estimated completeness of their extrapolated SAGs (red). On high-PPV settings, SAGEX achieved an average of 20% increased completion. SAGEX is capable of greater completion of low-PPV settings. SAGEX recruited from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Saanich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Inlet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metagenome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Completion was estimated by counting COGs.</w:t>
      </w:r>
    </w:p>
    <w:p w14:paraId="13BA2F4D" w14:textId="77777777" w:rsidR="005F3CF5" w:rsidRDefault="005F3CF5"/>
    <w:p w14:paraId="68B56953" w14:textId="77777777" w:rsidR="0027108D" w:rsidRDefault="0027108D"/>
    <w:p w14:paraId="12967284" w14:textId="77777777" w:rsidR="0027108D" w:rsidRDefault="0027108D"/>
    <w:p w14:paraId="3B899E32" w14:textId="77777777" w:rsidR="00520213" w:rsidRDefault="00520213"/>
    <w:p w14:paraId="2986C2BA" w14:textId="77777777" w:rsidR="00520213" w:rsidRDefault="00520213"/>
    <w:p w14:paraId="31E92CE4" w14:textId="77777777" w:rsidR="00520213" w:rsidRDefault="00520213"/>
    <w:p w14:paraId="596C0011" w14:textId="77777777" w:rsidR="00520213" w:rsidRDefault="00520213"/>
    <w:p w14:paraId="30B3F1DE" w14:textId="77777777" w:rsidR="0027108D" w:rsidRDefault="0027108D"/>
    <w:p w14:paraId="0252A92B" w14:textId="77777777" w:rsidR="0027108D" w:rsidRDefault="0027108D"/>
    <w:p w14:paraId="38309018" w14:textId="77777777" w:rsidR="0027108D" w:rsidRDefault="003E20AB" w:rsidP="003E20AB">
      <w:pPr>
        <w:jc w:val="center"/>
      </w:pPr>
      <w:r>
        <w:rPr>
          <w:noProof/>
        </w:rPr>
        <w:lastRenderedPageBreak/>
        <w:drawing>
          <wp:inline distT="0" distB="0" distL="0" distR="0" wp14:anchorId="5CD08649" wp14:editId="46BC979B">
            <wp:extent cx="4612957" cy="3039533"/>
            <wp:effectExtent l="0" t="0" r="10160" b="8890"/>
            <wp:docPr id="1" name="Picture 1" descr="RAID1:Users:wdurno:sagex:sagExtrap5:sagex:paper: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D1:Users:wdurno:sagex:sagExtrap5:sagex:paper:pipeli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957" cy="303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A869" w14:textId="77777777" w:rsidR="003E20AB" w:rsidRPr="003E20AB" w:rsidRDefault="003E20AB" w:rsidP="003E20AB">
      <w:pPr>
        <w:widowControl w:val="0"/>
        <w:autoSpaceDE w:val="0"/>
        <w:autoSpaceDN w:val="0"/>
        <w:adjustRightInd w:val="0"/>
        <w:ind w:left="709"/>
        <w:rPr>
          <w:rFonts w:eastAsiaTheme="minorEastAsia" w:cs="Times New Roman"/>
          <w:b/>
          <w:color w:val="000000"/>
          <w:sz w:val="20"/>
          <w:szCs w:val="20"/>
        </w:rPr>
      </w:pPr>
      <w:r w:rsidRPr="003E20AB">
        <w:rPr>
          <w:rFonts w:eastAsiaTheme="minorEastAsia" w:cs="Times New Roman"/>
          <w:b/>
          <w:bCs/>
          <w:color w:val="193441"/>
          <w:sz w:val="20"/>
          <w:szCs w:val="20"/>
        </w:rPr>
        <w:t xml:space="preserve">Figure </w:t>
      </w:r>
      <w:r>
        <w:rPr>
          <w:rFonts w:eastAsiaTheme="minorEastAsia" w:cs="Times New Roman"/>
          <w:b/>
          <w:bCs/>
          <w:color w:val="193441"/>
          <w:sz w:val="20"/>
          <w:szCs w:val="20"/>
        </w:rPr>
        <w:t>2</w:t>
      </w:r>
      <w:r w:rsidRPr="003E20AB">
        <w:rPr>
          <w:rFonts w:eastAsiaTheme="minorEastAsia" w:cs="Times New Roman"/>
          <w:b/>
          <w:color w:val="000000"/>
          <w:sz w:val="20"/>
          <w:szCs w:val="20"/>
        </w:rPr>
        <w:t xml:space="preserve">. </w:t>
      </w:r>
      <w:proofErr w:type="gramStart"/>
      <w:r w:rsidRPr="003E20AB">
        <w:rPr>
          <w:rFonts w:eastAsiaTheme="minorEastAsia" w:cs="Times New Roman"/>
          <w:b/>
          <w:color w:val="000000"/>
          <w:sz w:val="20"/>
          <w:szCs w:val="20"/>
        </w:rPr>
        <w:t>The SAGEX pipeline.</w:t>
      </w:r>
      <w:proofErr w:type="gramEnd"/>
    </w:p>
    <w:p w14:paraId="458D9DC2" w14:textId="00F53075" w:rsidR="003E20AB" w:rsidRDefault="00CE037A" w:rsidP="003E20AB">
      <w:pPr>
        <w:widowControl w:val="0"/>
        <w:autoSpaceDE w:val="0"/>
        <w:autoSpaceDN w:val="0"/>
        <w:adjustRightInd w:val="0"/>
        <w:ind w:left="709"/>
        <w:rPr>
          <w:rFonts w:eastAsiaTheme="minorEastAsia" w:cs="Times New Roman"/>
          <w:color w:val="000000"/>
          <w:sz w:val="20"/>
          <w:szCs w:val="20"/>
        </w:rPr>
      </w:pPr>
      <w:r>
        <w:rPr>
          <w:rFonts w:eastAsiaTheme="minorEastAsia" w:cs="Times New Roman"/>
          <w:color w:val="000000"/>
          <w:sz w:val="20"/>
          <w:szCs w:val="20"/>
        </w:rPr>
        <w:t xml:space="preserve">The pipeline has two major components: the identity filter and the </w:t>
      </w:r>
      <w:proofErr w:type="spellStart"/>
      <w:r>
        <w:rPr>
          <w:rFonts w:eastAsiaTheme="minorEastAsia" w:cs="Times New Roman"/>
          <w:color w:val="000000"/>
          <w:sz w:val="20"/>
          <w:szCs w:val="20"/>
        </w:rPr>
        <w:t>kmer</w:t>
      </w:r>
      <w:proofErr w:type="spellEnd"/>
      <w:r>
        <w:rPr>
          <w:rFonts w:eastAsiaTheme="minorEastAsia" w:cs="Times New Roman"/>
          <w:color w:val="000000"/>
          <w:sz w:val="20"/>
          <w:szCs w:val="20"/>
        </w:rPr>
        <w:t xml:space="preserve"> signature filter. The identity filter requires a </w:t>
      </w:r>
      <w:proofErr w:type="spellStart"/>
      <w:r>
        <w:rPr>
          <w:rFonts w:eastAsiaTheme="minorEastAsia" w:cs="Times New Roman"/>
          <w:color w:val="000000"/>
          <w:sz w:val="20"/>
          <w:szCs w:val="20"/>
        </w:rPr>
        <w:t>contig</w:t>
      </w:r>
      <w:proofErr w:type="spellEnd"/>
      <w:r>
        <w:rPr>
          <w:rFonts w:eastAsiaTheme="minorEastAsia" w:cs="Times New Roman"/>
          <w:color w:val="000000"/>
          <w:sz w:val="20"/>
          <w:szCs w:val="20"/>
        </w:rPr>
        <w:t xml:space="preserve"> from the </w:t>
      </w:r>
      <w:proofErr w:type="spellStart"/>
      <w:r>
        <w:rPr>
          <w:rFonts w:eastAsiaTheme="minorEastAsia" w:cs="Times New Roman"/>
          <w:color w:val="000000"/>
          <w:sz w:val="20"/>
          <w:szCs w:val="20"/>
        </w:rPr>
        <w:t>metagenome</w:t>
      </w:r>
      <w:proofErr w:type="spellEnd"/>
      <w:r>
        <w:rPr>
          <w:rFonts w:eastAsiaTheme="minorEastAsia" w:cs="Times New Roman"/>
          <w:color w:val="000000"/>
          <w:sz w:val="20"/>
          <w:szCs w:val="20"/>
        </w:rPr>
        <w:t xml:space="preserve"> to share at least an M-length subsequence with any SAG </w:t>
      </w:r>
      <w:proofErr w:type="spellStart"/>
      <w:r>
        <w:rPr>
          <w:rFonts w:eastAsiaTheme="minorEastAsia" w:cs="Times New Roman"/>
          <w:color w:val="000000"/>
          <w:sz w:val="20"/>
          <w:szCs w:val="20"/>
        </w:rPr>
        <w:t>contig</w:t>
      </w:r>
      <w:proofErr w:type="spellEnd"/>
      <w:r>
        <w:rPr>
          <w:rFonts w:eastAsiaTheme="minorEastAsia" w:cs="Times New Roman"/>
          <w:color w:val="000000"/>
          <w:sz w:val="20"/>
          <w:szCs w:val="20"/>
        </w:rPr>
        <w:t xml:space="preserve"> before it may be accepted as a hit. The </w:t>
      </w:r>
      <w:proofErr w:type="spellStart"/>
      <w:r>
        <w:rPr>
          <w:rFonts w:eastAsiaTheme="minorEastAsia" w:cs="Times New Roman"/>
          <w:color w:val="000000"/>
          <w:sz w:val="20"/>
          <w:szCs w:val="20"/>
        </w:rPr>
        <w:t>contig</w:t>
      </w:r>
      <w:proofErr w:type="spellEnd"/>
      <w:r>
        <w:rPr>
          <w:rFonts w:eastAsiaTheme="minorEastAsia" w:cs="Times New Roman"/>
          <w:color w:val="000000"/>
          <w:sz w:val="20"/>
          <w:szCs w:val="20"/>
        </w:rPr>
        <w:t xml:space="preserve"> must also pass the </w:t>
      </w:r>
      <w:proofErr w:type="spellStart"/>
      <w:r>
        <w:rPr>
          <w:rFonts w:eastAsiaTheme="minorEastAsia" w:cs="Times New Roman"/>
          <w:color w:val="000000"/>
          <w:sz w:val="20"/>
          <w:szCs w:val="20"/>
        </w:rPr>
        <w:t>kmer</w:t>
      </w:r>
      <w:proofErr w:type="spellEnd"/>
      <w:r>
        <w:rPr>
          <w:rFonts w:eastAsiaTheme="minorEastAsia" w:cs="Times New Roman"/>
          <w:color w:val="000000"/>
          <w:sz w:val="20"/>
          <w:szCs w:val="20"/>
        </w:rPr>
        <w:t xml:space="preserve"> signature filter by falling within the general region of the SAG’s </w:t>
      </w:r>
      <w:proofErr w:type="spellStart"/>
      <w:r>
        <w:rPr>
          <w:rFonts w:eastAsiaTheme="minorEastAsia" w:cs="Times New Roman"/>
          <w:color w:val="000000"/>
          <w:sz w:val="20"/>
          <w:szCs w:val="20"/>
        </w:rPr>
        <w:t>tetranucleotide</w:t>
      </w:r>
      <w:proofErr w:type="spellEnd"/>
      <w:r>
        <w:rPr>
          <w:rFonts w:eastAsiaTheme="minorEastAsia" w:cs="Times New Roman"/>
          <w:color w:val="000000"/>
          <w:sz w:val="20"/>
          <w:szCs w:val="20"/>
        </w:rPr>
        <w:t xml:space="preserve"> after PCA dimension reduction.</w:t>
      </w:r>
    </w:p>
    <w:p w14:paraId="7447C8F4" w14:textId="77777777" w:rsidR="00CE037A" w:rsidRDefault="00CE037A" w:rsidP="003E20AB">
      <w:pPr>
        <w:widowControl w:val="0"/>
        <w:autoSpaceDE w:val="0"/>
        <w:autoSpaceDN w:val="0"/>
        <w:adjustRightInd w:val="0"/>
        <w:ind w:left="709"/>
        <w:rPr>
          <w:rFonts w:eastAsiaTheme="minorEastAsia" w:cs="Times New Roman"/>
          <w:color w:val="000000"/>
          <w:sz w:val="20"/>
          <w:szCs w:val="20"/>
        </w:rPr>
      </w:pPr>
    </w:p>
    <w:p w14:paraId="64E9FE9B" w14:textId="77777777" w:rsidR="003E20AB" w:rsidRDefault="003E20AB" w:rsidP="003E20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FD9660F" w14:textId="77777777" w:rsidR="003E20AB" w:rsidRDefault="003E20AB" w:rsidP="003E20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F4B72D4" w14:textId="77777777" w:rsidR="00520213" w:rsidRDefault="00520213" w:rsidP="003E20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C810303" w14:textId="77777777" w:rsidR="00520213" w:rsidRDefault="00520213" w:rsidP="003E20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C5D5551" w14:textId="77777777" w:rsidR="00520213" w:rsidRDefault="00520213" w:rsidP="003E20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39EEC5A" w14:textId="77777777" w:rsidR="00520213" w:rsidRDefault="00520213" w:rsidP="003E20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22D40EA" w14:textId="77777777" w:rsidR="003E20AB" w:rsidRDefault="003E20AB" w:rsidP="003E20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D202767" w14:textId="77777777" w:rsidR="003E20AB" w:rsidRPr="003E20AB" w:rsidRDefault="003E20AB" w:rsidP="003E20AB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4C10DD2A" wp14:editId="3E017584">
            <wp:extent cx="5486400" cy="3192145"/>
            <wp:effectExtent l="0" t="0" r="0" b="8255"/>
            <wp:docPr id="3" name="Picture 2" descr="RAID1:Users:wdurno:sagex:sagExtrap5:sagex:paper:k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ID1:Users:wdurno:sagex:sagExtrap5:sagex:paper:km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5E74" w14:textId="03B23297" w:rsidR="003E20AB" w:rsidRPr="003E20AB" w:rsidRDefault="003E20AB" w:rsidP="003E20AB">
      <w:pPr>
        <w:widowControl w:val="0"/>
        <w:autoSpaceDE w:val="0"/>
        <w:autoSpaceDN w:val="0"/>
        <w:adjustRightInd w:val="0"/>
        <w:ind w:left="709"/>
        <w:rPr>
          <w:rFonts w:eastAsiaTheme="minorEastAsia" w:cs="Times New Roman"/>
          <w:b/>
          <w:color w:val="000000"/>
          <w:sz w:val="22"/>
          <w:szCs w:val="22"/>
        </w:rPr>
      </w:pPr>
      <w:r w:rsidRPr="003E20AB">
        <w:rPr>
          <w:rFonts w:eastAsiaTheme="minorEastAsia" w:cs="Times New Roman"/>
          <w:b/>
          <w:bCs/>
          <w:color w:val="193441"/>
          <w:sz w:val="22"/>
          <w:szCs w:val="22"/>
        </w:rPr>
        <w:t xml:space="preserve">Figure </w:t>
      </w:r>
      <w:r w:rsidR="00CE037A">
        <w:rPr>
          <w:rFonts w:eastAsiaTheme="minorEastAsia" w:cs="Times New Roman"/>
          <w:b/>
          <w:bCs/>
          <w:color w:val="193441"/>
          <w:sz w:val="22"/>
          <w:szCs w:val="22"/>
        </w:rPr>
        <w:t>3</w:t>
      </w:r>
      <w:r w:rsidRPr="003E20AB">
        <w:rPr>
          <w:rFonts w:eastAsiaTheme="minorEastAsia" w:cs="Times New Roman"/>
          <w:b/>
          <w:color w:val="000000"/>
          <w:sz w:val="22"/>
          <w:szCs w:val="22"/>
        </w:rPr>
        <w:t xml:space="preserve">. </w:t>
      </w:r>
      <w:proofErr w:type="gramStart"/>
      <w:r w:rsidRPr="003E20AB">
        <w:rPr>
          <w:rFonts w:eastAsiaTheme="minorEastAsia" w:cs="Times New Roman"/>
          <w:b/>
          <w:color w:val="000000"/>
          <w:sz w:val="22"/>
          <w:szCs w:val="22"/>
        </w:rPr>
        <w:t xml:space="preserve">Genome’s </w:t>
      </w:r>
      <w:proofErr w:type="spellStart"/>
      <w:r w:rsidRPr="003E20AB">
        <w:rPr>
          <w:rFonts w:eastAsiaTheme="minorEastAsia" w:cs="Times New Roman"/>
          <w:b/>
          <w:color w:val="000000"/>
          <w:sz w:val="22"/>
          <w:szCs w:val="22"/>
        </w:rPr>
        <w:t>kmer</w:t>
      </w:r>
      <w:proofErr w:type="spellEnd"/>
      <w:r w:rsidRPr="003E20AB">
        <w:rPr>
          <w:rFonts w:eastAsiaTheme="minorEastAsia" w:cs="Times New Roman"/>
          <w:b/>
          <w:color w:val="000000"/>
          <w:sz w:val="22"/>
          <w:szCs w:val="22"/>
        </w:rPr>
        <w:t xml:space="preserve"> signatures.</w:t>
      </w:r>
      <w:proofErr w:type="gramEnd"/>
    </w:p>
    <w:p w14:paraId="67F85F48" w14:textId="593D9E43" w:rsidR="003E20AB" w:rsidRPr="003E20AB" w:rsidRDefault="00CE037A" w:rsidP="003E20AB">
      <w:pPr>
        <w:widowControl w:val="0"/>
        <w:autoSpaceDE w:val="0"/>
        <w:autoSpaceDN w:val="0"/>
        <w:adjustRightInd w:val="0"/>
        <w:ind w:left="709"/>
        <w:rPr>
          <w:sz w:val="22"/>
          <w:szCs w:val="22"/>
        </w:rPr>
      </w:pPr>
      <w:r>
        <w:rPr>
          <w:rFonts w:eastAsiaTheme="minorEastAsia" w:cs="Times New Roman"/>
          <w:color w:val="000000"/>
          <w:sz w:val="22"/>
          <w:szCs w:val="22"/>
        </w:rPr>
        <w:t xml:space="preserve">The </w:t>
      </w:r>
      <w:proofErr w:type="spellStart"/>
      <w:r>
        <w:rPr>
          <w:rFonts w:eastAsiaTheme="minorEastAsia" w:cs="Times New Roman"/>
          <w:color w:val="000000"/>
          <w:sz w:val="22"/>
          <w:szCs w:val="22"/>
        </w:rPr>
        <w:t>kmer</w:t>
      </w:r>
      <w:proofErr w:type="spellEnd"/>
      <w:r>
        <w:rPr>
          <w:rFonts w:eastAsiaTheme="minorEastAsia" w:cs="Times New Roman"/>
          <w:color w:val="000000"/>
          <w:sz w:val="22"/>
          <w:szCs w:val="22"/>
        </w:rPr>
        <w:t xml:space="preserve"> signature filter is based on the assumption that the SAG and its genome fall within a similar region after their </w:t>
      </w:r>
      <w:proofErr w:type="spellStart"/>
      <w:r>
        <w:rPr>
          <w:rFonts w:eastAsiaTheme="minorEastAsia" w:cs="Times New Roman"/>
          <w:color w:val="000000"/>
          <w:sz w:val="22"/>
          <w:szCs w:val="22"/>
        </w:rPr>
        <w:t>tetranucleotides</w:t>
      </w:r>
      <w:proofErr w:type="spellEnd"/>
      <w:r>
        <w:rPr>
          <w:rFonts w:eastAsiaTheme="minorEastAsia" w:cs="Times New Roman"/>
          <w:color w:val="000000"/>
          <w:sz w:val="22"/>
          <w:szCs w:val="22"/>
        </w:rPr>
        <w:t xml:space="preserve"> are transformed via PCA. This idea is verified by showing the overlapping </w:t>
      </w:r>
      <w:proofErr w:type="spellStart"/>
      <w:r>
        <w:rPr>
          <w:rFonts w:eastAsiaTheme="minorEastAsia" w:cs="Times New Roman"/>
          <w:color w:val="000000"/>
          <w:sz w:val="22"/>
          <w:szCs w:val="22"/>
        </w:rPr>
        <w:t>kmers</w:t>
      </w:r>
      <w:proofErr w:type="spellEnd"/>
      <w:r>
        <w:rPr>
          <w:rFonts w:eastAsiaTheme="minorEastAsia" w:cs="Times New Roman"/>
          <w:color w:val="000000"/>
          <w:sz w:val="22"/>
          <w:szCs w:val="22"/>
        </w:rPr>
        <w:t xml:space="preserve"> of an </w:t>
      </w:r>
      <w:proofErr w:type="spellStart"/>
      <w:r>
        <w:rPr>
          <w:rFonts w:eastAsiaTheme="minorEastAsia" w:cs="Times New Roman"/>
          <w:color w:val="000000"/>
          <w:sz w:val="22"/>
          <w:szCs w:val="22"/>
        </w:rPr>
        <w:t>EColi</w:t>
      </w:r>
      <w:proofErr w:type="spellEnd"/>
      <w:r>
        <w:rPr>
          <w:rFonts w:eastAsiaTheme="minorEastAsia" w:cs="Times New Roman"/>
          <w:color w:val="000000"/>
          <w:sz w:val="22"/>
          <w:szCs w:val="22"/>
        </w:rPr>
        <w:t xml:space="preserve"> MG1655 SAG </w:t>
      </w:r>
      <w:proofErr w:type="gramStart"/>
      <w:r>
        <w:rPr>
          <w:rFonts w:eastAsiaTheme="minorEastAsia" w:cs="Times New Roman"/>
          <w:color w:val="000000"/>
          <w:sz w:val="22"/>
          <w:szCs w:val="22"/>
        </w:rPr>
        <w:t>and  genome</w:t>
      </w:r>
      <w:proofErr w:type="gramEnd"/>
      <w:r>
        <w:rPr>
          <w:rFonts w:eastAsiaTheme="minorEastAsia" w:cs="Times New Roman"/>
          <w:color w:val="000000"/>
          <w:sz w:val="22"/>
          <w:szCs w:val="22"/>
        </w:rPr>
        <w:t xml:space="preserve">. The model also assumes the </w:t>
      </w:r>
      <w:proofErr w:type="spellStart"/>
      <w:r>
        <w:rPr>
          <w:rFonts w:eastAsiaTheme="minorEastAsia" w:cs="Times New Roman"/>
          <w:color w:val="000000"/>
          <w:sz w:val="22"/>
          <w:szCs w:val="22"/>
        </w:rPr>
        <w:t>kmers</w:t>
      </w:r>
      <w:proofErr w:type="spellEnd"/>
      <w:r>
        <w:rPr>
          <w:rFonts w:eastAsiaTheme="minorEastAsia" w:cs="Times New Roman"/>
          <w:color w:val="000000"/>
          <w:sz w:val="22"/>
          <w:szCs w:val="22"/>
        </w:rPr>
        <w:t xml:space="preserve"> roughly follow the shape of a Gaussian Mixture Model (GMM). Several genomes’ </w:t>
      </w:r>
      <w:proofErr w:type="spellStart"/>
      <w:r>
        <w:rPr>
          <w:rFonts w:eastAsiaTheme="minorEastAsia" w:cs="Times New Roman"/>
          <w:color w:val="000000"/>
          <w:sz w:val="22"/>
          <w:szCs w:val="22"/>
        </w:rPr>
        <w:t>kmer</w:t>
      </w:r>
      <w:proofErr w:type="spellEnd"/>
      <w:r>
        <w:rPr>
          <w:rFonts w:eastAsiaTheme="minorEastAsia" w:cs="Times New Roman"/>
          <w:color w:val="000000"/>
          <w:sz w:val="22"/>
          <w:szCs w:val="22"/>
        </w:rPr>
        <w:t xml:space="preserve"> signatures verify this intuition.</w:t>
      </w:r>
    </w:p>
    <w:p w14:paraId="3E6C3083" w14:textId="77777777" w:rsidR="003E20AB" w:rsidRDefault="003E20AB" w:rsidP="003E20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78DE5E2" w14:textId="77777777" w:rsidR="003E20AB" w:rsidRDefault="003E20AB" w:rsidP="003E20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9B8F633" w14:textId="77777777" w:rsidR="003E20AB" w:rsidRDefault="003E20AB" w:rsidP="003E20AB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90619F3" wp14:editId="5A1E66AD">
            <wp:extent cx="5478145" cy="4935855"/>
            <wp:effectExtent l="0" t="0" r="8255" b="0"/>
            <wp:docPr id="4" name="Picture 3" descr="RAID1:Users:wdurno:sagex:sagExtrap5:sagex:paper: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D1:Users:wdurno:sagex:sagExtrap5:sagex:paper:er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0055" w14:textId="77777777" w:rsidR="003E20AB" w:rsidRPr="003E20AB" w:rsidRDefault="003E20AB" w:rsidP="00965B73">
      <w:pPr>
        <w:widowControl w:val="0"/>
        <w:autoSpaceDE w:val="0"/>
        <w:autoSpaceDN w:val="0"/>
        <w:adjustRightInd w:val="0"/>
        <w:ind w:left="709"/>
        <w:rPr>
          <w:rFonts w:eastAsiaTheme="minorEastAsia" w:cs="Times New Roman"/>
          <w:b/>
          <w:color w:val="000000"/>
          <w:sz w:val="22"/>
          <w:szCs w:val="22"/>
        </w:rPr>
      </w:pPr>
      <w:r w:rsidRPr="003E20AB">
        <w:rPr>
          <w:rFonts w:eastAsiaTheme="minorEastAsia" w:cs="Times New Roman"/>
          <w:b/>
          <w:bCs/>
          <w:color w:val="193441"/>
          <w:sz w:val="22"/>
          <w:szCs w:val="22"/>
        </w:rPr>
        <w:t>Figure 4</w:t>
      </w:r>
      <w:r w:rsidRPr="003E20AB">
        <w:rPr>
          <w:rFonts w:eastAsiaTheme="minorEastAsia" w:cs="Times New Roman"/>
          <w:b/>
          <w:color w:val="000000"/>
          <w:sz w:val="22"/>
          <w:szCs w:val="22"/>
        </w:rPr>
        <w:t xml:space="preserve">. </w:t>
      </w:r>
      <w:proofErr w:type="gramStart"/>
      <w:r w:rsidRPr="003E20AB">
        <w:rPr>
          <w:rFonts w:eastAsiaTheme="minorEastAsia" w:cs="Times New Roman"/>
          <w:b/>
          <w:color w:val="000000"/>
          <w:sz w:val="22"/>
          <w:szCs w:val="22"/>
        </w:rPr>
        <w:t>Error analyses of SAGEX.</w:t>
      </w:r>
      <w:proofErr w:type="gramEnd"/>
    </w:p>
    <w:p w14:paraId="4C23812F" w14:textId="0B03021A" w:rsidR="003E20AB" w:rsidRDefault="003E20AB" w:rsidP="00965B73">
      <w:pPr>
        <w:widowControl w:val="0"/>
        <w:autoSpaceDE w:val="0"/>
        <w:autoSpaceDN w:val="0"/>
        <w:adjustRightInd w:val="0"/>
        <w:ind w:left="709"/>
        <w:rPr>
          <w:sz w:val="22"/>
          <w:szCs w:val="22"/>
        </w:rPr>
      </w:pPr>
      <w:r w:rsidRPr="003E20AB">
        <w:rPr>
          <w:rFonts w:eastAsiaTheme="minorEastAsia" w:cs="Times New Roman"/>
          <w:b/>
          <w:color w:val="000000"/>
          <w:sz w:val="22"/>
          <w:szCs w:val="22"/>
        </w:rPr>
        <w:t>(</w:t>
      </w:r>
      <w:proofErr w:type="spellStart"/>
      <w:proofErr w:type="gramStart"/>
      <w:r w:rsidRPr="003E20AB">
        <w:rPr>
          <w:rFonts w:eastAsiaTheme="minorEastAsia" w:cs="Times New Roman"/>
          <w:b/>
          <w:color w:val="000000"/>
          <w:sz w:val="22"/>
          <w:szCs w:val="22"/>
        </w:rPr>
        <w:t>a</w:t>
      </w:r>
      <w:proofErr w:type="gramEnd"/>
      <w:r w:rsidRPr="003E20AB">
        <w:rPr>
          <w:rFonts w:eastAsiaTheme="minorEastAsia" w:cs="Times New Roman"/>
          <w:b/>
          <w:color w:val="000000"/>
          <w:sz w:val="22"/>
          <w:szCs w:val="22"/>
        </w:rPr>
        <w:t>,b</w:t>
      </w:r>
      <w:proofErr w:type="spellEnd"/>
      <w:r w:rsidRPr="003E20AB">
        <w:rPr>
          <w:rFonts w:eastAsiaTheme="minorEastAsia" w:cs="Times New Roman"/>
          <w:b/>
          <w:color w:val="000000"/>
          <w:sz w:val="22"/>
          <w:szCs w:val="22"/>
        </w:rPr>
        <w:t>)</w:t>
      </w:r>
      <w:r w:rsidRPr="003E20AB">
        <w:rPr>
          <w:rFonts w:eastAsiaTheme="minorEastAsia" w:cs="Times New Roman"/>
          <w:color w:val="000000"/>
          <w:sz w:val="22"/>
          <w:szCs w:val="22"/>
        </w:rPr>
        <w:t xml:space="preserve"> Classification errors were estimated for SAGEX using </w:t>
      </w:r>
      <w:proofErr w:type="gramStart"/>
      <w:r w:rsidRPr="003E20AB">
        <w:rPr>
          <w:rFonts w:eastAsiaTheme="minorEastAsia" w:cs="Times New Roman"/>
          <w:color w:val="000000"/>
          <w:sz w:val="22"/>
          <w:szCs w:val="22"/>
        </w:rPr>
        <w:t>an E. Coli MG1655 SAG</w:t>
      </w:r>
      <w:proofErr w:type="gram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[4] as training data, a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Saanich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Inlet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metagenome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[5] as false hits, and an E. Coli MG1655 isolate genome [6] as true hits. E. Coli MG1655 was ideal because it is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Pr="003E20AB">
        <w:rPr>
          <w:rFonts w:eastAsiaTheme="minorEastAsia" w:cs="Times New Roman"/>
          <w:color w:val="000000"/>
          <w:sz w:val="22"/>
          <w:szCs w:val="22"/>
        </w:rPr>
        <w:t xml:space="preserve">not expected to occur naturally in the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metagenome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, thus not confusing true and false hits. </w:t>
      </w:r>
      <w:r w:rsidRPr="003E20AB">
        <w:rPr>
          <w:rFonts w:eastAsiaTheme="minorEastAsia" w:cs="Times New Roman"/>
          <w:b/>
          <w:color w:val="000000"/>
          <w:sz w:val="22"/>
          <w:szCs w:val="22"/>
        </w:rPr>
        <w:t>(c)</w:t>
      </w:r>
      <w:r w:rsidRPr="003E20AB">
        <w:rPr>
          <w:rFonts w:eastAsiaTheme="minorEastAsia" w:cs="Times New Roman"/>
          <w:color w:val="000000"/>
          <w:sz w:val="22"/>
          <w:szCs w:val="22"/>
        </w:rPr>
        <w:t xml:space="preserve"> SAGEX PPV was validated because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Pr="003E20AB">
        <w:rPr>
          <w:rFonts w:eastAsiaTheme="minorEastAsia" w:cs="Times New Roman"/>
          <w:color w:val="000000"/>
          <w:sz w:val="22"/>
          <w:szCs w:val="22"/>
        </w:rPr>
        <w:t xml:space="preserve">E. Coli is too ideal a case. We conclude that SAGEX should be used with a SAG and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metagenome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from the same sample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Pr="003E20AB">
        <w:rPr>
          <w:rFonts w:eastAsiaTheme="minorEastAsia" w:cs="Times New Roman"/>
          <w:color w:val="000000"/>
          <w:sz w:val="22"/>
          <w:szCs w:val="22"/>
        </w:rPr>
        <w:t xml:space="preserve">(or similar). To validate SAGEX PPV, the 129 SUP05 SAGs were run against 48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metagenomes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at various depths and times.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Pr="003E20AB">
        <w:rPr>
          <w:rFonts w:eastAsiaTheme="minorEastAsia" w:cs="Times New Roman"/>
          <w:color w:val="000000"/>
          <w:sz w:val="22"/>
          <w:szCs w:val="22"/>
        </w:rPr>
        <w:t xml:space="preserve">BLAST was used to query SAGEX identified ORFs against a database containing all SUP05 SAG </w:t>
      </w:r>
      <w:r>
        <w:rPr>
          <w:rFonts w:eastAsiaTheme="minorEastAsia" w:cs="Times New Roman"/>
          <w:color w:val="000000"/>
          <w:sz w:val="22"/>
          <w:szCs w:val="22"/>
        </w:rPr>
        <w:t>s</w:t>
      </w:r>
      <w:r w:rsidRPr="003E20AB">
        <w:rPr>
          <w:rFonts w:eastAsiaTheme="minorEastAsia" w:cs="Times New Roman"/>
          <w:color w:val="000000"/>
          <w:sz w:val="22"/>
          <w:szCs w:val="22"/>
        </w:rPr>
        <w:t>equences, requiring at least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Pr="003E20AB">
        <w:rPr>
          <w:rFonts w:eastAsiaTheme="minorEastAsia" w:cs="Times New Roman"/>
          <w:color w:val="000000"/>
          <w:sz w:val="22"/>
          <w:szCs w:val="22"/>
        </w:rPr>
        <w:t>one successful hit for validation. (</w:t>
      </w:r>
      <w:proofErr w:type="spellStart"/>
      <w:proofErr w:type="gramStart"/>
      <w:r w:rsidRPr="003E20AB">
        <w:rPr>
          <w:rFonts w:eastAsiaTheme="minorEastAsia" w:cs="Times New Roman"/>
          <w:color w:val="000000"/>
          <w:sz w:val="22"/>
          <w:szCs w:val="22"/>
        </w:rPr>
        <w:t>c</w:t>
      </w:r>
      <w:proofErr w:type="gramEnd"/>
      <w:r w:rsidRPr="003E20AB">
        <w:rPr>
          <w:rFonts w:eastAsiaTheme="minorEastAsia" w:cs="Times New Roman"/>
          <w:color w:val="000000"/>
          <w:sz w:val="22"/>
          <w:szCs w:val="22"/>
        </w:rPr>
        <w:t>,top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), The average validated PPV per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metagenome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>. Dots represent sample points in time and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Pr="003E20AB">
        <w:rPr>
          <w:rFonts w:eastAsiaTheme="minorEastAsia" w:cs="Times New Roman"/>
          <w:color w:val="000000"/>
          <w:sz w:val="22"/>
          <w:szCs w:val="22"/>
        </w:rPr>
        <w:t xml:space="preserve">depth. Interpolation was used to create the contour plot in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Matlab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>. (</w:t>
      </w:r>
      <w:proofErr w:type="spellStart"/>
      <w:proofErr w:type="gramStart"/>
      <w:r w:rsidRPr="003E20AB">
        <w:rPr>
          <w:rFonts w:eastAsiaTheme="minorEastAsia" w:cs="Times New Roman"/>
          <w:color w:val="000000"/>
          <w:sz w:val="22"/>
          <w:szCs w:val="22"/>
        </w:rPr>
        <w:t>c</w:t>
      </w:r>
      <w:proofErr w:type="gramEnd"/>
      <w:r w:rsidRPr="003E20AB">
        <w:rPr>
          <w:rFonts w:eastAsiaTheme="minorEastAsia" w:cs="Times New Roman"/>
          <w:color w:val="000000"/>
          <w:sz w:val="22"/>
          <w:szCs w:val="22"/>
        </w:rPr>
        <w:t>,bottom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>), H2S concentrations. SUP05 is a sulfur-oxidizing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Pr="003E20AB">
        <w:rPr>
          <w:rFonts w:eastAsiaTheme="minorEastAsia" w:cs="Times New Roman"/>
          <w:color w:val="000000"/>
          <w:sz w:val="22"/>
          <w:szCs w:val="22"/>
        </w:rPr>
        <w:t xml:space="preserve">gamma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proteobacterial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group known to inhabit anoxic </w:t>
      </w:r>
      <w:proofErr w:type="spellStart"/>
      <w:r w:rsidRPr="003E20AB">
        <w:rPr>
          <w:rFonts w:eastAsiaTheme="minorEastAsia" w:cs="Times New Roman"/>
          <w:color w:val="000000"/>
          <w:sz w:val="22"/>
          <w:szCs w:val="22"/>
        </w:rPr>
        <w:t>sulfidic</w:t>
      </w:r>
      <w:proofErr w:type="spell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waters up to 4μM </w:t>
      </w:r>
      <w:proofErr w:type="gramStart"/>
      <w:r w:rsidRPr="003E20AB">
        <w:rPr>
          <w:rFonts w:eastAsiaTheme="minorEastAsia" w:cs="Times New Roman"/>
          <w:color w:val="000000"/>
          <w:sz w:val="22"/>
          <w:szCs w:val="22"/>
        </w:rPr>
        <w:t>H2S,</w:t>
      </w:r>
      <w:proofErr w:type="gramEnd"/>
      <w:r w:rsidRPr="003E20AB">
        <w:rPr>
          <w:rFonts w:eastAsiaTheme="minorEastAsia" w:cs="Times New Roman"/>
          <w:color w:val="000000"/>
          <w:sz w:val="22"/>
          <w:szCs w:val="22"/>
        </w:rPr>
        <w:t xml:space="preserve"> High validated PPV is associated with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Pr="003E20AB">
        <w:rPr>
          <w:rFonts w:eastAsiaTheme="minorEastAsia" w:cs="Times New Roman"/>
          <w:color w:val="000000"/>
          <w:sz w:val="22"/>
          <w:szCs w:val="22"/>
        </w:rPr>
        <w:t>increased SUP05 abundance and water column H2S concentrations. The higher validated PPV in upper waters appears to be</w:t>
      </w:r>
      <w:r>
        <w:rPr>
          <w:rFonts w:eastAsiaTheme="minorEastAsia" w:cs="Times New Roman"/>
          <w:color w:val="000000"/>
          <w:sz w:val="22"/>
          <w:szCs w:val="22"/>
        </w:rPr>
        <w:t xml:space="preserve"> </w:t>
      </w:r>
      <w:r w:rsidRPr="003E20AB">
        <w:rPr>
          <w:rFonts w:eastAsiaTheme="minorEastAsia" w:cs="Times New Roman"/>
          <w:color w:val="000000"/>
          <w:sz w:val="22"/>
          <w:szCs w:val="22"/>
        </w:rPr>
        <w:t>associated with a second group of putative sulfur-oxidizing bacteria, Arctic96BD-19 closely related to SUP05.</w:t>
      </w:r>
    </w:p>
    <w:p w14:paraId="0D745971" w14:textId="77777777" w:rsidR="00965B73" w:rsidRDefault="00965B73" w:rsidP="003E20A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3980E28" w14:textId="77777777" w:rsidR="00965B73" w:rsidRDefault="00965B73" w:rsidP="003E20A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3B63E0A9" w14:textId="46A09F36" w:rsidR="00965B73" w:rsidRDefault="00965B73" w:rsidP="003E20A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3488E9E" wp14:editId="625A8B58">
            <wp:extent cx="5478145" cy="2184400"/>
            <wp:effectExtent l="0" t="0" r="8255" b="0"/>
            <wp:docPr id="5" name="Picture 4" descr="RAID1:Users:wdurno:sagex:sagExtrap5:sagex:paper:rp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ID1:Users:wdurno:sagex:sagExtrap5:sagex:paper:rpk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E7BDB" w14:textId="77777777" w:rsidR="00965B73" w:rsidRDefault="00965B73" w:rsidP="003E20A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1DD2267A" w14:textId="388F77B6" w:rsidR="00965B73" w:rsidRPr="00965B73" w:rsidRDefault="00965B73" w:rsidP="009F55FC">
      <w:pPr>
        <w:widowControl w:val="0"/>
        <w:autoSpaceDE w:val="0"/>
        <w:autoSpaceDN w:val="0"/>
        <w:adjustRightInd w:val="0"/>
        <w:ind w:left="28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Figure 5. </w:t>
      </w:r>
      <w:proofErr w:type="gramStart"/>
      <w:r>
        <w:rPr>
          <w:b/>
          <w:sz w:val="22"/>
          <w:szCs w:val="22"/>
        </w:rPr>
        <w:t>SUP05 RPKM recruitment.</w:t>
      </w:r>
      <w:proofErr w:type="gramEnd"/>
    </w:p>
    <w:p w14:paraId="221AC65B" w14:textId="3DF3646C" w:rsidR="00965B73" w:rsidRDefault="00182E34" w:rsidP="009F55FC">
      <w:pPr>
        <w:widowControl w:val="0"/>
        <w:autoSpaceDE w:val="0"/>
        <w:autoSpaceDN w:val="0"/>
        <w:adjustRightInd w:val="0"/>
        <w:ind w:left="284"/>
        <w:rPr>
          <w:sz w:val="22"/>
          <w:szCs w:val="22"/>
        </w:rPr>
      </w:pPr>
      <w:r>
        <w:rPr>
          <w:sz w:val="22"/>
          <w:szCs w:val="22"/>
        </w:rPr>
        <w:t>The</w:t>
      </w:r>
      <w:r w:rsidR="00965B73">
        <w:rPr>
          <w:sz w:val="22"/>
          <w:szCs w:val="22"/>
        </w:rPr>
        <w:t xml:space="preserve"> interpolated surface of average SUP05 RPKM recruitment from </w:t>
      </w:r>
      <w:proofErr w:type="spellStart"/>
      <w:r w:rsidR="00965B73">
        <w:rPr>
          <w:sz w:val="22"/>
          <w:szCs w:val="22"/>
        </w:rPr>
        <w:t>metagenomes</w:t>
      </w:r>
      <w:proofErr w:type="spellEnd"/>
      <w:r w:rsidR="00965B73">
        <w:rPr>
          <w:sz w:val="22"/>
          <w:szCs w:val="22"/>
        </w:rPr>
        <w:t xml:space="preserve"> at varying depths and times demonstrates that SAGEX may be used to infer abundances of relatives to the SAG used to train SAGEX.</w:t>
      </w:r>
      <w:bookmarkStart w:id="0" w:name="_GoBack"/>
      <w:bookmarkEnd w:id="0"/>
    </w:p>
    <w:p w14:paraId="783845BB" w14:textId="77777777" w:rsidR="00965B73" w:rsidRDefault="00965B73" w:rsidP="003E20A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21D80B60" w14:textId="77777777" w:rsidR="00965B73" w:rsidRDefault="00965B73" w:rsidP="003E20A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8391FD6" w14:textId="77777777" w:rsidR="00965B73" w:rsidRDefault="00965B73" w:rsidP="003E20A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2875D43" w14:textId="77777777" w:rsidR="00965B73" w:rsidRDefault="00965B73" w:rsidP="003E20A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5E11AB61" w14:textId="77777777" w:rsidR="00965B73" w:rsidRPr="00965B73" w:rsidRDefault="00965B73" w:rsidP="003E20A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sectPr w:rsidR="00965B73" w:rsidRPr="00965B73" w:rsidSect="005F3CF5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A7CED"/>
    <w:multiLevelType w:val="hybridMultilevel"/>
    <w:tmpl w:val="AF608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8D"/>
    <w:rsid w:val="00182E34"/>
    <w:rsid w:val="001B1FC9"/>
    <w:rsid w:val="0027108D"/>
    <w:rsid w:val="003E20AB"/>
    <w:rsid w:val="00431D5B"/>
    <w:rsid w:val="00520213"/>
    <w:rsid w:val="005F3CF5"/>
    <w:rsid w:val="00915CC8"/>
    <w:rsid w:val="0093476E"/>
    <w:rsid w:val="00965B73"/>
    <w:rsid w:val="009F55FC"/>
    <w:rsid w:val="00B32EC0"/>
    <w:rsid w:val="00B4501B"/>
    <w:rsid w:val="00CA34A0"/>
    <w:rsid w:val="00CE037A"/>
    <w:rsid w:val="00E264A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9E89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08D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0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8D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E2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08D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0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8D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E2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437</Words>
  <Characters>2493</Characters>
  <Application>Microsoft Macintosh Word</Application>
  <DocSecurity>0</DocSecurity>
  <Lines>20</Lines>
  <Paragraphs>5</Paragraphs>
  <ScaleCrop>false</ScaleCrop>
  <Company>Microbiology &amp; Immunology, UBC</Company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Durno</dc:creator>
  <cp:keywords/>
  <dc:description/>
  <cp:lastModifiedBy>Evan Durno</cp:lastModifiedBy>
  <cp:revision>8</cp:revision>
  <dcterms:created xsi:type="dcterms:W3CDTF">2015-03-23T23:16:00Z</dcterms:created>
  <dcterms:modified xsi:type="dcterms:W3CDTF">2015-03-28T00:53:00Z</dcterms:modified>
</cp:coreProperties>
</file>