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Aptos" w:hAnsi="Aptos"/>
          <w:b/>
          <w:i w:val="0"/>
          <w:color w:val="B59B52"/>
          <w:sz w:val="22"/>
        </w:rPr>
        <w:t>PI PROP INTELLIGENCE</w:t>
      </w:r>
    </w:p>
    <w:p>
      <w:pPr>
        <w:spacing w:after="160"/>
        <w:jc w:val="center"/>
      </w:pPr>
      <w:r>
        <w:rPr>
          <w:rFonts w:ascii="Aptos Display" w:hAnsi="Aptos Display"/>
          <w:b/>
          <w:i w:val="0"/>
          <w:color w:val="071621"/>
          <w:sz w:val="56"/>
        </w:rPr>
        <w:t>INFRASTRUCTURE GUIDE</w:t>
      </w:r>
    </w:p>
    <w:p>
      <w:pPr>
        <w:spacing w:after="520"/>
        <w:jc w:val="center"/>
      </w:pPr>
      <w:r>
        <w:rPr>
          <w:rFonts w:ascii="Aptos" w:hAnsi="Aptos"/>
          <w:b w:val="0"/>
          <w:i/>
          <w:color w:val="667584"/>
          <w:sz w:val="26"/>
        </w:rPr>
        <w:t>Domains, platforms, data sources, security boundaries, deployments, and recovery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71621"/>
          </w:tcPr>
          <w:p>
            <w:r>
              <w:rPr>
                <w:rFonts w:ascii="Aptos" w:hAnsi="Aptos"/>
                <w:b/>
                <w:i w:val="0"/>
                <w:color w:val="B59B52"/>
                <w:sz w:val="18"/>
              </w:rPr>
              <w:t xml:space="preserve">CURRENT EDITION  </w:t>
            </w: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>Updated through August 21, 2026. Web/PWA release; no App Store or Play Store distribution is assumed.</w:t>
            </w:r>
          </w:p>
        </w:tc>
      </w:tr>
    </w:tbl>
    <w:p>
      <w:pPr>
        <w:spacing w:after="20"/>
      </w:pPr>
    </w:p>
    <w:p>
      <w:pPr>
        <w:spacing w:before="1440"/>
        <w:jc w:val="center"/>
      </w:pPr>
      <w:r>
        <w:rPr>
          <w:rFonts w:ascii="Aptos" w:hAnsi="Aptos"/>
          <w:b/>
          <w:i w:val="0"/>
          <w:color w:val="0D2535"/>
          <w:sz w:val="20"/>
        </w:rPr>
        <w:t>Prepared for PI PROP INTELLIGENCE LLC</w:t>
      </w:r>
    </w:p>
    <w:p>
      <w:pPr>
        <w:jc w:val="center"/>
      </w:pPr>
      <w:r>
        <w:rPr>
          <w:rFonts w:ascii="Aptos" w:hAnsi="Aptos"/>
          <w:b w:val="0"/>
          <w:i w:val="0"/>
          <w:color w:val="667584"/>
          <w:sz w:val="17"/>
        </w:rPr>
        <w:t>Independent sports research and intelligence only. PI does not facilitate wagering or accept bets.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1. </w:t>
      </w:r>
      <w:r>
        <w:rPr>
          <w:rFonts w:ascii="Aptos" w:hAnsi="Aptos"/>
          <w:b/>
          <w:i w:val="0"/>
          <w:color w:val="0D2535"/>
          <w:sz w:val="20"/>
        </w:rPr>
        <w:t>Architecture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2. </w:t>
      </w:r>
      <w:r>
        <w:rPr>
          <w:rFonts w:ascii="Aptos" w:hAnsi="Aptos"/>
          <w:b/>
          <w:i w:val="0"/>
          <w:color w:val="0D2535"/>
          <w:sz w:val="20"/>
        </w:rPr>
        <w:t>Production sites and dashboards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3. </w:t>
      </w:r>
      <w:r>
        <w:rPr>
          <w:rFonts w:ascii="Aptos" w:hAnsi="Aptos"/>
          <w:b/>
          <w:i w:val="0"/>
          <w:color w:val="0D2535"/>
          <w:sz w:val="20"/>
        </w:rPr>
        <w:t>Customer-facing prop sites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4. </w:t>
      </w:r>
      <w:r>
        <w:rPr>
          <w:rFonts w:ascii="Aptos" w:hAnsi="Aptos"/>
          <w:b/>
          <w:i w:val="0"/>
          <w:color w:val="0D2535"/>
          <w:sz w:val="20"/>
        </w:rPr>
        <w:t>Data and content providers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5. </w:t>
      </w:r>
      <w:r>
        <w:rPr>
          <w:rFonts w:ascii="Aptos" w:hAnsi="Aptos"/>
          <w:b/>
          <w:i w:val="0"/>
          <w:color w:val="0D2535"/>
          <w:sz w:val="20"/>
        </w:rPr>
        <w:t>Application services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6. </w:t>
      </w:r>
      <w:r>
        <w:rPr>
          <w:rFonts w:ascii="Aptos" w:hAnsi="Aptos"/>
          <w:b/>
          <w:i w:val="0"/>
          <w:color w:val="0D2535"/>
          <w:sz w:val="20"/>
        </w:rPr>
        <w:t>Data flow and freshness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7. </w:t>
      </w:r>
      <w:r>
        <w:rPr>
          <w:rFonts w:ascii="Aptos" w:hAnsi="Aptos"/>
          <w:b/>
          <w:i w:val="0"/>
          <w:color w:val="0D2535"/>
          <w:sz w:val="20"/>
        </w:rPr>
        <w:t>Security boundary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8. </w:t>
      </w:r>
      <w:r>
        <w:rPr>
          <w:rFonts w:ascii="Aptos" w:hAnsi="Aptos"/>
          <w:b/>
          <w:i w:val="0"/>
          <w:color w:val="0D2535"/>
          <w:sz w:val="20"/>
        </w:rPr>
        <w:t>Deployment and verification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9. </w:t>
      </w:r>
      <w:r>
        <w:rPr>
          <w:rFonts w:ascii="Aptos" w:hAnsi="Aptos"/>
          <w:b/>
          <w:i w:val="0"/>
          <w:color w:val="0D2535"/>
          <w:sz w:val="20"/>
        </w:rPr>
        <w:t>Monitoring and incident response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10. </w:t>
      </w:r>
      <w:r>
        <w:rPr>
          <w:rFonts w:ascii="Aptos" w:hAnsi="Aptos"/>
          <w:b/>
          <w:i w:val="0"/>
          <w:color w:val="0D2535"/>
          <w:sz w:val="20"/>
        </w:rPr>
        <w:t>Backup and recovery</w:t>
      </w:r>
    </w:p>
    <w:p>
      <w:pPr>
        <w:spacing w:after="60"/>
      </w:pPr>
      <w:r>
        <w:rPr>
          <w:rFonts w:ascii="Aptos" w:hAnsi="Aptos"/>
          <w:b/>
          <w:i w:val="0"/>
          <w:color w:val="B59B52"/>
          <w:sz w:val="20"/>
        </w:rPr>
        <w:t xml:space="preserve">11. </w:t>
      </w:r>
      <w:r>
        <w:rPr>
          <w:rFonts w:ascii="Aptos" w:hAnsi="Aptos"/>
          <w:b/>
          <w:i w:val="0"/>
          <w:color w:val="0D2535"/>
          <w:sz w:val="20"/>
        </w:rPr>
        <w:t>Known boundaries</w:t>
      </w:r>
    </w:p>
    <w:p>
      <w:r>
        <w:br w:type="page"/>
      </w:r>
    </w:p>
    <w:p>
      <w:pPr>
        <w:pStyle w:val="Heading1"/>
      </w:pPr>
      <w:r>
        <w:t>1. Architecture</w:t>
      </w:r>
    </w:p>
    <w:p>
      <w:r>
        <w:rPr>
          <w:rFonts w:ascii="Aptos" w:hAnsi="Aptos"/>
          <w:b w:val="0"/>
          <w:i w:val="0"/>
          <w:color w:val="17212B"/>
          <w:sz w:val="21"/>
        </w:rPr>
        <w:t>The production platform is a Flutter web/PWA client served through Vercel and a FastAPI/Python backend served through Render. Supabase provides authentication and PostgreSQL data services. Redis and RQ provide shared cache, queueing, coordination, rate limits, and short-lived operational state. External providers supply markets, scoreboards, statistics, images, billing, CAPTCHA, and notifications.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500"/>
        <w:gridCol w:w="5560"/>
      </w:tblGrid>
      <w:tr>
        <w:trPr>
          <w:tblHeader w:val="true"/>
        </w:trPr>
        <w:tc>
          <w:tcPr>
            <w:tcW w:type="dxa" w:w="13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Layer</w:t>
            </w:r>
          </w:p>
        </w:tc>
        <w:tc>
          <w:tcPr>
            <w:tcW w:type="dxa" w:w="25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Service</w:t>
            </w:r>
          </w:p>
        </w:tc>
        <w:tc>
          <w:tcPr>
            <w:tcW w:type="dxa" w:w="55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Responsibility</w:t>
            </w:r>
          </w:p>
        </w:tc>
      </w:tr>
      <w:t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Public web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propsintell.com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Marketing, product, pricing, legal, installation, contact, and authentication entry points.</w:t>
            </w:r>
          </w:p>
        </w:tc>
      </w:tr>
      <w:tr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Application</w:t>
            </w:r>
          </w:p>
        </w:tc>
        <w:tc>
          <w:tcPr>
            <w:tcW w:type="dxa" w:w="2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app.propsintell.com / Vercel</w:t>
            </w:r>
          </w:p>
        </w:tc>
        <w:tc>
          <w:tcPr>
            <w:tcW w:type="dxa" w:w="5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Flutter web/PWA, responsive shell, browser-delivered public configuration, and release caching.</w:t>
            </w:r>
          </w:p>
        </w:tc>
      </w:tr>
      <w:t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API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api.propsintell.com / Render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Authentication enforcement, prop catalog, models, grading, provider orchestration, webhooks, and owner telemetry.</w:t>
            </w:r>
          </w:p>
        </w:tc>
      </w:tr>
      <w:tr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Identity/data</w:t>
            </w:r>
          </w:p>
        </w:tc>
        <w:tc>
          <w:tcPr>
            <w:tcW w:type="dxa" w:w="2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Supabase</w:t>
            </w:r>
          </w:p>
        </w:tc>
        <w:tc>
          <w:tcPr>
            <w:tcW w:type="dxa" w:w="5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Authentication, profiles, PostgreSQL, row-level security, storage, and managed backups.</w:t>
            </w:r>
          </w:p>
        </w:tc>
      </w:tr>
      <w:tr>
        <w:tc>
          <w:tcPr>
            <w:tcW w:type="dxa" w:w="13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Cache/jobs</w:t>
            </w:r>
          </w:p>
        </w:tc>
        <w:tc>
          <w:tcPr>
            <w:tcW w:type="dxa" w:w="2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Redis + RQ on Render</w:t>
            </w:r>
          </w:p>
        </w:tc>
        <w:tc>
          <w:tcPr>
            <w:tcW w:type="dxa" w:w="5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Distributed catalog, queues, workers, cooldowns, rate limiting, image maps, and recovery state.</w:t>
            </w:r>
          </w:p>
        </w:tc>
      </w:tr>
      <w:tr>
        <w:tc>
          <w:tcPr>
            <w:tcW w:type="dxa" w:w="13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Source/release</w:t>
            </w:r>
          </w:p>
        </w:tc>
        <w:tc>
          <w:tcPr>
            <w:tcW w:type="dxa" w:w="2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GitHub</w:t>
            </w:r>
          </w:p>
        </w:tc>
        <w:tc>
          <w:tcPr>
            <w:tcW w:type="dxa" w:w="5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Repository, commit history, CI, release source of truth, and deployment triggers.</w:t>
            </w:r>
          </w:p>
        </w:tc>
      </w:tr>
    </w:tbl>
    <w:p>
      <w:pPr>
        <w:spacing w:after="40"/>
      </w:pPr>
    </w:p>
    <w:p>
      <w:pPr>
        <w:pStyle w:val="Heading1"/>
      </w:pPr>
      <w:r>
        <w:t>2. Production sites and dashboards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3420"/>
        <w:gridCol w:w="4190"/>
      </w:tblGrid>
      <w:tr>
        <w:trPr>
          <w:tblHeader w:val="true"/>
        </w:trPr>
        <w:tc>
          <w:tcPr>
            <w:tcW w:type="dxa" w:w="175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Site</w:t>
            </w:r>
          </w:p>
        </w:tc>
        <w:tc>
          <w:tcPr>
            <w:tcW w:type="dxa" w:w="342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Use</w:t>
            </w:r>
          </w:p>
        </w:tc>
        <w:tc>
          <w:tcPr>
            <w:tcW w:type="dxa" w:w="419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Owner verification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Vercel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Frontend deployment and public environment variables</w:t>
            </w:r>
          </w:p>
        </w:tc>
        <w:tc>
          <w:tcPr>
            <w:tcW w:type="dxa" w:w="4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Latest main deployment is Ready; custom domain points to it; update prompt serves the intended bundle.</w:t>
            </w:r>
          </w:p>
        </w:tc>
      </w:tr>
      <w:tr>
        <w:tc>
          <w:tcPr>
            <w:tcW w:type="dxa" w:w="17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Render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API, worker, Redis, cron, secrets, and logs</w:t>
            </w:r>
          </w:p>
        </w:tc>
        <w:tc>
          <w:tcPr>
            <w:tcW w:type="dxa" w:w="419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Services Live; deploy commit matches GitHub; workers/cron healthy; no restart loop.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Supabase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Auth, PostgreSQL, RLS, backups</w:t>
            </w:r>
          </w:p>
        </w:tc>
        <w:tc>
          <w:tcPr>
            <w:tcW w:type="dxa" w:w="4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Owner MFA; redirects; Security Advisor; backups/PITR; no exposed service role.</w:t>
            </w:r>
          </w:p>
        </w:tc>
      </w:tr>
      <w:tr>
        <w:tc>
          <w:tcPr>
            <w:tcW w:type="dxa" w:w="17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GitHub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Code, commits, Actions</w:t>
            </w:r>
          </w:p>
        </w:tc>
        <w:tc>
          <w:tcPr>
            <w:tcW w:type="dxa" w:w="419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main traceable; checks understood; no secrets; deployment source matches intended commit.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RevenueCat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Products, offerings, entitlements, webhook</w:t>
            </w:r>
          </w:p>
        </w:tc>
        <w:tc>
          <w:tcPr>
            <w:tcW w:type="dxa" w:w="4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Core/Pro mapping valid; webhook authenticated; sandbox and production separated.</w:t>
            </w:r>
          </w:p>
        </w:tc>
      </w:tr>
      <w:tr>
        <w:tc>
          <w:tcPr>
            <w:tcW w:type="dxa" w:w="175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OneSignal</w:t>
            </w:r>
          </w:p>
        </w:tc>
        <w:tc>
          <w:tcPr>
            <w:tcW w:type="dxa" w:w="342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Push delivery and device tags</w:t>
            </w:r>
          </w:p>
        </w:tc>
        <w:tc>
          <w:tcPr>
            <w:tcW w:type="dxa" w:w="419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App ID and backend credentials configured; permission and test notification verified.</w:t>
            </w:r>
          </w:p>
        </w:tc>
      </w:tr>
      <w:tr>
        <w:tc>
          <w:tcPr>
            <w:tcW w:type="dxa" w:w="175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Cloudflare Turnstile</w:t>
            </w:r>
          </w:p>
        </w:tc>
        <w:tc>
          <w:tcPr>
            <w:tcW w:type="dxa" w:w="342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Authentication bot protection</w:t>
            </w:r>
          </w:p>
        </w:tc>
        <w:tc>
          <w:tcPr>
            <w:tcW w:type="dxa" w:w="419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Site key covers app domain; secret remains server-side/Supabase; hostname is correct.</w:t>
            </w:r>
          </w:p>
        </w:tc>
      </w:tr>
    </w:tbl>
    <w:p>
      <w:pPr>
        <w:spacing w:after="40"/>
      </w:pPr>
    </w:p>
    <w:p>
      <w:pPr>
        <w:pStyle w:val="Heading1"/>
      </w:pPr>
      <w:r>
        <w:t>3. Customer-facing prop sites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Prop site</w:t>
            </w:r>
          </w:p>
        </w:tc>
        <w:tc>
          <w:tcPr>
            <w:tcW w:type="dxa" w:w="74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Normalized label and behavior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PrizePicks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Pick'em prop inventory. PI displays provider lines and tracks research selections; confirm rules in PrizePicks.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Underdog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Fantasy pick'em inventory and tracked slip presentation; provider rules and multipliers remain authoritative.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FanDuel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Sportsbook prop and game-market inventory where licensed data is available; verify price/odds in FanDuel.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DraftKings Pick6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Pick6 prop inventory, separate from DraftKings sportsbook lines.</w:t>
            </w:r>
          </w:p>
        </w:tc>
      </w:tr>
      <w:tr>
        <w:tc>
          <w:tcPr>
            <w:tcW w:type="dxa" w:w="19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Draft Picks</w:t>
            </w:r>
          </w:p>
        </w:tc>
        <w:tc>
          <w:tcPr>
            <w:tcW w:type="dxa" w:w="74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Normalized provider label used when this feed returns inventory; do not confuse it with DraftKings.</w:t>
            </w:r>
          </w:p>
        </w:tc>
      </w:tr>
      <w:tr>
        <w:tc>
          <w:tcPr>
            <w:tcW w:type="dxa" w:w="19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Betr</w:t>
            </w:r>
          </w:p>
        </w:tc>
        <w:tc>
          <w:tcPr>
            <w:tcW w:type="dxa" w:w="74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Betr Picks inventory where the connected feed provides active markets.</w:t>
            </w:r>
          </w:p>
        </w:tc>
      </w:tr>
    </w:tbl>
    <w:p>
      <w:pPr>
        <w:spacing w:after="40"/>
      </w:pPr>
    </w:p>
    <w:p>
      <w:r>
        <w:rPr>
          <w:rFonts w:ascii="Aptos" w:hAnsi="Aptos"/>
          <w:b w:val="0"/>
          <w:i w:val="0"/>
          <w:color w:val="17212B"/>
          <w:sz w:val="21"/>
        </w:rPr>
        <w:t>Provider separation is a presentation and trust requirement: props from different sites are grouped under separate provider headers and are not mixed into one indistinguishable card list. DraftKings Pick6 and sportsbook DraftKings are distinct products.</w:t>
      </w:r>
    </w:p>
    <w:p>
      <w:pPr>
        <w:pStyle w:val="Heading1"/>
      </w:pPr>
      <w:r>
        <w:t>4. Data and content providers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</w:trPr>
        <w:tc>
          <w:tcPr>
            <w:tcW w:type="dxa" w:w="18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Provider</w:t>
            </w:r>
          </w:p>
        </w:tc>
        <w:tc>
          <w:tcPr>
            <w:tcW w:type="dxa" w:w="35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Role</w:t>
            </w:r>
          </w:p>
        </w:tc>
        <w:tc>
          <w:tcPr>
            <w:tcW w:type="dxa" w:w="40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Protection / fallback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The Odds API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Sportsbook events, player props, game markets, quota telemetry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Quota reserve, nearest-event priority, adaptive cooldown, cache, stale disclosure, and provider health.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SportsGameOdds</w:t>
            </w:r>
          </w:p>
        </w:tc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Supplemental prop events and provider inventory</w:t>
            </w:r>
          </w:p>
        </w:tc>
        <w:tc>
          <w:tcPr>
            <w:tcW w:type="dxa" w:w="4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Retry-After, exponential cooldown, health counters, and no request cascade during rate limits.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API-Sports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Selected scoreboard, player statistics, and grading support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Sport-aware fallback, cache, and explicit provider error reporting.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ESPN</w:t>
            </w:r>
          </w:p>
        </w:tc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Scoreboard/stat context and player images</w:t>
            </w:r>
          </w:p>
        </w:tc>
        <w:tc>
          <w:tcPr>
            <w:tcW w:type="dxa" w:w="4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Redis/bundled headshot maps and source-specific fallback.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Sportmonks</w:t>
            </w:r>
          </w:p>
        </w:tc>
        <w:tc>
          <w:tcPr>
            <w:tcW w:type="dxa" w:w="35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Soccer history, player context, and images</w:t>
            </w:r>
          </w:p>
        </w:tc>
        <w:tc>
          <w:tcPr>
            <w:tcW w:type="dxa" w:w="40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Shared cache plus local fallback; coverage depends on subscribed competition.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Official league APIs</w:t>
            </w:r>
          </w:p>
        </w:tc>
        <w:tc>
          <w:tcPr>
            <w:tcW w:type="dxa" w:w="35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MLB and supported official context</w:t>
            </w:r>
          </w:p>
        </w:tc>
        <w:tc>
          <w:tcPr>
            <w:tcW w:type="dxa" w:w="40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Cached scheduled ingestion; request-time paths stay bounded.</w:t>
            </w:r>
          </w:p>
        </w:tc>
      </w:tr>
    </w:tbl>
    <w:p>
      <w:pPr>
        <w:spacing w:after="40"/>
      </w:pPr>
    </w:p>
    <w:p>
      <w:pPr>
        <w:pStyle w:val="Heading1"/>
      </w:pPr>
      <w:r>
        <w:t>5. Application services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Flutter/Dart: responsive board, scoreboards, research overlays, builders, history, chat, account, billing, and owner operations.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FastAPI/Python: API routing, token validation, authorization, normalization, modeling, line history, grading, provider health, webhooks, and telemetry.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PostgreSQL: user, profile, ticket, prediction, historical, officiating, line-snapshot, engagement, billing, and security-event records.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Redis/RQ: compressed prop catalog, shared cache, queue coordination, retries, rate limits, provider cooldowns, and headshot maps.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RevenueCat: Core and Pro entitlement state. Backend-verified webhook results control durable access.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OneSignal: web push delivery. The browser permission and member/device association are separate prerequisites.</w:t>
      </w:r>
    </w:p>
    <w:p>
      <w:pPr>
        <w:pStyle w:val="Heading1"/>
      </w:pPr>
      <w:r>
        <w:t>6. Data flow and freshness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1. </w:t>
      </w:r>
      <w:r>
        <w:rPr>
          <w:rFonts w:ascii="Aptos" w:hAnsi="Aptos"/>
          <w:b w:val="0"/>
          <w:i w:val="0"/>
          <w:color w:val="17212B"/>
          <w:sz w:val="20"/>
        </w:rPr>
        <w:t>Scheduled/live sync jobs fetch provider inventory with bounded concurrency and quota controls.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2. </w:t>
      </w:r>
      <w:r>
        <w:rPr>
          <w:rFonts w:ascii="Aptos" w:hAnsi="Aptos"/>
          <w:b w:val="0"/>
          <w:i w:val="0"/>
          <w:color w:val="17212B"/>
          <w:sz w:val="20"/>
        </w:rPr>
        <w:t>Provider payloads are normalized into one prop contract while preserving source site, event, player, market, and update time.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3. </w:t>
      </w:r>
      <w:r>
        <w:rPr>
          <w:rFonts w:ascii="Aptos" w:hAnsi="Aptos"/>
          <w:b w:val="0"/>
          <w:i w:val="0"/>
          <w:color w:val="17212B"/>
          <w:sz w:val="20"/>
        </w:rPr>
        <w:t>The catalog assigns stable group identities and player-image keys before publishing compressed shared state.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4. </w:t>
      </w:r>
      <w:r>
        <w:rPr>
          <w:rFonts w:ascii="Aptos" w:hAnsi="Aptos"/>
          <w:b w:val="0"/>
          <w:i w:val="0"/>
          <w:color w:val="17212B"/>
          <w:sz w:val="20"/>
        </w:rPr>
        <w:t>Every pregame line change is recorded in sportsbook_line_snapshots. The live catalog reapplies the earliest observation to expose genuine opening-to-current movement.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5. </w:t>
      </w:r>
      <w:r>
        <w:rPr>
          <w:rFonts w:ascii="Aptos" w:hAnsi="Aptos"/>
          <w:b w:val="0"/>
          <w:i w:val="0"/>
          <w:color w:val="17212B"/>
          <w:sz w:val="20"/>
        </w:rPr>
        <w:t>The API filters by sport, site, category, verdict, freshness, and access tier; the frontend must not reconstruct protected Pro direction.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6. </w:t>
      </w:r>
      <w:r>
        <w:rPr>
          <w:rFonts w:ascii="Aptos" w:hAnsi="Aptos"/>
          <w:b w:val="0"/>
          <w:i w:val="0"/>
          <w:color w:val="17212B"/>
          <w:sz w:val="20"/>
        </w:rPr>
        <w:t>Stale/no-inventory/outage states remain distinct. Owners see last successful provider updates and alerts when an expected source becomes stale.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860"/>
        <w:gridCol w:w="3700"/>
      </w:tblGrid>
      <w:tr>
        <w:trPr>
          <w:tblHeader w:val="true"/>
        </w:trPr>
        <w:tc>
          <w:tcPr>
            <w:tcW w:type="dxa" w:w="18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Provider state</w:t>
            </w:r>
          </w:p>
        </w:tc>
        <w:tc>
          <w:tcPr>
            <w:tcW w:type="dxa" w:w="38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Definition</w:t>
            </w:r>
          </w:p>
        </w:tc>
        <w:tc>
          <w:tcPr>
            <w:tcW w:type="dxa" w:w="37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Operational response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Active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Fresh inventory returned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Monitor normally.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No Current Inventory</w:t>
            </w:r>
          </w:p>
        </w:tc>
        <w:tc>
          <w:tcPr>
            <w:tcW w:type="dxa" w:w="38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Provider healthy but no props matched the current schedule</w:t>
            </w:r>
          </w:p>
        </w:tc>
        <w:tc>
          <w:tcPr>
            <w:tcW w:type="dxa" w:w="3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classify as outage.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Stale</w:t>
            </w:r>
          </w:p>
        </w:tc>
        <w:tc>
          <w:tcPr>
            <w:tcW w:type="dxa" w:w="38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Last successful inventory exceeds freshness threshold</w:t>
            </w:r>
          </w:p>
        </w:tc>
        <w:tc>
          <w:tcPr>
            <w:tcW w:type="dxa" w:w="37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Inspect sync, quota, cooldown, cache, and worker.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Outage</w:t>
            </w:r>
          </w:p>
        </w:tc>
        <w:tc>
          <w:tcPr>
            <w:tcW w:type="dxa" w:w="38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Expected provider failed or cannot be reached</w:t>
            </w:r>
          </w:p>
        </w:tc>
        <w:tc>
          <w:tcPr>
            <w:tcW w:type="dxa" w:w="37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Use fallback/cached disclosure and open incident follow-up.</w:t>
            </w:r>
          </w:p>
        </w:tc>
      </w:tr>
    </w:tbl>
    <w:p>
      <w:pPr>
        <w:spacing w:after="40"/>
      </w:pPr>
    </w:p>
    <w:p>
      <w:pPr>
        <w:pStyle w:val="Heading1"/>
      </w:pPr>
      <w:r>
        <w:t>7. Security boundary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071621"/>
          </w:tcPr>
          <w:p>
            <w:r>
              <w:rPr>
                <w:rFonts w:ascii="Aptos" w:hAnsi="Aptos"/>
                <w:b/>
                <w:i w:val="0"/>
                <w:color w:val="B9473C"/>
                <w:sz w:val="18"/>
              </w:rPr>
              <w:t xml:space="preserve">NEVER IN THE BROWSER  </w:t>
            </w:r>
            <w:r>
              <w:rPr>
                <w:rFonts w:ascii="Aptos" w:hAnsi="Aptos"/>
                <w:b w:val="0"/>
                <w:i w:val="0"/>
                <w:color w:val="FFFFFF"/>
                <w:sz w:val="19"/>
              </w:rPr>
              <w:t>Provider secrets, Supabase service-role key, database connection strings, Redis URL, RevenueCat webhook authorization, private signing secrets, deployment tokens, or user access tokens in logs.</w:t>
            </w:r>
          </w:p>
        </w:tc>
      </w:tr>
    </w:tbl>
    <w:p>
      <w:pPr>
        <w:spacing w:after="20"/>
      </w:pP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Allowed public configuration includes Supabase publishable/anon key, Turnstile site key, RevenueCat public SDK key, OneSignal public app ID, and API base URL.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The backend validates Supabase tokens and independently enforces owner, admin, Core, and Pro access.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Database row-level security remains enabled even when server routes also authorize access.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CORS permits approved production origins. Rate limiting and safe errors protect public routes.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Logs omit authorization headers, complete billing objects, secrets, and unnecessary personal data.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Owner Ops is owner-only. Admin/tester access is not interchangeable with owner authorization.</w:t>
      </w:r>
    </w:p>
    <w:p>
      <w:pPr>
        <w:pStyle w:val="Heading1"/>
      </w:pPr>
      <w:r>
        <w:t>8. Deployment and verification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1. </w:t>
      </w:r>
      <w:r>
        <w:rPr>
          <w:rFonts w:ascii="Aptos" w:hAnsi="Aptos"/>
          <w:b w:val="0"/>
          <w:i w:val="0"/>
          <w:color w:val="17212B"/>
          <w:sz w:val="20"/>
        </w:rPr>
        <w:t>Review intended files and test results; exclude unrelated or generated artifacts.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2. </w:t>
      </w:r>
      <w:r>
        <w:rPr>
          <w:rFonts w:ascii="Aptos" w:hAnsi="Aptos"/>
          <w:b w:val="0"/>
          <w:i w:val="0"/>
          <w:color w:val="17212B"/>
          <w:sz w:val="20"/>
        </w:rPr>
        <w:t>Commit to main with a descriptive message and push GitHub.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3. </w:t>
      </w:r>
      <w:r>
        <w:rPr>
          <w:rFonts w:ascii="Aptos" w:hAnsi="Aptos"/>
          <w:b w:val="0"/>
          <w:i w:val="0"/>
          <w:color w:val="17212B"/>
          <w:sz w:val="20"/>
        </w:rPr>
        <w:t>Confirm Vercel and Render deploy the same intended commit.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4. </w:t>
      </w:r>
      <w:r>
        <w:rPr>
          <w:rFonts w:ascii="Aptos" w:hAnsi="Aptos"/>
          <w:b w:val="0"/>
          <w:i w:val="0"/>
          <w:color w:val="17212B"/>
          <w:sz w:val="20"/>
        </w:rPr>
        <w:t>Verify public site and app return successfully; update the PWA when the release prompt appears.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5. </w:t>
      </w:r>
      <w:r>
        <w:rPr>
          <w:rFonts w:ascii="Aptos" w:hAnsi="Aptos"/>
          <w:b w:val="0"/>
          <w:i w:val="0"/>
          <w:color w:val="17212B"/>
          <w:sz w:val="20"/>
        </w:rPr>
        <w:t>Verify /ready dependencies, prop catalog, auth protection, provider state, scoreboard, headshots, filters, active slip, research overlay, and owner operations.</w:t>
      </w:r>
    </w:p>
    <w:p>
      <w:pPr>
        <w:ind w:left="346" w:hanging="346"/>
      </w:pPr>
      <w:r>
        <w:rPr>
          <w:rFonts w:ascii="Aptos" w:hAnsi="Aptos"/>
          <w:b/>
          <w:i w:val="0"/>
          <w:color w:val="17212B"/>
          <w:sz w:val="20"/>
        </w:rPr>
        <w:t xml:space="preserve">6. </w:t>
      </w:r>
      <w:r>
        <w:rPr>
          <w:rFonts w:ascii="Aptos" w:hAnsi="Aptos"/>
          <w:b w:val="0"/>
          <w:i w:val="0"/>
          <w:color w:val="17212B"/>
          <w:sz w:val="20"/>
        </w:rPr>
        <w:t>Record the commit, deployment timestamps, known warnings, and rollback candidate.</w:t>
      </w:r>
    </w:p>
    <w:p>
      <w:pPr>
        <w:pStyle w:val="Heading1"/>
      </w:pPr>
      <w:r>
        <w:t>9. Monitoring and incident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000"/>
        <w:gridCol w:w="4560"/>
      </w:tblGrid>
      <w:tr>
        <w:trPr>
          <w:tblHeader w:val="true"/>
        </w:trPr>
        <w:tc>
          <w:tcPr>
            <w:tcW w:type="dxa" w:w="18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Symptom</w:t>
            </w:r>
          </w:p>
        </w:tc>
        <w:tc>
          <w:tcPr>
            <w:tcW w:type="dxa" w:w="300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First check</w:t>
            </w:r>
          </w:p>
        </w:tc>
        <w:tc>
          <w:tcPr>
            <w:tcW w:type="dxa" w:w="4560"/>
            <w:shd w:fill="07162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E5D39A"/>
                <w:sz w:val="18"/>
              </w:rPr>
              <w:t>Next action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App fails to load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Vercel deployment/domain</w:t>
            </w:r>
          </w:p>
        </w:tc>
        <w:tc>
          <w:tcPr>
            <w:tcW w:type="dxa" w:w="4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Inspect build, custom domain, public variables, and PWA cache.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App loads; props fail</w:t>
            </w:r>
          </w:p>
        </w:tc>
        <w:tc>
          <w:tcPr>
            <w:tcW w:type="dxa" w:w="3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Owner Ops and Render API</w:t>
            </w:r>
          </w:p>
        </w:tc>
        <w:tc>
          <w:tcPr>
            <w:tcW w:type="dxa" w:w="4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release, catalog source, providers, quota, Redis, queue, and freshness.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Stale provider alert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Provider last success and cooldown</w:t>
            </w:r>
          </w:p>
        </w:tc>
        <w:tc>
          <w:tcPr>
            <w:tcW w:type="dxa" w:w="4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Do not force-refresh through rate limit; verify recovery/fallback.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Photos fail</w:t>
            </w:r>
          </w:p>
        </w:tc>
        <w:tc>
          <w:tcPr>
            <w:tcW w:type="dxa" w:w="3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Headshot cache/source</w:t>
            </w:r>
          </w:p>
        </w:tc>
        <w:tc>
          <w:tcPr>
            <w:tcW w:type="dxa" w:w="4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stable keys, mappings, scheduled image sync, and fallback behavior.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Login/CAPTCHA fails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Supabase Auth and Turnstile</w:t>
            </w:r>
          </w:p>
        </w:tc>
        <w:tc>
          <w:tcPr>
            <w:tcW w:type="dxa" w:w="4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Check site/secret pairing, hostnames, redirects, and auth limits.</w:t>
            </w:r>
          </w:p>
        </w:tc>
      </w:tr>
      <w:tr>
        <w:tc>
          <w:tcPr>
            <w:tcW w:type="dxa" w:w="18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Paid access missing</w:t>
            </w:r>
          </w:p>
        </w:tc>
        <w:tc>
          <w:tcPr>
            <w:tcW w:type="dxa" w:w="300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RevenueCat then Supabase</w:t>
            </w:r>
          </w:p>
        </w:tc>
        <w:tc>
          <w:tcPr>
            <w:tcW w:type="dxa" w:w="4560"/>
            <w:shd w:fill="F3F6F8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Verify entitlement, webhook authentication/idempotency, and profile tier.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/>
                <w:i w:val="0"/>
                <w:color w:val="17212B"/>
                <w:sz w:val="18"/>
              </w:rPr>
              <w:t>Tickets unsettled</w:t>
            </w:r>
          </w:p>
        </w:tc>
        <w:tc>
          <w:tcPr>
            <w:tcW w:type="dxa" w:w="300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Owner grading review</w:t>
            </w:r>
          </w:p>
        </w:tc>
        <w:tc>
          <w:tcPr>
            <w:tcW w:type="dxa" w:w="4560"/>
            <w:vAlign w:val="top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Aptos" w:hAnsi="Aptos"/>
                <w:b w:val="0"/>
                <w:i w:val="0"/>
                <w:color w:val="17212B"/>
                <w:sz w:val="18"/>
              </w:rPr>
              <w:t>Confirm final game state, event identity, result source, and reconciliation.</w:t>
            </w:r>
          </w:p>
        </w:tc>
      </w:tr>
    </w:tbl>
    <w:p>
      <w:pPr>
        <w:spacing w:after="40"/>
      </w:pPr>
    </w:p>
    <w:p>
      <w:pPr>
        <w:pStyle w:val="Heading1"/>
      </w:pPr>
      <w:r>
        <w:t>10. Backup and recovery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Confirm Supabase backup retention and point-in-time recovery policy monthly.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Preserve durable ticket, prediction, line-history, and migration-checksum tables through code releases.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Redis is operational state, not the only durable source for critical user history.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Recover code by redeploying a known healthy commit; never delete production data to fix a frontend release.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Test restore procedures and document ownership before an incident, not during one.</w:t>
      </w:r>
    </w:p>
    <w:p>
      <w:pPr>
        <w:pStyle w:val="Heading1"/>
      </w:pPr>
      <w:r>
        <w:t>11. Known boundaries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NFL officiating profiles are not currently implemented; Officiating Tracker supports NBA, WNBA, and MLB.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Provider and sport inventory changes with schedule, subscription coverage, geography, and upstream market release timing.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The web/PWA is the supported distribution path for this edition; App Store and Play Store release procedures are out of scope.</w:t>
      </w:r>
    </w:p>
    <w:p>
      <w:pPr>
        <w:pStyle w:val="ListBullet"/>
      </w:pPr>
      <w:r>
        <w:rPr>
          <w:rFonts w:ascii="Aptos" w:hAnsi="Aptos"/>
          <w:b w:val="0"/>
          <w:i w:val="0"/>
          <w:color w:val="17212B"/>
          <w:sz w:val="20"/>
        </w:rPr>
        <w:t>No browser application can hide downloaded client code. Proprietary logic, secrets, and protected payloads remain server-side.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67584"/>
        <w:sz w:val="16"/>
      </w:rPr>
      <w:t xml:space="preserve">PI PROP INTELLIGENCE LLC  |  AUGUST 2026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67584"/>
        <w:sz w:val="17"/>
      </w:rPr>
      <w:t>PI PROP INTELLIGENCE  |  INFRASTRUCTURE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ptos" w:hAnsi="Aptos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D253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59B5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 PROP INTELLIGENCE Infrastructure Guide August 2026</dc:title>
  <dc:subject>PI PROP INTELLIGENCE operations documentation</dc:subject>
  <dc:creator>PI PROP INTELLIGENCE LLC</dc:creator>
  <cp:keywords>PROP INTELLIGENCE, operations, sports research, user guide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