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Aptos" w:hAnsi="Aptos"/>
          <w:b/>
          <w:i w:val="0"/>
          <w:color w:val="B59B52"/>
          <w:sz w:val="22"/>
        </w:rPr>
        <w:t>PI PROP INTELLIGENCE</w:t>
      </w:r>
    </w:p>
    <w:p>
      <w:pPr>
        <w:spacing w:after="160"/>
        <w:jc w:val="center"/>
      </w:pPr>
      <w:r>
        <w:rPr>
          <w:rFonts w:ascii="Aptos Display" w:hAnsi="Aptos Display"/>
          <w:b/>
          <w:i w:val="0"/>
          <w:color w:val="071621"/>
          <w:sz w:val="56"/>
        </w:rPr>
        <w:t>OWNER OPERATIONS SCHEDULE</w:t>
      </w:r>
    </w:p>
    <w:p>
      <w:pPr>
        <w:spacing w:after="520"/>
        <w:jc w:val="center"/>
      </w:pPr>
      <w:r>
        <w:rPr>
          <w:rFonts w:ascii="Aptos" w:hAnsi="Aptos"/>
          <w:b w:val="0"/>
          <w:i/>
          <w:color w:val="667584"/>
          <w:sz w:val="26"/>
        </w:rPr>
        <w:t>Daily, weekly, monthly, seasonal, release, and incident procedures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071621"/>
          </w:tcPr>
          <w:p>
            <w:r>
              <w:rPr>
                <w:rFonts w:ascii="Aptos" w:hAnsi="Aptos"/>
                <w:b/>
                <w:i w:val="0"/>
                <w:color w:val="B59B52"/>
                <w:sz w:val="18"/>
              </w:rPr>
              <w:t xml:space="preserve">CURRENT EDITION  </w:t>
            </w:r>
            <w:r>
              <w:rPr>
                <w:rFonts w:ascii="Aptos" w:hAnsi="Aptos"/>
                <w:b w:val="0"/>
                <w:i w:val="0"/>
                <w:color w:val="FFFFFF"/>
                <w:sz w:val="19"/>
              </w:rPr>
              <w:t>Updated through August 21, 2026. Web/PWA release; no App Store or Play Store distribution is assumed.</w:t>
            </w:r>
          </w:p>
        </w:tc>
      </w:tr>
    </w:tbl>
    <w:p>
      <w:pPr>
        <w:spacing w:after="20"/>
      </w:pPr>
    </w:p>
    <w:p>
      <w:pPr>
        <w:spacing w:before="1440"/>
        <w:jc w:val="center"/>
      </w:pPr>
      <w:r>
        <w:rPr>
          <w:rFonts w:ascii="Aptos" w:hAnsi="Aptos"/>
          <w:b/>
          <w:i w:val="0"/>
          <w:color w:val="0D2535"/>
          <w:sz w:val="20"/>
        </w:rPr>
        <w:t>Prepared for PI PROP INTELLIGENCE LLC</w:t>
      </w:r>
    </w:p>
    <w:p>
      <w:pPr>
        <w:jc w:val="center"/>
      </w:pPr>
      <w:r>
        <w:rPr>
          <w:rFonts w:ascii="Aptos" w:hAnsi="Aptos"/>
          <w:b w:val="0"/>
          <w:i w:val="0"/>
          <w:color w:val="667584"/>
          <w:sz w:val="17"/>
        </w:rPr>
        <w:t>Independent sports research and intelligence only. PI does not facilitate wagering or accept bets.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1. </w:t>
      </w:r>
      <w:r>
        <w:rPr>
          <w:rFonts w:ascii="Aptos" w:hAnsi="Aptos"/>
          <w:b/>
          <w:i w:val="0"/>
          <w:color w:val="0D2535"/>
          <w:sz w:val="20"/>
        </w:rPr>
        <w:t>Daily opening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2. </w:t>
      </w:r>
      <w:r>
        <w:rPr>
          <w:rFonts w:ascii="Aptos" w:hAnsi="Aptos"/>
          <w:b/>
          <w:i w:val="0"/>
          <w:color w:val="0D2535"/>
          <w:sz w:val="20"/>
        </w:rPr>
        <w:t>Daily closing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3. </w:t>
      </w:r>
      <w:r>
        <w:rPr>
          <w:rFonts w:ascii="Aptos" w:hAnsi="Aptos"/>
          <w:b/>
          <w:i w:val="0"/>
          <w:color w:val="0D2535"/>
          <w:sz w:val="20"/>
        </w:rPr>
        <w:t>Weekly review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4. </w:t>
      </w:r>
      <w:r>
        <w:rPr>
          <w:rFonts w:ascii="Aptos" w:hAnsi="Aptos"/>
          <w:b/>
          <w:i w:val="0"/>
          <w:color w:val="0D2535"/>
          <w:sz w:val="20"/>
        </w:rPr>
        <w:t>Monthly review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5. </w:t>
      </w:r>
      <w:r>
        <w:rPr>
          <w:rFonts w:ascii="Aptos" w:hAnsi="Aptos"/>
          <w:b/>
          <w:i w:val="0"/>
          <w:color w:val="0D2535"/>
          <w:sz w:val="20"/>
        </w:rPr>
        <w:t>Season and provider readiness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6. </w:t>
      </w:r>
      <w:r>
        <w:rPr>
          <w:rFonts w:ascii="Aptos" w:hAnsi="Aptos"/>
          <w:b/>
          <w:i w:val="0"/>
          <w:color w:val="0D2535"/>
          <w:sz w:val="20"/>
        </w:rPr>
        <w:t>Release day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7. </w:t>
      </w:r>
      <w:r>
        <w:rPr>
          <w:rFonts w:ascii="Aptos" w:hAnsi="Aptos"/>
          <w:b/>
          <w:i w:val="0"/>
          <w:color w:val="0D2535"/>
          <w:sz w:val="20"/>
        </w:rPr>
        <w:t>Incident playbooks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8. </w:t>
      </w:r>
      <w:r>
        <w:rPr>
          <w:rFonts w:ascii="Aptos" w:hAnsi="Aptos"/>
          <w:b/>
          <w:i w:val="0"/>
          <w:color w:val="0D2535"/>
          <w:sz w:val="20"/>
        </w:rPr>
        <w:t>Feature smoke checklist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9. </w:t>
      </w:r>
      <w:r>
        <w:rPr>
          <w:rFonts w:ascii="Aptos" w:hAnsi="Aptos"/>
          <w:b/>
          <w:i w:val="0"/>
          <w:color w:val="0D2535"/>
          <w:sz w:val="20"/>
        </w:rPr>
        <w:t>Owner records and escalation</w:t>
      </w:r>
    </w:p>
    <w:p>
      <w:r>
        <w:br w:type="page"/>
      </w:r>
    </w:p>
    <w:p>
      <w:pPr>
        <w:pStyle w:val="Heading1"/>
      </w:pPr>
      <w:r>
        <w:t>1. Daily opening check (10-15 minutes)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1. </w:t>
      </w:r>
      <w:r>
        <w:rPr>
          <w:rFonts w:ascii="Aptos" w:hAnsi="Aptos"/>
          <w:b w:val="0"/>
          <w:i w:val="0"/>
          <w:color w:val="17212B"/>
          <w:sz w:val="20"/>
        </w:rPr>
        <w:t>Sign in with the verified owner account; confirm Pro/Owner mode and open Owner Ops.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2. </w:t>
      </w:r>
      <w:r>
        <w:rPr>
          <w:rFonts w:ascii="Aptos" w:hAnsi="Aptos"/>
          <w:b w:val="0"/>
          <w:i w:val="0"/>
          <w:color w:val="17212B"/>
          <w:sz w:val="20"/>
        </w:rPr>
        <w:t>Run All Checks and wait for current timestamps.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3. </w:t>
      </w:r>
      <w:r>
        <w:rPr>
          <w:rFonts w:ascii="Aptos" w:hAnsi="Aptos"/>
          <w:b w:val="0"/>
          <w:i w:val="0"/>
          <w:color w:val="17212B"/>
          <w:sz w:val="20"/>
        </w:rPr>
        <w:t>Confirm API, PostgreSQL, Redis, queue, and expected workers are healthy.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4. </w:t>
      </w:r>
      <w:r>
        <w:rPr>
          <w:rFonts w:ascii="Aptos" w:hAnsi="Aptos"/>
          <w:b w:val="0"/>
          <w:i w:val="0"/>
          <w:color w:val="17212B"/>
          <w:sz w:val="20"/>
        </w:rPr>
        <w:t>Review provider state: Active, No Current Inventory, Stale, and Outage; confirm last successful update per expected provider.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5. </w:t>
      </w:r>
      <w:r>
        <w:rPr>
          <w:rFonts w:ascii="Aptos" w:hAnsi="Aptos"/>
          <w:b w:val="0"/>
          <w:i w:val="0"/>
          <w:color w:val="17212B"/>
          <w:sz w:val="20"/>
        </w:rPr>
        <w:t>Check quota reserve, cooldown/rate-limit state, failed jobs, and scheduled sync completion.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6. </w:t>
      </w:r>
      <w:r>
        <w:rPr>
          <w:rFonts w:ascii="Aptos" w:hAnsi="Aptos"/>
          <w:b w:val="0"/>
          <w:i w:val="0"/>
          <w:color w:val="17212B"/>
          <w:sz w:val="20"/>
        </w:rPr>
        <w:t>Confirm board freshness, event counts, playable counts, scoreboard latency, and image/headshot health.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7. </w:t>
      </w:r>
      <w:r>
        <w:rPr>
          <w:rFonts w:ascii="Aptos" w:hAnsi="Aptos"/>
          <w:b w:val="0"/>
          <w:i w:val="0"/>
          <w:color w:val="17212B"/>
          <w:sz w:val="20"/>
        </w:rPr>
        <w:t>Review failed payments, unsettled slips, questionable grades, pipeline alerts, and owner notifications.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8. </w:t>
      </w:r>
      <w:r>
        <w:rPr>
          <w:rFonts w:ascii="Aptos" w:hAnsi="Aptos"/>
          <w:b w:val="0"/>
          <w:i w:val="0"/>
          <w:color w:val="17212B"/>
          <w:sz w:val="20"/>
        </w:rPr>
        <w:t>Confirm production frontend/backend commit matches the intended release.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9. </w:t>
      </w:r>
      <w:r>
        <w:rPr>
          <w:rFonts w:ascii="Aptos" w:hAnsi="Aptos"/>
          <w:b w:val="0"/>
          <w:i w:val="0"/>
          <w:color w:val="17212B"/>
          <w:sz w:val="20"/>
        </w:rPr>
        <w:t>Open Market Board, one prop research overlay, Scoreboard, Active Slip, and an empty-season sport on desktop and phone width.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50"/>
        <w:gridCol w:w="3810"/>
      </w:tblGrid>
      <w:tr>
        <w:trPr>
          <w:tblHeader w:val="true"/>
        </w:trPr>
        <w:tc>
          <w:tcPr>
            <w:tcW w:type="dxa" w:w="19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Signal</w:t>
            </w:r>
          </w:p>
        </w:tc>
        <w:tc>
          <w:tcPr>
            <w:tcW w:type="dxa" w:w="365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Healthy target</w:t>
            </w:r>
          </w:p>
        </w:tc>
        <w:tc>
          <w:tcPr>
            <w:tcW w:type="dxa" w:w="381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Escalate when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API / database / Redis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Healthy and current</w:t>
            </w:r>
          </w:p>
        </w:tc>
        <w:tc>
          <w:tcPr>
            <w:tcW w:type="dxa" w:w="3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Any dependency is unavailable or repeated recovery mode persists.</w:t>
            </w:r>
          </w:p>
        </w:tc>
      </w:tr>
      <w:tr>
        <w:tc>
          <w:tcPr>
            <w:tcW w:type="dxa" w:w="1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Providers</w:t>
            </w:r>
          </w:p>
        </w:tc>
        <w:tc>
          <w:tcPr>
            <w:tcW w:type="dxa" w:w="365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Expected sources Active or honestly No Inventory</w:t>
            </w:r>
          </w:p>
        </w:tc>
        <w:tc>
          <w:tcPr>
            <w:tcW w:type="dxa" w:w="381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Expected source is Stale/Outage or last success crosses policy.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Props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Counts fit current event schedule</w:t>
            </w:r>
          </w:p>
        </w:tc>
        <w:tc>
          <w:tcPr>
            <w:tcW w:type="dxa" w:w="3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Sudden unexplained collapse, wrong sport, mixed providers, or stale recommendations.</w:t>
            </w:r>
          </w:p>
        </w:tc>
      </w:tr>
      <w:tr>
        <w:tc>
          <w:tcPr>
            <w:tcW w:type="dxa" w:w="1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Images</w:t>
            </w:r>
          </w:p>
        </w:tc>
        <w:tc>
          <w:tcPr>
            <w:tcW w:type="dxa" w:w="365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Headshots or branded fallback remain stable</w:t>
            </w:r>
          </w:p>
        </w:tc>
        <w:tc>
          <w:tcPr>
            <w:tcW w:type="dxa" w:w="381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Black circles, flicker, repeated URL failures, or mapping collapse.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Grading</w:t>
            </w:r>
          </w:p>
        </w:tc>
        <w:tc>
          <w:tcPr>
            <w:tcW w:type="dxa" w:w="3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No unexplained overdue pending legs</w:t>
            </w:r>
          </w:p>
        </w:tc>
        <w:tc>
          <w:tcPr>
            <w:tcW w:type="dxa" w:w="3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Final games remain unresolved or manual correction lacks evidence.</w:t>
            </w:r>
          </w:p>
        </w:tc>
      </w:tr>
    </w:tbl>
    <w:p>
      <w:pPr>
        <w:spacing w:after="40"/>
      </w:pPr>
    </w:p>
    <w:p>
      <w:pPr>
        <w:pStyle w:val="Heading1"/>
      </w:pPr>
      <w:r>
        <w:t>2. Daily closing check (5-10 minutes)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1. </w:t>
      </w:r>
      <w:r>
        <w:rPr>
          <w:rFonts w:ascii="Aptos" w:hAnsi="Aptos"/>
          <w:b w:val="0"/>
          <w:i w:val="0"/>
          <w:color w:val="17212B"/>
          <w:sz w:val="20"/>
        </w:rPr>
        <w:t>Review provider alerts and document any outage or low-quota period.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2. </w:t>
      </w:r>
      <w:r>
        <w:rPr>
          <w:rFonts w:ascii="Aptos" w:hAnsi="Aptos"/>
          <w:b w:val="0"/>
          <w:i w:val="0"/>
          <w:color w:val="17212B"/>
          <w:sz w:val="20"/>
        </w:rPr>
        <w:t>Review today's locked/settled tickets and current win/loss percentage; investigate inconsistent grading.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3. </w:t>
      </w:r>
      <w:r>
        <w:rPr>
          <w:rFonts w:ascii="Aptos" w:hAnsi="Aptos"/>
          <w:b w:val="0"/>
          <w:i w:val="0"/>
          <w:color w:val="17212B"/>
          <w:sz w:val="20"/>
        </w:rPr>
        <w:t>Confirm line snapshots recorded for upcoming markets and no stale recommendation remained promoted.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4. </w:t>
      </w:r>
      <w:r>
        <w:rPr>
          <w:rFonts w:ascii="Aptos" w:hAnsi="Aptos"/>
          <w:b w:val="0"/>
          <w:i w:val="0"/>
          <w:color w:val="17212B"/>
          <w:sz w:val="20"/>
        </w:rPr>
        <w:t>Check failed payments, auth/security alerts, unresolved chat reports, and owner follow-ups.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5. </w:t>
      </w:r>
      <w:r>
        <w:rPr>
          <w:rFonts w:ascii="Aptos" w:hAnsi="Aptos"/>
          <w:b w:val="0"/>
          <w:i w:val="0"/>
          <w:color w:val="17212B"/>
          <w:sz w:val="20"/>
        </w:rPr>
        <w:t>Record incidents, manual actions, and the next owner/date before signing out.</w:t>
      </w:r>
    </w:p>
    <w:p>
      <w:pPr>
        <w:pStyle w:val="Heading1"/>
      </w:pPr>
      <w:r>
        <w:t>3. Weekly review (30-45 minutes)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340"/>
        <w:gridCol w:w="3420"/>
      </w:tblGrid>
      <w:tr>
        <w:trPr>
          <w:tblHeader w:val="true"/>
        </w:trPr>
        <w:tc>
          <w:tcPr>
            <w:tcW w:type="dxa" w:w="16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Area</w:t>
            </w:r>
          </w:p>
        </w:tc>
        <w:tc>
          <w:tcPr>
            <w:tcW w:type="dxa" w:w="434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Review</w:t>
            </w:r>
          </w:p>
        </w:tc>
        <w:tc>
          <w:tcPr>
            <w:tcW w:type="dxa" w:w="342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Expected result</w:t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Providers</w:t>
            </w:r>
          </w:p>
        </w:tc>
        <w:tc>
          <w:tcPr>
            <w:tcW w:type="dxa" w:w="4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Error rate, quota, cooldowns, coverage, inventory gaps, last success</w:t>
            </w:r>
          </w:p>
        </w:tc>
        <w:tc>
          <w:tcPr>
            <w:tcW w:type="dxa" w:w="34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No unexplained stale source; no outage mislabeled as no inventory.</w:t>
            </w:r>
          </w:p>
        </w:tc>
      </w:tr>
      <w:tr>
        <w:tc>
          <w:tcPr>
            <w:tcW w:type="dxa" w:w="16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Model / track record</w:t>
            </w:r>
          </w:p>
        </w:tc>
        <w:tc>
          <w:tcPr>
            <w:tcW w:type="dxa" w:w="434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Sample, calibration, release gates, CLV, sport/site/market breakdown</w:t>
            </w:r>
          </w:p>
        </w:tc>
        <w:tc>
          <w:tcPr>
            <w:tcW w:type="dxa" w:w="342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Rates shown with adequate sample; losses and caveats remain visible.</w:t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Workers / cron</w:t>
            </w:r>
          </w:p>
        </w:tc>
        <w:tc>
          <w:tcPr>
            <w:tcW w:type="dxa" w:w="4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Queue depth, retries, failed jobs, historical/headshot/schedule jobs</w:t>
            </w:r>
          </w:p>
        </w:tc>
        <w:tc>
          <w:tcPr>
            <w:tcW w:type="dxa" w:w="34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Expected jobs complete; no old failure backlog.</w:t>
            </w:r>
          </w:p>
        </w:tc>
      </w:tr>
      <w:tr>
        <w:tc>
          <w:tcPr>
            <w:tcW w:type="dxa" w:w="16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Billing</w:t>
            </w:r>
          </w:p>
        </w:tc>
        <w:tc>
          <w:tcPr>
            <w:tcW w:type="dxa" w:w="434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Webhook authentication, idempotency, failed payments, entitlement mismatch</w:t>
            </w:r>
          </w:p>
        </w:tc>
        <w:tc>
          <w:tcPr>
            <w:tcW w:type="dxa" w:w="342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Access matches verified RevenueCat state.</w:t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Auth / security</w:t>
            </w:r>
          </w:p>
        </w:tc>
        <w:tc>
          <w:tcPr>
            <w:tcW w:type="dxa" w:w="4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Supabase advisor, Turnstile, rate limits, owner MFA, logs</w:t>
            </w:r>
          </w:p>
        </w:tc>
        <w:tc>
          <w:tcPr>
            <w:tcW w:type="dxa" w:w="34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No exposed secrets or unresolved security finding.</w:t>
            </w:r>
          </w:p>
        </w:tc>
      </w:tr>
      <w:tr>
        <w:tc>
          <w:tcPr>
            <w:tcW w:type="dxa" w:w="16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Performance</w:t>
            </w:r>
          </w:p>
        </w:tc>
        <w:tc>
          <w:tcPr>
            <w:tcW w:type="dxa" w:w="434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First load, board, scoreboard, overlays, mobile interactions, API latency</w:t>
            </w:r>
          </w:p>
        </w:tc>
        <w:tc>
          <w:tcPr>
            <w:tcW w:type="dxa" w:w="342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No significant regression from the prior week.</w:t>
            </w:r>
          </w:p>
        </w:tc>
      </w:tr>
    </w:tbl>
    <w:p>
      <w:pPr>
        <w:spacing w:after="40"/>
      </w:pPr>
    </w:p>
    <w:p>
      <w:pPr>
        <w:pStyle w:val="Heading1"/>
      </w:pPr>
      <w:r>
        <w:t>4. Monthly review (60-90 minutes)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Confirm Supabase backup and retention/PITR policy; document restore readiness.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Review Vercel, Render, Redis, database, provider, RevenueCat, and OneSignal usage/cost trends.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Audit owner/admin/tester roles, paid entitlements, inactive accounts, and public signup policy.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Review privacy, terms, contact, pricing, and Complete Application Guide for changes.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Reconcile supported sports and six prop-site labels against current configuration.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Review model drift, calibration, release thresholds, stale-data suppression, and owner top-pick quality.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Run desktop, narrow phone, tablet, laptop, and ultrawide visual checks; include browser zoom and keyboard navigation.</w:t>
      </w:r>
    </w:p>
    <w:p>
      <w:pPr>
        <w:pStyle w:val="Heading1"/>
      </w:pPr>
      <w:r>
        <w:t>5. Season and provider readiness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930"/>
        <w:gridCol w:w="2930"/>
      </w:tblGrid>
      <w:tr>
        <w:trPr>
          <w:tblHeader w:val="true"/>
        </w:trPr>
        <w:tc>
          <w:tcPr>
            <w:tcW w:type="dxa" w:w="15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Timing</w:t>
            </w:r>
          </w:p>
        </w:tc>
        <w:tc>
          <w:tcPr>
            <w:tcW w:type="dxa" w:w="493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Actions</w:t>
            </w:r>
          </w:p>
        </w:tc>
        <w:tc>
          <w:tcPr>
            <w:tcW w:type="dxa" w:w="293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Verify</w:t>
            </w:r>
          </w:p>
        </w:tc>
      </w:tr>
      <w:t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Before season</w:t>
            </w:r>
          </w:p>
        </w:tc>
        <w:tc>
          <w:tcPr>
            <w:tcW w:type="dxa" w:w="49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Confirm schedule source, sport navigation, provider mappings, categories, player identity, headshots, and model inputs.</w:t>
            </w:r>
          </w:p>
        </w:tc>
        <w:tc>
          <w:tcPr>
            <w:tcW w:type="dxa" w:w="29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Season panel shows real next event; no hard-coded date; markets transition automatically.</w:t>
            </w:r>
          </w:p>
        </w:tc>
      </w:tr>
      <w:tr>
        <w:tc>
          <w:tcPr>
            <w:tcW w:type="dxa" w:w="15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Market opening</w:t>
            </w:r>
          </w:p>
        </w:tc>
        <w:tc>
          <w:tcPr>
            <w:tcW w:type="dxa" w:w="493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Confirm provider inventory, site separation, counts, line history, freshness, and playable classifications.</w:t>
            </w:r>
          </w:p>
        </w:tc>
        <w:tc>
          <w:tcPr>
            <w:tcW w:type="dxa" w:w="293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Cards match source; no mixed provider rows or blank grid slots.</w:t>
            </w:r>
          </w:p>
        </w:tc>
      </w:tr>
      <w:t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In season</w:t>
            </w:r>
          </w:p>
        </w:tc>
        <w:tc>
          <w:tcPr>
            <w:tcW w:type="dxa" w:w="49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Monitor daily schedule, quota, late lineup/injury changes, stale alerts, and grading.</w:t>
            </w:r>
          </w:p>
        </w:tc>
        <w:tc>
          <w:tcPr>
            <w:tcW w:type="dxa" w:w="29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Active data is current; owner alerts are actionable.</w:t>
            </w:r>
          </w:p>
        </w:tc>
      </w:tr>
      <w:tr>
        <w:tc>
          <w:tcPr>
            <w:tcW w:type="dxa" w:w="15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Postseason</w:t>
            </w:r>
          </w:p>
        </w:tc>
        <w:tc>
          <w:tcPr>
            <w:tcW w:type="dxa" w:w="493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Confirm event filters and schedule boundaries; preserve playoff context.</w:t>
            </w:r>
          </w:p>
        </w:tc>
        <w:tc>
          <w:tcPr>
            <w:tcW w:type="dxa" w:w="293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No premature offseason label.</w:t>
            </w:r>
          </w:p>
        </w:tc>
      </w:tr>
      <w:t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Offseason</w:t>
            </w:r>
          </w:p>
        </w:tc>
        <w:tc>
          <w:tcPr>
            <w:tcW w:type="dxa" w:w="49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Confirm schedule-aware empty state and historical research availability.</w:t>
            </w:r>
          </w:p>
        </w:tc>
        <w:tc>
          <w:tcPr>
            <w:tcW w:type="dxa" w:w="29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No generic broken-feed message when the season is legitimately inactive.</w:t>
            </w:r>
          </w:p>
        </w:tc>
      </w:tr>
    </w:tbl>
    <w:p>
      <w:pPr>
        <w:spacing w:after="40"/>
      </w:pPr>
    </w:p>
    <w:p>
      <w:pPr>
        <w:pStyle w:val="Heading1"/>
      </w:pPr>
      <w:r>
        <w:t>6. Release day procedure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1. </w:t>
      </w:r>
      <w:r>
        <w:rPr>
          <w:rFonts w:ascii="Aptos" w:hAnsi="Aptos"/>
          <w:b w:val="0"/>
          <w:i w:val="0"/>
          <w:color w:val="17212B"/>
          <w:sz w:val="20"/>
        </w:rPr>
        <w:t>Review worktree and intended files; leave unrelated artifacts uncommitted.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2. </w:t>
      </w:r>
      <w:r>
        <w:rPr>
          <w:rFonts w:ascii="Aptos" w:hAnsi="Aptos"/>
          <w:b w:val="0"/>
          <w:i w:val="0"/>
          <w:color w:val="17212B"/>
          <w:sz w:val="20"/>
        </w:rPr>
        <w:t>Run targeted tests for changed features and the broad backend suite; understand any failing Flutter tests before release.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3. </w:t>
      </w:r>
      <w:r>
        <w:rPr>
          <w:rFonts w:ascii="Aptos" w:hAnsi="Aptos"/>
          <w:b w:val="0"/>
          <w:i w:val="0"/>
          <w:color w:val="17212B"/>
          <w:sz w:val="20"/>
        </w:rPr>
        <w:t>Commit with a descriptive message and push main.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4. </w:t>
      </w:r>
      <w:r>
        <w:rPr>
          <w:rFonts w:ascii="Aptos" w:hAnsi="Aptos"/>
          <w:b w:val="0"/>
          <w:i w:val="0"/>
          <w:color w:val="17212B"/>
          <w:sz w:val="20"/>
        </w:rPr>
        <w:t>Confirm GitHub, Vercel, and Render report the intended commit.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5. </w:t>
      </w:r>
      <w:r>
        <w:rPr>
          <w:rFonts w:ascii="Aptos" w:hAnsi="Aptos"/>
          <w:b w:val="0"/>
          <w:i w:val="0"/>
          <w:color w:val="17212B"/>
          <w:sz w:val="20"/>
        </w:rPr>
        <w:t>Update the production PWA when prompted, then hard-refresh only if the old bundle remains.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6. </w:t>
      </w:r>
      <w:r>
        <w:rPr>
          <w:rFonts w:ascii="Aptos" w:hAnsi="Aptos"/>
          <w:b w:val="0"/>
          <w:i w:val="0"/>
          <w:color w:val="17212B"/>
          <w:sz w:val="20"/>
        </w:rPr>
        <w:t>Smoke auth, board, sport/provider filters, headshots, research overlay, add/remove selection, active slip, scoreboard, history, chat, membership, and Owner Ops.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7. </w:t>
      </w:r>
      <w:r>
        <w:rPr>
          <w:rFonts w:ascii="Aptos" w:hAnsi="Aptos"/>
          <w:b w:val="0"/>
          <w:i w:val="0"/>
          <w:color w:val="17212B"/>
          <w:sz w:val="20"/>
        </w:rPr>
        <w:t>Check console/frontend errors, API latency, image failures, provider freshness, and queue health for at least one full refresh cycle.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8. </w:t>
      </w:r>
      <w:r>
        <w:rPr>
          <w:rFonts w:ascii="Aptos" w:hAnsi="Aptos"/>
          <w:b w:val="0"/>
          <w:i w:val="0"/>
          <w:color w:val="17212B"/>
          <w:sz w:val="20"/>
        </w:rPr>
        <w:t>Record release commit, result, known warnings, and rollback commit.</w:t>
      </w:r>
    </w:p>
    <w:p>
      <w:pPr>
        <w:pStyle w:val="Heading1"/>
      </w:pPr>
      <w:r>
        <w:t>7. Incident playbooks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50"/>
        <w:gridCol w:w="3410"/>
      </w:tblGrid>
      <w:tr>
        <w:trPr>
          <w:tblHeader w:val="true"/>
        </w:trPr>
        <w:tc>
          <w:tcPr>
            <w:tcW w:type="dxa" w:w="17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Signal</w:t>
            </w:r>
          </w:p>
        </w:tc>
        <w:tc>
          <w:tcPr>
            <w:tcW w:type="dxa" w:w="425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Immediate action</w:t>
            </w:r>
          </w:p>
        </w:tc>
        <w:tc>
          <w:tcPr>
            <w:tcW w:type="dxa" w:w="341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Do not</w:t>
            </w:r>
          </w:p>
        </w:tc>
      </w:tr>
      <w:t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API unhealthy</w:t>
            </w:r>
          </w:p>
        </w:tc>
        <w:tc>
          <w:tcPr>
            <w:tcW w:type="dxa" w:w="4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Check Render deploy/restarts, /ready, database, Redis, and release commit.</w:t>
            </w:r>
          </w:p>
        </w:tc>
        <w:tc>
          <w:tcPr>
            <w:tcW w:type="dxa" w:w="3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Do not redeploy repeatedly without isolating the dependency.</w:t>
            </w:r>
          </w:p>
        </w:tc>
      </w:tr>
      <w:tr>
        <w:tc>
          <w:tcPr>
            <w:tcW w:type="dxa" w:w="17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Provider stale/outage</w:t>
            </w:r>
          </w:p>
        </w:tc>
        <w:tc>
          <w:tcPr>
            <w:tcW w:type="dxa" w:w="425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Check last success, quota, cooldown, worker, cache, and upstream response.</w:t>
            </w:r>
          </w:p>
        </w:tc>
        <w:tc>
          <w:tcPr>
            <w:tcW w:type="dxa" w:w="341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Do not force-refresh through a rate limit or call no inventory an outage.</w:t>
            </w:r>
          </w:p>
        </w:tc>
      </w:tr>
      <w:t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Prop count collapse</w:t>
            </w:r>
          </w:p>
        </w:tc>
        <w:tc>
          <w:tcPr>
            <w:tcW w:type="dxa" w:w="4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Compare schedule, selected sport/site, provider totals, catalog source, and filters.</w:t>
            </w:r>
          </w:p>
        </w:tc>
        <w:tc>
          <w:tcPr>
            <w:tcW w:type="dxa" w:w="3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Do not publish placeholder or fabricated props.</w:t>
            </w:r>
          </w:p>
        </w:tc>
      </w:tr>
      <w:tr>
        <w:tc>
          <w:tcPr>
            <w:tcW w:type="dxa" w:w="17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Headshot failures</w:t>
            </w:r>
          </w:p>
        </w:tc>
        <w:tc>
          <w:tcPr>
            <w:tcW w:type="dxa" w:w="425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Check mapping key, image URL, cache sync, and branded fallback.</w:t>
            </w:r>
          </w:p>
        </w:tc>
        <w:tc>
          <w:tcPr>
            <w:tcW w:type="dxa" w:w="341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Do not render an empty black circle.</w:t>
            </w:r>
          </w:p>
        </w:tc>
      </w:tr>
      <w:t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Scoreboard slow</w:t>
            </w:r>
          </w:p>
        </w:tc>
        <w:tc>
          <w:tcPr>
            <w:tcW w:type="dxa" w:w="4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Check provider latency, cache path, and API timing.</w:t>
            </w:r>
          </w:p>
        </w:tc>
        <w:tc>
          <w:tcPr>
            <w:tcW w:type="dxa" w:w="3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Do not disable caching as the first response.</w:t>
            </w:r>
          </w:p>
        </w:tc>
      </w:tr>
      <w:tr>
        <w:tc>
          <w:tcPr>
            <w:tcW w:type="dxa" w:w="17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Paid access mismatch</w:t>
            </w:r>
          </w:p>
        </w:tc>
        <w:tc>
          <w:tcPr>
            <w:tcW w:type="dxa" w:w="425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Check RevenueCat event, entitlement, webhook, and Supabase profile.</w:t>
            </w:r>
          </w:p>
        </w:tc>
        <w:tc>
          <w:tcPr>
            <w:tcW w:type="dxa" w:w="341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Do not grant access from a browser success message alone.</w:t>
            </w:r>
          </w:p>
        </w:tc>
      </w:tr>
      <w:t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Questionable grade</w:t>
            </w:r>
          </w:p>
        </w:tc>
        <w:tc>
          <w:tcPr>
            <w:tcW w:type="dxa" w:w="4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Confirm final event, official stat, market rule, and stored selection.</w:t>
            </w:r>
          </w:p>
        </w:tc>
        <w:tc>
          <w:tcPr>
            <w:tcW w:type="dxa" w:w="3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Do not manually grade from incomplete live data.</w:t>
            </w:r>
          </w:p>
        </w:tc>
      </w:tr>
    </w:tbl>
    <w:p>
      <w:pPr>
        <w:spacing w:after="40"/>
      </w:pPr>
    </w:p>
    <w:p>
      <w:pPr>
        <w:pStyle w:val="Heading1"/>
      </w:pPr>
      <w:r>
        <w:t>8. Feature smoke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Feature</w:t>
            </w:r>
          </w:p>
        </w:tc>
        <w:tc>
          <w:tcPr>
            <w:tcW w:type="dxa" w:w="746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Minimum acceptance check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Market Board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Props load; providers separated; balanced rows; filter/search clear correctly; status age is honest.</w:t>
            </w:r>
          </w:p>
        </w:tc>
      </w:tr>
      <w:tr>
        <w:tc>
          <w:tcPr>
            <w:tcW w:type="dxa" w:w="1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Season status</w:t>
            </w:r>
          </w:p>
        </w:tc>
        <w:tc>
          <w:tcPr>
            <w:tcW w:type="dxa" w:w="7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Sport-only empty state shows schedule; real filters show filtered-empty; date/countdown derives from live schedule.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Prop card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Headshot stable; EP alone opens player props; Over/Under add and undo; View Research opens readable overlay.</w:t>
            </w:r>
          </w:p>
        </w:tc>
      </w:tr>
      <w:tr>
        <w:tc>
          <w:tcPr>
            <w:tcW w:type="dxa" w:w="1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Line Movement</w:t>
            </w:r>
          </w:p>
        </w:tc>
        <w:tc>
          <w:tcPr>
            <w:tcW w:type="dxa" w:w="7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At least known moved fixtures hydrate opening/current values; no false same-line movement.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Officiating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NBA/WNBA referees and MLB umpires load or show a truthful no-data state; no NFL tab.</w:t>
            </w:r>
          </w:p>
        </w:tc>
      </w:tr>
      <w:tr>
        <w:tc>
          <w:tcPr>
            <w:tcW w:type="dxa" w:w="1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Slip</w:t>
            </w:r>
          </w:p>
        </w:tc>
        <w:tc>
          <w:tcPr>
            <w:tcW w:type="dxa" w:w="7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Counter, icon, remove, save/lock, live tracking, and settlement transitions work.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History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All/Won/Lost, today win/loss percentage, result cards, and text fit without clipping.</w:t>
            </w:r>
          </w:p>
        </w:tc>
      </w:tr>
      <w:tr>
        <w:tc>
          <w:tcPr>
            <w:tcW w:type="dxa" w:w="1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Responsive shell</w:t>
            </w:r>
          </w:p>
        </w:tc>
        <w:tc>
          <w:tcPr>
            <w:tcW w:type="dxa" w:w="7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Left sections retain state; right rail labels/counters do not overlap; mobile filters/dialogs do not clip.</w:t>
            </w:r>
          </w:p>
        </w:tc>
      </w:tr>
    </w:tbl>
    <w:p>
      <w:pPr>
        <w:spacing w:after="40"/>
      </w:pPr>
    </w:p>
    <w:p>
      <w:pPr>
        <w:pStyle w:val="Heading1"/>
      </w:pPr>
      <w:r>
        <w:t>9. Owner records and escalation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Record</w:t>
            </w:r>
          </w:p>
        </w:tc>
        <w:tc>
          <w:tcPr>
            <w:tcW w:type="dxa" w:w="606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Value</w:t>
            </w:r>
          </w:p>
        </w:tc>
      </w:tr>
      <w:t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Review date / owner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3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Production commit</w:t>
            </w:r>
          </w:p>
        </w:tc>
        <w:tc>
          <w:tcPr>
            <w:tcW w:type="dxa" w:w="60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Frontend/backend deploy status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3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Provider freshness / quota</w:t>
            </w:r>
          </w:p>
        </w:tc>
        <w:tc>
          <w:tcPr>
            <w:tcW w:type="dxa" w:w="60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Props / playable / events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3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Model sample / calibration</w:t>
            </w:r>
          </w:p>
        </w:tc>
        <w:tc>
          <w:tcPr>
            <w:tcW w:type="dxa" w:w="60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Unsettled / questionable items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3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Backup / security verified</w:t>
            </w:r>
          </w:p>
        </w:tc>
        <w:tc>
          <w:tcPr>
            <w:tcW w:type="dxa" w:w="60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Actions and follow-up owner/date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____________________________________________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7584"/>
        <w:sz w:val="16"/>
      </w:rPr>
      <w:t xml:space="preserve">PI PROP INTELLIGENCE LLC  |  AUGUST 2026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67584"/>
        <w:sz w:val="17"/>
      </w:rPr>
      <w:t>PI PROP INTELLIGENCE  |  OWNER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25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25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59B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 PROP INTELLIGENCE Owner Operations Schedule August 2026</dc:title>
  <dc:subject>PI PROP INTELLIGENCE operations documentation</dc:subject>
  <dc:creator>PI PROP INTELLIGENCE LLC</dc:creator>
  <cp:keywords>PROP INTELLIGENCE, operations, sports research, user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