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Would You Hire Them? Game</w:t>
      </w:r>
    </w:p>
    <w:p>
      <w:pPr>
        <w:jc w:val="center"/>
      </w:pPr>
      <w:r>
        <w:rPr>
          <w:color w:val="787878"/>
          <w:sz w:val="18"/>
        </w:rPr>
        <w:t>JOB READINESS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Read each applicant scenario. Students vote YES, NOT YET, or NEED MORE INFORMATION, then explain which job-readiness behaviors affected the decision.</w:t>
            </w:r>
          </w:p>
          <w:p>
            <w:r>
              <w:t>• There may be more than one defensible answer; require students to support their reasoning.</w:t>
            </w:r>
          </w:p>
        </w:tc>
      </w:tr>
    </w:tbl>
    <w:p/>
    <w:p>
      <w:r>
        <w:t>Applicant A arrives 10 minutes early, is polite, but has not researched the company. Applicant B has experience but checks their phone twice during the interview. Applicant C has little experience but gives clear examples of being dependable. Applicant D is qualified but complains about a former teacher/employer.</w:t>
      </w:r>
    </w:p>
    <w:p>
      <w:r>
        <w:rPr>
          <w:b/>
          <w:color w:val="5A2942"/>
        </w:rPr>
        <w:t>Extension:</w:t>
      </w:r>
      <w:r>
        <w:t xml:space="preserve"> Students rewrite one applicant's behavior to improve the interview.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