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color w:val="FFFFFF"/>
                <w:sz w:val="48"/>
              </w:rPr>
              <w:t>🧭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2"/>
              </w:rPr>
              <w:t>Transition Team Lesson Pathways</w:t>
            </w:r>
          </w:p>
          <w:p>
            <w:r>
              <w:t>Staff Tool • what to do next after a session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Help staff turn individual activities into connected transition instruction.</w:t>
            </w:r>
          </w:p>
          <w:p>
            <w:r>
              <w:rPr>
                <w:b/>
              </w:rPr>
              <w:t xml:space="preserve">Materials: </w:t>
            </w:r>
            <w:r>
              <w:t>Use as a planning guide.</w:t>
            </w:r>
          </w:p>
          <w:p>
            <w:r>
              <w:rPr>
                <w:b/>
              </w:rPr>
              <w:t xml:space="preserve">Easy flow: </w:t>
            </w:r>
            <w:r>
              <w:t>Pick a student's current need, start anywhere in a pathway, and move forward as skills develop.</w:t>
            </w:r>
          </w:p>
        </w:tc>
      </w:tr>
    </w:tbl>
    <w:p>
      <w:pPr>
        <w:pStyle w:val="Heading1"/>
      </w:pPr>
      <w:r>
        <w:t>Getting a First Job</w:t>
      </w:r>
    </w:p>
    <w:p>
      <w:r>
        <w:t>Career Explorer A-Z  →  How to Read a Job Posting  →  Would You Take This Job?  →  Job Application Practice  →  Mock Interview  →  First Day on the Job  →  Reading a Work Schedule  →  Understanding Your Paycheck</w:t>
      </w:r>
    </w:p>
    <w:p>
      <w:r>
        <w:t>Staff note: you do not have to start at step one. Start where the student actually needs support.</w:t>
      </w:r>
    </w:p>
    <w:p>
      <w:pPr>
        <w:pStyle w:val="Heading1"/>
      </w:pPr>
      <w:r>
        <w:t>Living More Independently</w:t>
      </w:r>
    </w:p>
    <w:p>
      <w:r>
        <w:t>Budgeting  →  Grocery Unit Price Challenge  →  Visual Recipe  →  Kitchen Safety  →  Laundry  →  Making Appointments  →  Transportation Backup Plan</w:t>
      </w:r>
    </w:p>
    <w:p>
      <w:r>
        <w:t>Staff note: you do not have to start at step one. Start where the student actually needs support.</w:t>
      </w:r>
    </w:p>
    <w:p>
      <w:pPr>
        <w:pStyle w:val="Heading1"/>
      </w:pPr>
      <w:r>
        <w:t>Workplace Communication</w:t>
      </w:r>
    </w:p>
    <w:p>
      <w:r>
        <w:t>Professional Texting &amp; Email  →  Calling In &amp; Requesting Off  →  Handling Feedback  →  Workplace Scenario Cards  →  Conflict Resolution</w:t>
      </w:r>
    </w:p>
    <w:p>
      <w:r>
        <w:t>Staff note: you do not have to start at step one. Start where the student actually needs support.</w:t>
      </w:r>
    </w:p>
    <w:p>
      <w:pPr>
        <w:pStyle w:val="Heading1"/>
      </w:pPr>
      <w:r>
        <w:t>Reluctant Student / Low-Pressure</w:t>
      </w:r>
    </w:p>
    <w:p>
      <w:r>
        <w:t>Conversation Piece  →  Would You Rather: Real-Life Career Decisions  →  No-Prep Job Offer  →  Adulting Bingo  →  Career Explorer A-Z</w:t>
      </w:r>
    </w:p>
    <w:p>
      <w:r>
        <w:t>Staff note: you do not have to start at step one. Start where the student actually needs support.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