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Lifetime risk of stillbirth and neonatal mortality by SDG region, 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0"/>
        <w:gridCol w:w="741"/>
        <w:gridCol w:w="751"/>
        <w:gridCol w:w="1456"/>
        <w:gridCol w:w="821"/>
        <w:gridCol w:w="1580"/>
        <w:gridCol w:w="1847"/>
        <w:gridCol w:w="1480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SBR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LTR-STB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NMR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LTR-NM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LTR-STB+NM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STB share (%)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Central and Southern Asia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 (3.3-3.9)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 (4.3-5.2)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42.8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Eastern and South-Eastern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 (0.8-1.0)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 (0.8-1.1)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Europe and Northern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(0.4-0.4)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(0.4-0.4)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Latin America and the Caribbean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 (1.2-1.5)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 (1.4-1.8)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Northern Africa and Western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 (2.8-3.8)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 (3.0-4.2)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47.6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Oceania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(1.4-3.1)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 (1.5-3.1)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48.9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 (8.7-10.7)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 (10.0-13.5)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45.7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 (3.1-3.5)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 (3.7-4.4)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SBR = stillbirth rate per 1,000 total births (UNICEF 2024). NMR = neonatal mortality rate per 1,000 live births (UNICEF 2024). TFR = total fertility rate (WPP 2024). LT = lifetime total, per 100 girls; 95% uncertainty intervals in parentheses. SB share = LT-SB as a percentage of the combined LT-SN.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2026-05-24T13:31:06Z</dcterms:modified>
  <cp:category/>
</cp:coreProperties>
</file>