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Halcyon Bio</w:t>
      </w:r>
    </w:p>
    <w:p>
      <w:r>
        <w:t>Precision antifibrotics for chronic kidney disease</w:t>
      </w:r>
    </w:p>
    <w:p>
      <w:r>
        <w:t>Seed round — confidential investor deck, 2026</w:t>
      </w:r>
    </w:p>
    <w:p>
      <w:r>
        <w:br w:type="page"/>
      </w:r>
    </w:p>
    <w:p>
      <w:pPr>
        <w:pStyle w:val="Heading1"/>
      </w:pPr>
      <w:r>
        <w:t>The Problem</w:t>
      </w:r>
    </w:p>
    <w:p>
      <w:r>
        <w:t>37 million US adults live with chronic kidney disease; 90% are undiagnosed.</w:t>
      </w:r>
    </w:p>
    <w:p>
      <w:r>
        <w:t>Kidney failure costs Medicare $87B per year, 7% of the total Medicare budget.</w:t>
      </w:r>
    </w:p>
    <w:p>
      <w:r>
        <w:t>Standard of care (RAAS inhibitors, SGLT2) slows decline but does not reverse fibrosis.</w:t>
      </w:r>
    </w:p>
    <w:p>
      <w:r>
        <w:t>No approved therapy targets the myofibroblast activation pathway directly.</w:t>
      </w:r>
    </w:p>
    <w:p>
      <w:r>
        <w:br w:type="page"/>
      </w:r>
    </w:p>
    <w:p>
      <w:pPr>
        <w:pStyle w:val="Heading1"/>
      </w:pPr>
      <w:r>
        <w:t>Our Solution</w:t>
      </w:r>
    </w:p>
    <w:p>
      <w:r>
        <w:t>HB-204 is an oral small-molecule inhibitor of the TGF-beta / ALK5 axis,</w:t>
      </w:r>
    </w:p>
    <w:p>
      <w:r>
        <w:t>engineered for kidney-selective tissue exposure to avoid systemic toxicity.</w:t>
      </w:r>
    </w:p>
    <w:p>
      <w:r>
        <w:t>In two rodent models, HB-204 reduced interstitial fibrosis 41% vs. vehicle</w:t>
      </w:r>
    </w:p>
    <w:p>
      <w:r>
        <w:t>and preserved eGFR at 12 weeks. Tissue selectivity index of 18x vs. liver.</w:t>
      </w:r>
    </w:p>
    <w:p>
      <w:r>
        <w:br w:type="page"/>
      </w:r>
    </w:p>
    <w:p>
      <w:pPr>
        <w:pStyle w:val="Heading1"/>
      </w:pPr>
      <w:r>
        <w:t>Why Now</w:t>
      </w:r>
    </w:p>
    <w:p>
      <w:r>
        <w:t>FDA's 2025 draft guidance accepts eGFR slope as a surrogate endpoint,</w:t>
      </w:r>
    </w:p>
    <w:p>
      <w:r>
        <w:t>cutting registrational trial timelines from 6 years to roughly 30 months.</w:t>
      </w:r>
    </w:p>
    <w:p>
      <w:r>
        <w:t>SGLT2 inhibitor adoption has created a diagnosed, monitored patient population</w:t>
      </w:r>
    </w:p>
    <w:p>
      <w:r>
        <w:t>that did not exist five years ago, making trial recruitment materially cheaper.</w:t>
      </w:r>
    </w:p>
    <w:p>
      <w:r>
        <w:br w:type="page"/>
      </w:r>
    </w:p>
    <w:p>
      <w:pPr>
        <w:pStyle w:val="Heading1"/>
      </w:pPr>
      <w:r>
        <w:t>Market Size</w:t>
      </w:r>
    </w:p>
    <w:p>
      <w:r>
        <w:t>TAM: $24B global CKD therapeutics market by 2032 (Evaluate Pharma, 2025).</w:t>
      </w:r>
    </w:p>
    <w:p>
      <w:r>
        <w:t>SAM: 2.1M US patients with stage 3b-4 CKD and confirmed fibrosis progression;</w:t>
      </w:r>
    </w:p>
    <w:p>
      <w:r>
        <w:t>at $14,000 annual net price, a $29B serviceable market.</w:t>
      </w:r>
    </w:p>
    <w:p>
      <w:r>
        <w:t>SOM: 4% penetration of the nephrologist-managed segment = $1.1B peak US sales.</w:t>
      </w:r>
    </w:p>
    <w:p>
      <w:r>
        <w:br w:type="page"/>
      </w:r>
    </w:p>
    <w:p>
      <w:pPr>
        <w:pStyle w:val="Heading1"/>
      </w:pPr>
      <w:r>
        <w:t>Traction</w:t>
      </w:r>
    </w:p>
    <w:p>
      <w:r>
        <w:t>$2.4M NIH NIDDK SBIR Phase II awarded March 2026 (non-dilutive).</w:t>
      </w:r>
    </w:p>
    <w:p>
      <w:r>
        <w:t>IND-enabling GLP toxicology completed; no adverse findings at 10x exposure.</w:t>
      </w:r>
    </w:p>
    <w:p>
      <w:r>
        <w:t>Pre-IND meeting held with FDA Division of Cardiology and Nephrology, Feb 2026.</w:t>
      </w:r>
    </w:p>
    <w:p>
      <w:r>
        <w:t>Research collaboration signed with a top-5 pharma (name under NDA).</w:t>
      </w:r>
    </w:p>
    <w:p>
      <w:r>
        <w:t>Two KOL advisors from Joslin and UCSF nephrology.</w:t>
      </w:r>
    </w:p>
    <w:p>
      <w:r>
        <w:br w:type="page"/>
      </w:r>
    </w:p>
    <w:p>
      <w:pPr>
        <w:pStyle w:val="Heading1"/>
      </w:pPr>
      <w:r>
        <w:t>Business Model</w:t>
      </w:r>
    </w:p>
    <w:p>
      <w:r>
        <w:t>Develop HB-204 through Phase 2a proof-of-concept, then partner or license</w:t>
      </w:r>
    </w:p>
    <w:p>
      <w:r>
        <w:t>to a large-cap nephrology franchise. Comparable deals: Chinook/Novartis ($3.5B, 2022),</w:t>
      </w:r>
    </w:p>
    <w:p>
      <w:r>
        <w:t>Aurinia partnership economics of $60M upfront plus milestones.</w:t>
      </w:r>
    </w:p>
    <w:p>
      <w:r>
        <w:br w:type="page"/>
      </w:r>
    </w:p>
    <w:p>
      <w:pPr>
        <w:pStyle w:val="Heading1"/>
      </w:pPr>
      <w:r>
        <w:t>Team</w:t>
      </w:r>
    </w:p>
    <w:p>
      <w:r>
        <w:t>Dr. Priya Raghavan, CEO — 14 years at Vertex, led two INDs to Phase 2.</w:t>
      </w:r>
    </w:p>
    <w:p>
      <w:r>
        <w:t>Dr. Martin Hale, CSO and founder — Professor of Nephrology, discovered the ALK5</w:t>
      </w:r>
    </w:p>
    <w:p>
      <w:r>
        <w:t>kidney-selective scaffold; 40 publications, h-index 38.</w:t>
      </w:r>
    </w:p>
    <w:p>
      <w:r>
        <w:t>Susan Okafor, VP Regulatory — former FDA reviewer, CDER.</w:t>
      </w:r>
    </w:p>
    <w:p>
      <w:r>
        <w:t>CRO partner: Charles River (tox), Frontage (CMC).</w:t>
      </w:r>
    </w:p>
    <w:p>
      <w:r>
        <w:br w:type="page"/>
      </w:r>
    </w:p>
    <w:p>
      <w:pPr>
        <w:pStyle w:val="Heading1"/>
      </w:pPr>
      <w:r>
        <w:t>Competitive Moat</w:t>
      </w:r>
    </w:p>
    <w:p>
      <w:r>
        <w:t>Composition-of-matter patent granted US 11,847,203 (expires 2041), plus</w:t>
      </w:r>
    </w:p>
    <w:p>
      <w:r>
        <w:t>pending method-of-use claims in EU and Japan.</w:t>
      </w:r>
    </w:p>
    <w:p>
      <w:r>
        <w:t>Orphan designation pursued for Alport syndrome as a fast-follow indication.</w:t>
      </w:r>
    </w:p>
    <w:p>
      <w:r>
        <w:br w:type="page"/>
      </w:r>
    </w:p>
    <w:p>
      <w:pPr>
        <w:pStyle w:val="Heading1"/>
      </w:pPr>
      <w:r>
        <w:t>Risks Retired</w:t>
      </w:r>
    </w:p>
    <w:p>
      <w:r>
        <w:t>Toxicology: clean GLP tox in two species.</w:t>
      </w:r>
    </w:p>
    <w:p>
      <w:r>
        <w:t>Manufacturing: 4-step synthesis, 62% yield, kg-scale demonstrated.</w:t>
      </w:r>
    </w:p>
    <w:p>
      <w:r>
        <w:t>Regulatory: pathway aligned with FDA at pre-IND.</w:t>
      </w:r>
    </w:p>
    <w:p>
      <w:r>
        <w:t>Remaining risk is clinical translation of the fibrosis signal into eGFR benefit.</w:t>
      </w:r>
    </w:p>
    <w:p>
      <w:r>
        <w:br w:type="page"/>
      </w:r>
    </w:p>
    <w:p>
      <w:pPr>
        <w:pStyle w:val="Heading1"/>
      </w:pPr>
      <w:r>
        <w:t>The Ask</w:t>
      </w:r>
    </w:p>
    <w:p>
      <w:r>
        <w:t>Raising $6M seed to file IND and complete Phase 1 SAD/MAD.</w:t>
      </w:r>
    </w:p>
    <w:p>
      <w:r>
        <w:t>Use of funds: 45% clinical, 25% CMC, 20% regulatory and toxicology, 10% G&amp;A.</w:t>
      </w:r>
    </w:p>
    <w:p>
      <w:r>
        <w:t>24-month runway to Phase 1 topline data in Q3 2028.</w:t>
      </w:r>
    </w:p>
    <w:p>
      <w:r>
        <w:t>$3.1M committed to date. Lead investor: Meridian Life Sciences.</w:t>
      </w:r>
    </w:p>
    <w:p>
      <w:r>
        <w:t>Contact: Priya Raghavan, priya@halcyonbio.com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Round size</w:t>
            </w:r>
          </w:p>
        </w:tc>
        <w:tc>
          <w:tcPr>
            <w:tcW w:type="dxa" w:w="4320"/>
          </w:tcPr>
          <w:p>
            <w:r>
              <w:t>$6M seed</w:t>
            </w:r>
          </w:p>
        </w:tc>
      </w:tr>
      <w:tr>
        <w:tc>
          <w:tcPr>
            <w:tcW w:type="dxa" w:w="4320"/>
          </w:tcPr>
          <w:p>
            <w:r>
              <w:t>Committed</w:t>
            </w:r>
          </w:p>
        </w:tc>
        <w:tc>
          <w:tcPr>
            <w:tcW w:type="dxa" w:w="4320"/>
          </w:tcPr>
          <w:p>
            <w:r>
              <w:t>$3.1M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