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6E69"/>
          <w:sz w:val="40"/>
        </w:rPr>
        <w:t>Halcyon Therapeutics</w:t>
      </w:r>
    </w:p>
    <w:p>
      <w:r>
        <w:rPr>
          <w:i/>
          <w:sz w:val="22"/>
        </w:rPr>
        <w:t>Oral medicines that restore the gut barrier</w:t>
      </w:r>
    </w:p>
    <w:p>
      <w:r>
        <w:rPr>
          <w:sz w:val="20"/>
        </w:rPr>
        <w:t>www.halcyon-tx.example</w:t>
      </w:r>
    </w:p>
    <w:p>
      <w:pPr>
        <w:spacing w:before="160"/>
      </w:pPr>
      <w:r>
        <w:rPr>
          <w:b/>
          <w:color w:val="0A6E69"/>
          <w:sz w:val="22"/>
        </w:rPr>
        <w:t>Problem &amp; Opportunity</w:t>
      </w:r>
    </w:p>
    <w:p>
      <w:pPr>
        <w:pStyle w:val="ListBullet"/>
      </w:pPr>
      <w:r>
        <w:t>Inflammatory bowel disease (IBD) affects 6.8 million people worldwide.</w:t>
      </w:r>
    </w:p>
    <w:p>
      <w:pPr>
        <w:pStyle w:val="ListBullet"/>
      </w:pPr>
      <w:r>
        <w:t>Up to 40% of patients lose response to biologic therapy within the first year.</w:t>
      </w:r>
    </w:p>
    <w:p>
      <w:pPr>
        <w:pStyle w:val="ListBullet"/>
      </w:pPr>
      <w:r>
        <w:t>Annual direct costs of IBD care exceed $25 billion in the US.</w:t>
      </w:r>
    </w:p>
    <w:p>
      <w:pPr>
        <w:pStyle w:val="ListBullet"/>
      </w:pPr>
      <w:r>
        <w:t>No approved therapy directly repairs the damaged intestinal barrier.</w:t>
      </w:r>
    </w:p>
    <w:p>
      <w:pPr>
        <w:spacing w:before="160"/>
      </w:pPr>
      <w:r>
        <w:rPr>
          <w:b/>
          <w:color w:val="0A6E69"/>
          <w:sz w:val="22"/>
        </w:rPr>
        <w:t>Science &amp; Platform</w:t>
      </w:r>
    </w:p>
    <w:p>
      <w:pPr>
        <w:pStyle w:val="ListBullet"/>
      </w:pPr>
      <w:r>
        <w:t>HT-101 is an oral, gut-restricted small molecule that restores tight-junction integrity.</w:t>
      </w:r>
    </w:p>
    <w:p>
      <w:pPr>
        <w:pStyle w:val="ListBullet"/>
      </w:pPr>
      <w:r>
        <w:t>Minimal systemic exposure observed in preclinical models.</w:t>
      </w:r>
    </w:p>
    <w:p>
      <w:pPr>
        <w:pStyle w:val="ListBullet"/>
      </w:pPr>
      <w:r>
        <w:t>Platform targets the epithelial barrier rather than suppressing the immune system.</w:t>
      </w:r>
    </w:p>
    <w:p>
      <w:pPr>
        <w:pStyle w:val="ListBullet"/>
      </w:pPr>
      <w:r>
        <w:t>Designed as a once-daily oral tablet for use alone or alongside existing biologics.</w:t>
      </w:r>
    </w:p>
    <w:p>
      <w:pPr>
        <w:spacing w:before="160"/>
      </w:pPr>
      <w:r>
        <w:rPr>
          <w:b/>
          <w:color w:val="0A6E69"/>
          <w:sz w:val="22"/>
        </w:rPr>
        <w:t>Pipeline</w:t>
      </w:r>
    </w:p>
    <w:p>
      <w:pPr>
        <w:pStyle w:val="ListBullet"/>
      </w:pPr>
      <w:r>
        <w:t>HT-101 Ulcerative colitis IND-enabling</w:t>
      </w:r>
    </w:p>
    <w:p>
      <w:pPr>
        <w:pStyle w:val="ListBullet"/>
      </w:pPr>
      <w:r>
        <w:t>HT-102 Crohn's disease Lead optimization</w:t>
      </w:r>
    </w:p>
    <w:p>
      <w:pPr>
        <w:pStyle w:val="ListBullet"/>
      </w:pPr>
      <w:r>
        <w:t>HT-201 Celiac disease Discovery</w:t>
      </w:r>
    </w:p>
    <w:p>
      <w:pPr>
        <w:pStyle w:val="ListBullet"/>
      </w:pPr>
      <w:r>
        <w:t>IND submission for HT-101 planned for Q3 2026.</w:t>
      </w:r>
    </w:p>
    <w:p>
      <w:pPr>
        <w:spacing w:before="160"/>
      </w:pPr>
      <w:r>
        <w:rPr>
          <w:b/>
          <w:color w:val="0A6E69"/>
          <w:sz w:val="22"/>
        </w:rPr>
        <w:t>Market Size</w:t>
      </w:r>
    </w:p>
    <w:p>
      <w:pPr>
        <w:pStyle w:val="ListBullet"/>
      </w:pPr>
      <w:r>
        <w:t>TAM: $22.4B global IBD therapeutics market (2025).</w:t>
      </w:r>
    </w:p>
    <w:p>
      <w:pPr>
        <w:pStyle w:val="ListBullet"/>
      </w:pPr>
      <w:r>
        <w:t>SAM: $6.1B moderate-to-severe ulcerative colitis, US and EU5.</w:t>
      </w:r>
    </w:p>
    <w:p>
      <w:pPr>
        <w:pStyle w:val="ListBullet"/>
      </w:pPr>
      <w:r>
        <w:t>SOM: $610M projected peak annual sales at 10% share of SAM.</w:t>
      </w:r>
    </w:p>
    <w:p>
      <w:pPr>
        <w:spacing w:before="160"/>
      </w:pPr>
      <w:r>
        <w:rPr>
          <w:b/>
          <w:color w:val="0A6E69"/>
          <w:sz w:val="22"/>
        </w:rPr>
        <w:t>Key Milestones</w:t>
      </w:r>
    </w:p>
    <w:p>
      <w:pPr>
        <w:pStyle w:val="ListBullet"/>
      </w:pPr>
      <w:r>
        <w:t>Completed GLP toxicology studies in two species.</w:t>
      </w:r>
    </w:p>
    <w:p>
      <w:pPr>
        <w:pStyle w:val="ListBullet"/>
      </w:pPr>
      <w:r>
        <w:t>62% reduction in intestinal permeability in a DSS mouse model (n=24).</w:t>
      </w:r>
    </w:p>
    <w:p>
      <w:pPr>
        <w:pStyle w:val="ListBullet"/>
      </w:pPr>
      <w:r>
        <w:t>$3.2M NIH SBIR Phase II grant awarded in 2024.</w:t>
      </w:r>
    </w:p>
    <w:p>
      <w:pPr>
        <w:pStyle w:val="ListBullet"/>
      </w:pPr>
      <w:r>
        <w:t>GMP drug substance manufacturing partner selected.</w:t>
      </w:r>
    </w:p>
    <w:p>
      <w:pPr>
        <w:spacing w:before="160"/>
      </w:pPr>
      <w:r>
        <w:rPr>
          <w:b/>
          <w:color w:val="0A6E69"/>
          <w:sz w:val="22"/>
        </w:rPr>
        <w:t>Leadership Team</w:t>
      </w:r>
    </w:p>
    <w:p>
      <w:pPr>
        <w:pStyle w:val="ListBullet"/>
      </w:pPr>
      <w:r>
        <w:t>Dr. Maya Okafor, CEO - former VP Clinical Development at Arcadia Pharma; 15 years in GI drug development.</w:t>
      </w:r>
    </w:p>
    <w:p>
      <w:pPr>
        <w:pStyle w:val="ListBullet"/>
      </w:pPr>
      <w:r>
        <w:t>Dr. Daniel Reyes, CSO - inventor of the barrier-restoration platform; PhD, Stanford</w:t>
      </w:r>
    </w:p>
    <w:p>
      <w:pPr>
        <w:pStyle w:val="ListBullet"/>
      </w:pPr>
      <w:r>
        <w:t>Priya Natarajan, CFO - former biotech investment banker; led 2 IPOs.</w:t>
      </w:r>
    </w:p>
    <w:p>
      <w:pPr>
        <w:pStyle w:val="ListBullet"/>
      </w:pPr>
      <w:r>
        <w:t>Dr. Samuel Ortiz, CMO - gastroenterologist; led 4 Phase 2 IBD trials.</w:t>
      </w:r>
    </w:p>
    <w:p>
      <w:pPr>
        <w:spacing w:before="160"/>
      </w:pPr>
      <w:r>
        <w:rPr>
          <w:b/>
          <w:color w:val="0A6E69"/>
          <w:sz w:val="22"/>
        </w:rPr>
        <w:t>Funding Ask &amp; Use of Funds</w:t>
      </w:r>
    </w:p>
    <w:p>
      <w:pPr>
        <w:pStyle w:val="ListBullet"/>
      </w:pPr>
      <w:r>
        <w:t>Raising a $15M Series A.</w:t>
      </w:r>
    </w:p>
    <w:p>
      <w:pPr>
        <w:pStyle w:val="ListBullet"/>
      </w:pPr>
      <w:r>
        <w:t>Use of funds: 55% IND-enabling studies and Phase 1 trial; 25% CMC and manufacturing scale-up; 20% team and operations.</w:t>
      </w:r>
    </w:p>
    <w:p>
      <w:pPr>
        <w:pStyle w:val="ListBullet"/>
      </w:pPr>
      <w:r>
        <w:t>Runway: 24 months, through Phase 1 data readout.</w:t>
      </w:r>
    </w:p>
    <w:p>
      <w:pPr>
        <w:spacing w:before="240"/>
        <w:jc w:val="center"/>
      </w:pPr>
      <w:r>
        <w:rPr>
          <w:i/>
          <w:sz w:val="18"/>
        </w:rPr>
        <w:t>For informational purposes only. Does not constitute an offer to sell securities.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sz w:val="14"/>
      </w:rPr>
      <w:t xml:space="preserve"> Halcyon Therapeutics Investor Teaser          1          Compiled on October 28, 2026 by TEN Capital Network    </w:t>
    </w:r>
    <w:r>
      <w:drawing>
        <wp:inline xmlns:a="http://schemas.openxmlformats.org/drawingml/2006/main" xmlns:pic="http://schemas.openxmlformats.org/drawingml/2006/picture">
          <wp:extent cx="612648" cy="2286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N_Capital_logo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" cy="22860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