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8"/>
          <w:szCs w:val="48"/>
        </w:rPr>
        <w:t xml:space="preserve">Strategy Evaluation Report</w:t>
      </w:r>
    </w:p>
    <w:p>
      <w:pPr>
        <w:spacing w:after="40"/>
        <w:jc w:val="center"/>
      </w:pPr>
      <w:r>
        <w:rPr>
          <w:rFonts w:ascii="Arial" w:cs="Arial" w:eastAsia="Arial" w:hAnsi="Arial"/>
          <w:color w:val="2E5984"/>
          <w:sz w:val="28"/>
          <w:szCs w:val="28"/>
        </w:rPr>
        <w:t xml:space="preserve">renquant-102: Pre-Trained Multi-Stock Scanner</w:t>
      </w:r>
    </w:p>
    <w:p>
      <w:pPr>
        <w:spacing w:after="400"/>
        <w:jc w:val="center"/>
      </w:pPr>
      <w:r>
        <w:rPr>
          <w:rFonts w:ascii="Arial" w:cs="Arial" w:eastAsia="Arial" w:hAnsi="Arial"/>
          <w:color w:val="666666"/>
          <w:sz w:val="22"/>
          <w:szCs w:val="22"/>
        </w:rPr>
        <w:t xml:space="preserve">March 29, 2026</w:t>
      </w:r>
    </w:p>
    <w:p>
      <w:pPr>
        <w:pStyle w:val="Heading1"/>
      </w:pPr>
      <w:r>
        <w:t xml:space="preserve">Executive Summary</w:t>
      </w:r>
    </w:p>
    <w:p>
      <w:pPr>
        <w:spacing w:after="120"/>
      </w:pPr>
      <w:r>
        <w:t xml:space="preserve">The renquant-102 strategy implements a three-stage pipeline (DETECT → CONFIRM → EXECUTE) that scans 19 stocks for volume z-score spikes, confirms signals with per-symbol pre-trained models, and manages up to 3 concurrent positions. The architecture is well-designed and the codebase demonstrates strong engineering discipline—JSON-only model artifacts, strict decoupling between research and execution, and comprehensive tax-aware tracking.</w:t>
      </w:r>
    </w:p>
    <w:p>
      <w:pPr>
        <w:spacing w:after="120"/>
      </w:pPr>
      <w:r>
        <w:rPr>
          <w:b/>
          <w:bCs/>
        </w:rPr>
        <w:t xml:space="preserve">However, a critical issue exists: the latest LEAN backtest (2024-01-01 to 2026-03-26) executed zero trades </w:t>
      </w:r>
      <w:r>
        <w:t xml:space="preserve">despite loading 19 active models and performing 560 volume scans. The strategy sat in 100% cash for the entire period, generating no returns. This is the result of multiple compounding filter issues that must be addressed before the strategy can be considered operational.</w:t>
      </w:r>
    </w:p>
    <w:p>
      <w:pPr>
        <w:pStyle w:val="Heading1"/>
      </w:pPr>
      <w:r>
        <w:t xml:space="preserve">Critical Finding: Zero-Trade Backtest</w:t>
      </w:r>
    </w:p>
    <w:p>
      <w:pPr>
        <w:spacing w:after="120"/>
      </w:pPr>
      <w:r>
        <w:t xml:space="preserve">The most recent LEAN backtest completed with the following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Orders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0</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Net Profit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0000"/>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Models Loaded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of 19 watchlist symbols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Volume Scans Performed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560 (every trading day)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Request Failures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74% (26 of 35 requests failed)</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Buy Decisions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 Decisions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pPr>
        <w:spacing w:after="200"/>
      </w:pPr>
    </w:p>
    <w:p>
      <w:pPr>
        <w:pStyle w:val="Heading1"/>
      </w:pPr>
      <w:r>
        <w:t xml:space="preserve">Root Cause Analysis</w:t>
      </w:r>
    </w:p>
    <w:p>
      <w:pPr>
        <w:spacing w:after="120"/>
      </w:pPr>
      <w:r>
        <w:t xml:space="preserve">The zero-trade outcome results from three compounding issues that form a cascading filter chain, each reducing the probability of a trade to near zero.</w:t>
      </w:r>
    </w:p>
    <w:p>
      <w:pPr>
        <w:pStyle w:val="Heading2"/>
      </w:pPr>
      <w:r>
        <w:t xml:space="preserve">1. LEAN Data Availability Gap</w:t>
      </w:r>
    </w:p>
    <w:p>
      <w:pPr>
        <w:spacing w:after="120"/>
      </w:pPr>
      <w:r>
        <w:t xml:space="preserve">The most severe issue: 74% of LEAN data requests failed. The failed symbols include CRM, UNH, SHOP, UBER, COIN, PLTR, JPM, XOM, CAT, BA, XLE, XLF, and ARKK—representing 13 of the 19 watchlist stocks. These symbols lack LEAN-compatible daily data files on disk. While the models loaded successfully (they’re JSON files read at initialization), the History() calls in OnData() returned empty DataFrames for these symbols, making the volume z-score computation return 0.0 and the feature builder return None.</w:t>
      </w:r>
    </w:p>
    <w:p>
      <w:pPr>
        <w:spacing w:after="120"/>
      </w:pPr>
      <w:r>
        <w:t xml:space="preserve">This means only ~6 symbols (TSLA, AMZN, GOOG, MSFT, AMD, NFLX) had data available during the backtest, dramatically reducing the scanning universe.</w:t>
      </w:r>
    </w:p>
    <w:p>
      <w:pPr>
        <w:pStyle w:val="Heading2"/>
      </w:pPr>
      <w:r>
        <w:t xml:space="preserve">2. Overly Restrictive Volume Filter</w:t>
      </w:r>
    </w:p>
    <w:p>
      <w:pPr>
        <w:spacing w:after="120"/>
      </w:pPr>
      <w:r>
        <w:t xml:space="preserve">The DETECT stage requires a volume z-score ≥ 2.0 (top ~2.3% of days by statistical convention) AND a bullish close (today’s close &gt; yesterday’s close). For the ~6 symbols with data, this dual filter likely produced zero qualifying scan days across the entire 2+ year backtest period. A z-score of 2.0 on a 15-day lookback is an extremely high bar for large-cap, liquid names like MSFT and GOOG where daily volume is relatively stable.</w:t>
      </w:r>
    </w:p>
    <w:p>
      <w:pPr>
        <w:pStyle w:val="Heading2"/>
      </w:pPr>
      <w:r>
        <w:t xml:space="preserve">3. Model Confirmation Gate</w:t>
      </w:r>
    </w:p>
    <w:p>
      <w:pPr>
        <w:spacing w:after="120"/>
      </w:pPr>
      <w:r>
        <w:t xml:space="preserve">Even if a volume spike passed the DETECT filter, the model must also output “buy” for the trade to execute. The classification models use a buy threshold of 0.1 (the BagLearner average prediction must exceed 0.1), which is not inherently restrictive—but when stacked on top of the two prior gates, it becomes a third multiplicative filter that ensures near-zero trade probability.</w:t>
      </w:r>
    </w:p>
    <w:p>
      <w:r>
        <w:br w:type="page"/>
      </w:r>
    </w:p>
    <w:p>
      <w:pPr>
        <w:pStyle w:val="Heading1"/>
      </w:pPr>
      <w:r>
        <w:t xml:space="preserve">Architecture Review</w:t>
      </w:r>
    </w:p>
    <w:p>
      <w:pPr>
        <w:pStyle w:val="Heading2"/>
      </w:pPr>
      <w:r>
        <w:t xml:space="preserve">Strengths</w:t>
      </w:r>
    </w:p>
    <w:p>
      <w:pPr>
        <w:pStyle w:val="ListParagraph"/>
        <w:numPr>
          <w:ilvl w:val="0"/>
          <w:numId w:val="2"/>
        </w:numPr>
        <w:spacing w:after="80"/>
      </w:pPr>
      <w:r>
        <w:rPr>
          <w:b/>
          <w:bCs/>
        </w:rPr>
        <w:t xml:space="preserve">Clean pipeline separation. </w:t>
      </w:r>
      <w:r>
        <w:t xml:space="preserve">The DETECT → CONFIRM → EXECUTE pattern is sound and mirrors institutional systematic trading architectures. Each stage has a distinct role and can be tuned independently.</w:t>
      </w:r>
    </w:p>
    <w:p>
      <w:pPr>
        <w:pStyle w:val="ListParagraph"/>
        <w:numPr>
          <w:ilvl w:val="0"/>
          <w:numId w:val="2"/>
        </w:numPr>
        <w:spacing w:after="80"/>
      </w:pPr>
      <w:r>
        <w:rPr>
          <w:b/>
          <w:bCs/>
        </w:rPr>
        <w:t xml:space="preserve">JSON-only model artifacts. </w:t>
      </w:r>
      <w:r>
        <w:t xml:space="preserve">Avoiding pickle for model serialization is excellent practice. It ensures LEAN Docker compatibility, version transparency, and auditability of model parameters.</w:t>
      </w:r>
    </w:p>
    <w:p>
      <w:pPr>
        <w:pStyle w:val="ListParagraph"/>
        <w:numPr>
          <w:ilvl w:val="0"/>
          <w:numId w:val="2"/>
        </w:numPr>
        <w:spacing w:after="80"/>
      </w:pPr>
      <w:r>
        <w:rPr>
          <w:b/>
          <w:bCs/>
        </w:rPr>
        <w:t xml:space="preserve">Multi-model competition. </w:t>
      </w:r>
      <w:r>
        <w:t xml:space="preserve">Training three approaches per symbol (Dual Momentum, Classification/RF, Q-Learning) and selecting the best by after-tax Sharpe is a rigorous model selection framework. The Sharpe floor of 0.5 provides a reasonable quality gate.</w:t>
      </w:r>
    </w:p>
    <w:p>
      <w:pPr>
        <w:pStyle w:val="ListParagraph"/>
        <w:numPr>
          <w:ilvl w:val="0"/>
          <w:numId w:val="2"/>
        </w:numPr>
        <w:spacing w:after="80"/>
      </w:pPr>
      <w:r>
        <w:rPr>
          <w:b/>
          <w:bCs/>
        </w:rPr>
        <w:t xml:space="preserve">Tax-aware simulation. </w:t>
      </w:r>
      <w:r>
        <w:t xml:space="preserve">Incorporating short-term (50%) vs long-term (32%) tax rates into both the training selection and backtest reporting is sophisticated and reflects real trading economics.</w:t>
      </w:r>
    </w:p>
    <w:p>
      <w:pPr>
        <w:pStyle w:val="ListParagraph"/>
        <w:numPr>
          <w:ilvl w:val="0"/>
          <w:numId w:val="2"/>
        </w:numPr>
        <w:spacing w:after="80"/>
      </w:pPr>
      <w:r>
        <w:rPr>
          <w:b/>
          <w:bCs/>
        </w:rPr>
        <w:t xml:space="preserve">Comprehensive trade constraints. </w:t>
      </w:r>
      <w:r>
        <w:t xml:space="preserve">Wash sale (30d), min hold (20d), and max hold (400d) constraints are well-implemented and mirror actual regulatory/practical requirements.</w:t>
      </w:r>
    </w:p>
    <w:p>
      <w:pPr>
        <w:pStyle w:val="ListParagraph"/>
        <w:numPr>
          <w:ilvl w:val="0"/>
          <w:numId w:val="2"/>
        </w:numPr>
        <w:spacing w:after="80"/>
      </w:pPr>
      <w:r>
        <w:rPr>
          <w:b/>
          <w:bCs/>
        </w:rPr>
        <w:t xml:space="preserve">Relative features vs SPY. </w:t>
      </w:r>
      <w:r>
        <w:t xml:space="preserve">Computing ratio-based (RSI, ADX) and difference-based (MACD, CCI, BBP) features relative to SPY is a strong approach for capturing alpha that is uncorrelated with the broader market.</w:t>
      </w:r>
    </w:p>
    <w:p>
      <w:pPr>
        <w:pStyle w:val="Heading2"/>
      </w:pPr>
      <w:r>
        <w:t xml:space="preserve">Weaknesses</w:t>
      </w:r>
    </w:p>
    <w:p>
      <w:pPr>
        <w:pStyle w:val="ListParagraph"/>
        <w:numPr>
          <w:ilvl w:val="0"/>
          <w:numId w:val="2"/>
        </w:numPr>
        <w:spacing w:after="80"/>
      </w:pPr>
      <w:r>
        <w:rPr>
          <w:b/>
          <w:bCs/>
        </w:rPr>
        <w:t xml:space="preserve">Research-backtest data divergence. </w:t>
      </w:r>
      <w:r>
        <w:t xml:space="preserve">The notebook uses yfinance for training (works for all 19+ symbols), but LEAN’s backtester uses its own data provider which lacks 13 of 19 watchlist symbols. This is the single biggest operational gap: the strategy was validated in research against data it cannot access in production backtesting.</w:t>
      </w:r>
    </w:p>
    <w:p>
      <w:pPr>
        <w:pStyle w:val="ListParagraph"/>
        <w:numPr>
          <w:ilvl w:val="0"/>
          <w:numId w:val="2"/>
        </w:numPr>
        <w:spacing w:after="80"/>
      </w:pPr>
      <w:r>
        <w:rPr>
          <w:b/>
          <w:bCs/>
        </w:rPr>
        <w:t xml:space="preserve">No walk-forward validation. </w:t>
      </w:r>
      <w:r>
        <w:t xml:space="preserve">Models are trained on a 2-year rolling window and immediately exported. There is no held-out test period or walk-forward split. The reported Sharpe ratios are in-sample metrics, which are likely to be significantly overstated.</w:t>
      </w:r>
    </w:p>
    <w:p>
      <w:pPr>
        <w:pStyle w:val="ListParagraph"/>
        <w:numPr>
          <w:ilvl w:val="0"/>
          <w:numId w:val="2"/>
        </w:numPr>
        <w:spacing w:after="80"/>
      </w:pPr>
      <w:r>
        <w:rPr>
          <w:b/>
          <w:bCs/>
        </w:rPr>
        <w:t xml:space="preserve">Model staleness at 30 days. </w:t>
      </w:r>
      <w:r>
        <w:t xml:space="preserve">The model_staleness_days=30 parameter means models expire monthly. This is extremely tight for models trained on 2-year windows—the market regime doesn’t change fundamentally every 30 days. This creates operational overhead and a risk of the system going dark if retraining is delayed.</w:t>
      </w:r>
    </w:p>
    <w:p>
      <w:pPr>
        <w:pStyle w:val="ListParagraph"/>
        <w:numPr>
          <w:ilvl w:val="0"/>
          <w:numId w:val="2"/>
        </w:numPr>
        <w:spacing w:after="80"/>
      </w:pPr>
      <w:r>
        <w:rPr>
          <w:b/>
          <w:bCs/>
        </w:rPr>
        <w:t xml:space="preserve">No stop-loss or risk management. </w:t>
      </w:r>
      <w:r>
        <w:t xml:space="preserve">There is no drawdown protection at the position or portfolio level. A position can lose 50%+ and the only exit mechanism is the model’s sell signal or the 400-day max hold. This is a significant risk for a multi-stock portfolio.</w:t>
      </w:r>
    </w:p>
    <w:p>
      <w:pPr>
        <w:pStyle w:val="ListParagraph"/>
        <w:numPr>
          <w:ilvl w:val="0"/>
          <w:numId w:val="2"/>
        </w:numPr>
        <w:spacing w:after="80"/>
      </w:pPr>
      <w:r>
        <w:rPr>
          <w:b/>
          <w:bCs/>
        </w:rPr>
        <w:t xml:space="preserve">Watchlist vs models mismatch. </w:t>
      </w:r>
      <w:r>
        <w:t xml:space="preserve">The models directory contains 30 trained symbols (including AAPL, NVDA, META, HD, LLY, QQQ, etc.), but the watchlist in strategy_config.json only includes 19. This suggests manual curation has drifted from the training pipeline. Several exported models (BA: Sharpe 0.39, NVDA: 0.34, SMH: 0.31) fall below the stated 0.5 Sharpe floor.</w:t>
      </w:r>
    </w:p>
    <w:p>
      <w:r>
        <w:br w:type="page"/>
      </w:r>
    </w:p>
    <w:p>
      <w:pPr>
        <w:pStyle w:val="Heading1"/>
      </w:pPr>
      <w:r>
        <w:t xml:space="preserve">Model Quality Assessment</w:t>
      </w:r>
    </w:p>
    <w:p>
      <w:pPr>
        <w:spacing w:after="120"/>
      </w:pPr>
      <w:r>
        <w:t xml:space="preserve">The model portfolio breaks down as follows across the 30 trained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Sharpe Range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(RF)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0.31 – 1.82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In-sample Sharpe; no OOS validation</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Manual (Rules)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0.17 – 1.29</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 at 0.17 is below any useful floor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Q-Learning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0.38 – 1.33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space explosion risk (5^n × 3 states)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FQI / Optimization</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Available but unused in this strategy</w:t>
            </w:r>
          </w:p>
        </w:tc>
      </w:tr>
    </w:tbl>
    <w:p>
      <w:pPr>
        <w:spacing w:after="200"/>
      </w:pPr>
    </w:p>
    <w:p>
      <w:pPr>
        <w:spacing w:after="120"/>
      </w:pPr>
      <w:r>
        <w:rPr>
          <w:b/>
          <w:bCs/>
        </w:rPr>
        <w:t xml:space="preserve">Key concern: </w:t>
      </w:r>
      <w:r>
        <w:t xml:space="preserve">The Sharpe ratios reported are in-sample. For a BagLearner(RTLearner) with 15 bags and leaf_size=25 trained on ~500 data points (2 years of daily data), overfitting is a serious risk. Academic literature suggests that in-sample Sharpe ratios for tree-based models commonly degrade 40–70% out-of-sample. A reported in-sample Sharpe of 0.55 may realistically be 0.15–0.35 out-of-sample—which is not tradeable.</w:t>
      </w:r>
    </w:p>
    <w:p>
      <w:pPr>
        <w:pStyle w:val="Heading2"/>
      </w:pPr>
      <w:r>
        <w:t xml:space="preserve">Q-Learning State Space Issue</w:t>
      </w:r>
    </w:p>
    <w:p>
      <w:pPr>
        <w:spacing w:after="120"/>
      </w:pPr>
      <w:r>
        <w:t xml:space="preserve">The Q-Learning models use 3 features (trend, rel_mom_20d, macd_hist) with 5 bins each, plus a 3-state holding flag, yielding 5³ × 3 = 375 states. With only ~500 training samples, many state-action pairs will have zero or very few visits, leading to a poorly estimated Q-table. The model may appear to have reasonable Sharpe in-sample simply because it memorized the training set rather than learning generalizable policy.</w:t>
      </w:r>
    </w:p>
    <w:p>
      <w:r>
        <w:br w:type="page"/>
      </w:r>
    </w:p>
    <w:p>
      <w:pPr>
        <w:pStyle w:val="Heading1"/>
      </w:pPr>
      <w:r>
        <w:t xml:space="preserve">Recommendations</w:t>
      </w:r>
    </w:p>
    <w:p>
      <w:pPr>
        <w:pStyle w:val="Heading2"/>
      </w:pPr>
      <w:r>
        <w:t xml:space="preserve">Priority 1: Fix the Data Pipeline (Immediate)</w:t>
      </w:r>
    </w:p>
    <w:p>
      <w:pPr>
        <w:pStyle w:val="ListParagraph"/>
        <w:numPr>
          <w:ilvl w:val="0"/>
          <w:numId w:val="3"/>
        </w:numPr>
        <w:spacing w:after="80"/>
      </w:pPr>
      <w:r>
        <w:rPr>
          <w:b/>
          <w:bCs/>
        </w:rPr>
        <w:t xml:space="preserve">Export LEAN-compatible data for all watchlist symbols. </w:t>
      </w:r>
      <w:r>
        <w:t xml:space="preserve">Use scripts/export_lean_data.py to download and convert yfinance data to LEAN’s expected format (equity/usa/daily/{symbol}.zip). This is the single most impactful fix—without data, the strategy cannot trade.</w:t>
      </w:r>
    </w:p>
    <w:p>
      <w:pPr>
        <w:pStyle w:val="ListParagraph"/>
        <w:numPr>
          <w:ilvl w:val="0"/>
          <w:numId w:val="3"/>
        </w:numPr>
        <w:spacing w:after="80"/>
      </w:pPr>
      <w:r>
        <w:rPr>
          <w:b/>
          <w:bCs/>
        </w:rPr>
        <w:t xml:space="preserve">Lower the volume z-score threshold to 1.0–1.5. </w:t>
      </w:r>
      <w:r>
        <w:t xml:space="preserve">A threshold of 2.0 filters out ~97.7% of days. For liquid large-caps like MSFT and GOOG, volume variation is low and a z-score of 2.0 may never trigger. Start at 1.0 (top ~16% of days) and tune upward based on signal quality.</w:t>
      </w:r>
    </w:p>
    <w:p>
      <w:pPr>
        <w:pStyle w:val="ListParagraph"/>
        <w:numPr>
          <w:ilvl w:val="0"/>
          <w:numId w:val="3"/>
        </w:numPr>
        <w:spacing w:after="80"/>
      </w:pPr>
      <w:r>
        <w:rPr>
          <w:b/>
          <w:bCs/>
        </w:rPr>
        <w:t xml:space="preserve">Consider relaxing or removing the bullish-close filter. </w:t>
      </w:r>
      <w:r>
        <w:t xml:space="preserve">Requiring both a volume spike AND an up-close day is a very narrow condition. Volume spikes on down days can also be institutional accumulation. Let the model’s CONFIRM stage handle the directional assessment.</w:t>
      </w:r>
    </w:p>
    <w:p>
      <w:pPr>
        <w:pStyle w:val="Heading2"/>
      </w:pPr>
      <w:r>
        <w:t xml:space="preserve">Priority 2: Improve Model Validation (Short-term)</w:t>
      </w:r>
    </w:p>
    <w:p>
      <w:pPr>
        <w:pStyle w:val="ListParagraph"/>
        <w:numPr>
          <w:ilvl w:val="0"/>
          <w:numId w:val="3"/>
        </w:numPr>
        <w:spacing w:after="80"/>
      </w:pPr>
      <w:r>
        <w:rPr>
          <w:b/>
          <w:bCs/>
        </w:rPr>
        <w:t xml:space="preserve">Implement walk-forward cross-validation. </w:t>
      </w:r>
      <w:r>
        <w:t xml:space="preserve">Split the 2-year window into train (first 70%) and test (last 30%). Only report and use test-set Sharpe for model selection. This is the standard for any systematic strategy and will immediately reveal which models have real predictive power vs. overfit noise.</w:t>
      </w:r>
    </w:p>
    <w:p>
      <w:pPr>
        <w:pStyle w:val="ListParagraph"/>
        <w:numPr>
          <w:ilvl w:val="0"/>
          <w:numId w:val="3"/>
        </w:numPr>
        <w:spacing w:after="80"/>
      </w:pPr>
      <w:r>
        <w:rPr>
          <w:b/>
          <w:bCs/>
        </w:rPr>
        <w:t xml:space="preserve">Raise the Sharpe floor for export. </w:t>
      </w:r>
      <w:r>
        <w:t xml:space="preserve">Once you have out-of-sample Sharpe, raise the export threshold to 0.5 OOS (vs the current 0.5 in-sample). Remove models currently below the floor: BA (0.39), NVDA (0.34), SMH (0.31), XYZ (0.26), XLK (0.28), META (0.17), SNOW (0.31). Trading with weak models dilutes capital allocation.</w:t>
      </w:r>
    </w:p>
    <w:p>
      <w:pPr>
        <w:pStyle w:val="ListParagraph"/>
        <w:numPr>
          <w:ilvl w:val="0"/>
          <w:numId w:val="3"/>
        </w:numPr>
        <w:spacing w:after="80"/>
      </w:pPr>
      <w:r>
        <w:rPr>
          <w:b/>
          <w:bCs/>
        </w:rPr>
        <w:t xml:space="preserve">Increase model_staleness_days to 90–180 days. </w:t>
      </w:r>
      <w:r>
        <w:t xml:space="preserve">Models trained on 2 years of data capture medium-term regime characteristics. A 30-day expiry is operationally burdensome and not justified by the training window length. Set to 90–180 days and add a scheduled retraining pipeline.</w:t>
      </w:r>
    </w:p>
    <w:p>
      <w:pPr>
        <w:pStyle w:val="Heading2"/>
      </w:pPr>
      <w:r>
        <w:t xml:space="preserve">Priority 3: Add Risk Management (Medium-term)</w:t>
      </w:r>
    </w:p>
    <w:p>
      <w:pPr>
        <w:pStyle w:val="ListParagraph"/>
        <w:numPr>
          <w:ilvl w:val="0"/>
          <w:numId w:val="3"/>
        </w:numPr>
        <w:spacing w:after="80"/>
      </w:pPr>
      <w:r>
        <w:rPr>
          <w:b/>
          <w:bCs/>
        </w:rPr>
        <w:t xml:space="preserve">Implement position-level stop-losses. </w:t>
      </w:r>
      <w:r>
        <w:t xml:space="preserve">Add a trailing stop (e.g., 2× ATR from entry, or a fixed 10–15% max loss) to each position. This protects against regime changes and black swan events that the model wasn’t trained on. The current 400-day max hold allows unlimited downside.</w:t>
      </w:r>
    </w:p>
    <w:p>
      <w:pPr>
        <w:pStyle w:val="ListParagraph"/>
        <w:numPr>
          <w:ilvl w:val="0"/>
          <w:numId w:val="3"/>
        </w:numPr>
        <w:spacing w:after="80"/>
      </w:pPr>
      <w:r>
        <w:rPr>
          <w:b/>
          <w:bCs/>
        </w:rPr>
        <w:t xml:space="preserve">Add portfolio-level drawdown circuit breaker. </w:t>
      </w:r>
      <w:r>
        <w:t xml:space="preserve">If portfolio drawdown exceeds 15–20%, halt all new entries and gradually unwind positions. This prevents a concentrated loss scenario across correlated positions (e.g., all three slots in tech during a sector rotation).</w:t>
      </w:r>
    </w:p>
    <w:p>
      <w:pPr>
        <w:pStyle w:val="ListParagraph"/>
        <w:numPr>
          <w:ilvl w:val="0"/>
          <w:numId w:val="3"/>
        </w:numPr>
        <w:spacing w:after="80"/>
      </w:pPr>
      <w:r>
        <w:rPr>
          <w:b/>
          <w:bCs/>
        </w:rPr>
        <w:t xml:space="preserve">Add position-level max drawdown tracking. </w:t>
      </w:r>
      <w:r>
        <w:t xml:space="preserve">Track the maximum adverse excursion (MAE) for each trade. This data will help calibrate stop-loss levels and identify which model types produce trades with favorable reward-to-risk profiles.</w:t>
      </w:r>
    </w:p>
    <w:p>
      <w:pPr>
        <w:pStyle w:val="Heading2"/>
      </w:pPr>
      <w:r>
        <w:t xml:space="preserve">Priority 4: Strategic Enhancements (Long-term)</w:t>
      </w:r>
    </w:p>
    <w:p>
      <w:pPr>
        <w:pStyle w:val="ListParagraph"/>
        <w:numPr>
          <w:ilvl w:val="0"/>
          <w:numId w:val="3"/>
        </w:numPr>
        <w:spacing w:after="80"/>
      </w:pPr>
      <w:r>
        <w:rPr>
          <w:b/>
          <w:bCs/>
        </w:rPr>
        <w:t xml:space="preserve">Add sector/correlation constraints. </w:t>
      </w:r>
      <w:r>
        <w:t xml:space="preserve">The current watchlist has heavy tech concentration (TSLA, AMZN, GOOG, MSFT, AMD, NFLX, PLTR, SHOP, CRM, COIN). With max 3 concurrent positions, all three could easily be correlated tech names. Add a sector diversification rule: max 2 positions in the same GICS sector.</w:t>
      </w:r>
    </w:p>
    <w:p>
      <w:pPr>
        <w:pStyle w:val="ListParagraph"/>
        <w:numPr>
          <w:ilvl w:val="0"/>
          <w:numId w:val="3"/>
        </w:numPr>
        <w:spacing w:after="80"/>
      </w:pPr>
      <w:r>
        <w:rPr>
          <w:b/>
          <w:bCs/>
        </w:rPr>
        <w:t xml:space="preserve">Add regime detection. </w:t>
      </w:r>
      <w:r>
        <w:t xml:space="preserve">The volume z-score scanner is regime-agnostic. In bear markets or high-volatility regimes, volume spikes often signal panic selling, not institutional buying. Add a regime filter (e.g., SPY above/below 200-day SMA, or VIX threshold) to reduce entries during unfavorable market conditions.</w:t>
      </w:r>
    </w:p>
    <w:p>
      <w:pPr>
        <w:pStyle w:val="ListParagraph"/>
        <w:numPr>
          <w:ilvl w:val="0"/>
          <w:numId w:val="3"/>
        </w:numPr>
        <w:spacing w:after="80"/>
      </w:pPr>
      <w:r>
        <w:rPr>
          <w:b/>
          <w:bCs/>
        </w:rPr>
        <w:t xml:space="preserve">Consider the FQI model type. </w:t>
      </w:r>
      <w:r>
        <w:t xml:space="preserve">Your codebase includes FQIModel (Fitted Q-Iteration with XGBoost) which handles continuous state spaces without discretization. This would eliminate the Q-Learning state-space problem while retaining the RL framework. It may perform better for the stocks currently assigned to Q-Learning (ARKK, GOOG, LLY, XLE).</w:t>
      </w:r>
    </w:p>
    <w:p>
      <w:pPr>
        <w:pStyle w:val="ListParagraph"/>
        <w:numPr>
          <w:ilvl w:val="0"/>
          <w:numId w:val="3"/>
        </w:numPr>
        <w:spacing w:after="80"/>
      </w:pPr>
      <w:r>
        <w:rPr>
          <w:b/>
          <w:bCs/>
        </w:rPr>
        <w:t xml:space="preserve">Live runner needs multi-stock parity. </w:t>
      </w:r>
      <w:r>
        <w:t xml:space="preserve">The live runner’s _load_strategy_multi() attempts to load models using a naming convention (model_name-SYMBOL) that doesn’t match how the notebook exports models (each symbol in its own directory with {SYMBOL}-policy-metadata.json). Verify this code path works end-to-end before deploying live, or the runner will fail to load any models.</w:t>
      </w:r>
    </w:p>
    <w:p>
      <w:r>
        <w:br w:type="page"/>
      </w:r>
    </w:p>
    <w:p>
      <w:pPr>
        <w:pStyle w:val="Heading1"/>
      </w:pPr>
      <w:r>
        <w:t xml:space="preserve">Implementation Checklist</w:t>
      </w:r>
    </w:p>
    <w:p>
      <w:pPr>
        <w:spacing w:after="120"/>
      </w:pPr>
      <w:r>
        <w:t xml:space="preserve">Below is the suggested order of work to make renquant-102 operational and robust.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800"/>
        <w:gridCol w:w="1440"/>
        <w:gridCol w:w="2400"/>
      </w:tblGrid>
      <w:tr>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export_lean_data.py for all 19 watchlist symbols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backtesting</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Lower volume_zscore_threshold to 1.0–1.5</w:t>
            </w:r>
          </w:p>
        </w:tc>
        <w:tc>
          <w:tcPr>
            <w:tcW w:type="dxa" w:w="1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Enables trade generation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or soften the bullish-close filter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Doubles scan hit rate</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Re-run LEAN backtest and verify trades occur</w:t>
            </w:r>
          </w:p>
        </w:tc>
        <w:tc>
          <w:tcPr>
            <w:tcW w:type="dxa" w:w="1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Validates fixes 1–3</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walk-forward train/test split to notebook</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Honest Sharpe estimates</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 sub-0.5 OOS Sharpe models</w:t>
            </w:r>
          </w:p>
        </w:tc>
        <w:tc>
          <w:tcPr>
            <w:tcW w:type="dxa" w:w="1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7700"/>
                <w:sz w:val="20"/>
                <w:szCs w:val="20"/>
              </w:rPr>
              <w:t xml:space="preserve">P1</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Capital allocation quality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model_staleness_days to 90–180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operational burden</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 trailing stop-loss per position</w:t>
            </w:r>
          </w:p>
        </w:tc>
        <w:tc>
          <w:tcPr>
            <w:tcW w:type="dxa" w:w="1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5984"/>
                <w:sz w:val="20"/>
                <w:szCs w:val="20"/>
              </w:rPr>
              <w:t xml:space="preserve">P2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Downside protection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portfolio drawdown circuit breaker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984"/>
                <w:sz w:val="20"/>
                <w:szCs w:val="20"/>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 risk protection</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 sector diversification constraint</w:t>
            </w:r>
          </w:p>
        </w:tc>
        <w:tc>
          <w:tcPr>
            <w:tcW w:type="dxa" w:w="1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5984"/>
                <w:sz w:val="20"/>
                <w:szCs w:val="20"/>
              </w:rPr>
              <w:t xml:space="preserve">P3</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Concentration risk</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regime filter (SPY trend / VIX)</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984"/>
                <w:sz w:val="20"/>
                <w:szCs w:val="20"/>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 market protection</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Fix live runner multi-stock model loading</w:t>
            </w:r>
          </w:p>
        </w:tc>
        <w:tc>
          <w:tcPr>
            <w:tcW w:type="dxa" w:w="1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7700"/>
                <w:sz w:val="20"/>
                <w:szCs w:val="20"/>
              </w:rPr>
              <w:t xml:space="preserve">P1</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Live deployment readiness</w:t>
            </w:r>
          </w:p>
        </w:tc>
      </w:tr>
    </w:tbl>
    <w:p>
      <w:pPr>
        <w:spacing w:after="200"/>
      </w:pPr>
    </w:p>
    <w:p>
      <w:pPr>
        <w:pStyle w:val="Heading1"/>
      </w:pPr>
      <w:r>
        <w:t xml:space="preserve">Conclusion</w:t>
      </w:r>
    </w:p>
    <w:p>
      <w:pPr>
        <w:spacing w:after="120"/>
      </w:pPr>
      <w:r>
        <w:t xml:space="preserve">The renquant-102 strategy has strong architectural foundations—the three-stage pipeline, multi-model competition, and tax-aware simulation are all well-conceived. The codebase quality is high, with clean separation of concerns between the research notebook, LEAN backtester, and live runner.</w:t>
      </w:r>
    </w:p>
    <w:p>
      <w:pPr>
        <w:spacing w:after="120"/>
      </w:pPr>
      <w:r>
        <w:t xml:space="preserve">The immediate problem is operational: a data pipeline mismatch and overly restrictive filters have rendered the strategy inert. These are fixable issues (Priority 0 items above), and once resolved, the strategy should begin generating trades that can be evaluated on their merits.</w:t>
      </w:r>
    </w:p>
    <w:p>
      <w:pPr>
        <w:spacing w:after="120"/>
      </w:pPr>
      <w:r>
        <w:t xml:space="preserve">The deeper concern is model validation. Without out-of-sample testing, the reported Sharpe ratios are unreliable. Adding walk-forward validation will likely cause several models to fall below the quality threshold, reducing the active universe—but this is a feature, not a bug. A smaller set of genuinely predictive models will outperform a larger set of overfit ones.</w:t>
      </w:r>
    </w:p>
    <w:p>
      <w:pPr>
        <w:spacing w:after="120"/>
      </w:pPr>
      <w:r>
        <w:t xml:space="preserve">The strategy is not yet ready for live capital deployment, but the path from here to a robust, tradeable system is clear and achievable with the prioritized checklist above.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color w:val="999999"/>
        <w:sz w:val="18"/>
        <w:szCs w:val="18"/>
      </w:rPr>
      <w:t xml:space="preserve">RenQuant Strategy Evaluation</w:t>
    </w:r>
    <w:r>
      <w:rPr>
        <w:rFonts w:ascii="Arial" w:cs="Arial" w:eastAsia="Arial" w:hAnsi="Arial"/>
        <w:i/>
        <w:iCs/>
        <w:color w:val="999999"/>
        <w:sz w:val="18"/>
        <w:szCs w:val="18"/>
      </w:rPr>
      <w:t xml:space="preserve">	renquant-102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2026-03-29T18:35:18.414Z</dcterms:created>
  <dcterms:modified xsi:type="dcterms:W3CDTF">2026-03-29T18:35:18.414Z</dcterms:modified>
</cp:coreProperties>
</file>

<file path=docProps/custom.xml><?xml version="1.0" encoding="utf-8"?>
<Properties xmlns="http://schemas.openxmlformats.org/officeDocument/2006/custom-properties" xmlns:vt="http://schemas.openxmlformats.org/officeDocument/2006/docPropsVTypes"/>
</file>