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IN THE CIRCUIT COURT OF THE STATE OF OREGON</w:t>
        <w:br/>
        <w:t>FOR THE COUNTY OF CLACKAMAS</w:t>
        <w:br/>
        <w:t>In re Jane Cortez</w:t>
        <w:br/>
        <w:t>Case No.:</w:t>
        <w:br/>
        <w:t>Memorandum of Law in Support of Motion to Demur with regards to ORS 163.472 Being an Unconstitutional Speech Statute.</w:t>
      </w:r>
    </w:p>
    <w:p>
      <w:pPr>
        <w:pStyle w:val="BodyText"/>
        <w:bidi w:val="0"/>
        <w:spacing w:before="0" w:after="283"/>
        <w:jc w:val="start"/>
        <w:rPr/>
      </w:pPr>
      <w:r>
        <w:rPr/>
        <w:t>FRONT-END SCREENING NOTE REGARDING RELEVANCE OF ORS 163.472</w:t>
      </w:r>
    </w:p>
    <w:p>
      <w:pPr>
        <w:pStyle w:val="BodyText"/>
        <w:bidi w:val="0"/>
        <w:spacing w:before="0" w:after="283"/>
        <w:jc w:val="start"/>
        <w:rPr/>
      </w:pPr>
      <w:r>
        <w:rPr/>
        <w:t>This memorandum includes a longer constitutional argument, but the Court need not reach that argument unless the Court first answers a threshold relevance question.</w:t>
      </w:r>
    </w:p>
    <w:p>
      <w:pPr>
        <w:pStyle w:val="BodyText"/>
        <w:bidi w:val="0"/>
        <w:spacing w:before="0" w:after="283"/>
        <w:jc w:val="start"/>
        <w:rPr/>
      </w:pPr>
      <w:r>
        <w:rPr/>
        <w:t>PASS / NO-PASS GATE</w:t>
      </w:r>
    </w:p>
    <w:p>
      <w:pPr>
        <w:pStyle w:val="BodyText"/>
        <w:bidi w:val="0"/>
        <w:spacing w:before="0" w:after="283"/>
        <w:jc w:val="start"/>
        <w:rPr/>
      </w:pPr>
      <w:r>
        <w:rPr/>
        <w:t>1. NO-PASS: If the Court is not being asked to treat any old ORS 163.472 conviction as dispositive of Benjamin Barber's present rights, credibility, or legal position in this probate matter, then the Court need not reach the constitutionality of ORS 163.472 at all, and may set this memorandum aside as unnecessary to current probate adjudication.</w:t>
      </w:r>
    </w:p>
    <w:p>
      <w:pPr>
        <w:pStyle w:val="BodyText"/>
        <w:bidi w:val="0"/>
        <w:spacing w:before="0" w:after="283"/>
        <w:jc w:val="start"/>
        <w:rPr/>
      </w:pPr>
      <w:r>
        <w:rPr/>
        <w:t>2. PASS: If the Court is being asked to treat an old ORS 163.472 conviction as if it forecloses Benjamin Barber from making any forward-looking constitutional argument, or as if it resolves current probate merits by implication, then the constitutional issue becomes relevant and the Court should consider the threshold authority below.</w:t>
      </w:r>
    </w:p>
    <w:p>
      <w:pPr>
        <w:pStyle w:val="BodyText"/>
        <w:bidi w:val="0"/>
        <w:spacing w:before="0" w:after="283"/>
        <w:jc w:val="start"/>
        <w:rPr/>
      </w:pPr>
      <w:r>
        <w:rPr/>
        <w:t>THRESHOLD AUTHORITY</w:t>
      </w:r>
    </w:p>
    <w:p>
      <w:pPr>
        <w:pStyle w:val="BodyText"/>
        <w:bidi w:val="0"/>
        <w:spacing w:before="0" w:after="283"/>
        <w:jc w:val="start"/>
        <w:rPr/>
      </w:pPr>
      <w:r>
        <w:rPr/>
        <w:t>An old conviction does not itself bar a purely prospective constitutional challenge to future enforcement of a statute. In Olivier v. City of Brandon, Mississippi, No. 24-993, 607 U.S. ___ (Mar. 20, 2026), the Supreme Court held that Heck v. Humphrey does not bar a suit seeking wholly prospective relief against future enforcement, even when the plaintiff was previously convicted under the challenged law.</w:t>
      </w:r>
    </w:p>
    <w:p>
      <w:pPr>
        <w:pStyle w:val="BodyText"/>
        <w:bidi w:val="0"/>
        <w:spacing w:before="0" w:after="283"/>
        <w:jc w:val="start"/>
        <w:rPr/>
      </w:pPr>
      <w:r>
        <w:rPr/>
        <w:t>Accordingly, if the Court concludes that the ORS 163.472 issue is actually relevant here, Benjamin Barber respectfully requests either:</w:t>
      </w:r>
    </w:p>
    <w:p>
      <w:pPr>
        <w:pStyle w:val="BodyText"/>
        <w:bidi w:val="0"/>
        <w:spacing w:before="0" w:after="283"/>
        <w:jc w:val="start"/>
        <w:rPr/>
      </w:pPr>
      <w:r>
        <w:rPr/>
        <w:t>- a ruling that the old conviction does not itself foreclose forward-looking constitutional argument; or</w:t>
        <w:br/>
        <w:t>- leave to provide a separate, orderly merits memorandum specifically addressing the constitutionality of ORS 163.472 for the Court's consideration.</w:t>
      </w:r>
    </w:p>
    <w:p>
      <w:pPr>
        <w:pStyle w:val="BodyText"/>
        <w:bidi w:val="0"/>
        <w:spacing w:before="0" w:after="283"/>
        <w:jc w:val="start"/>
        <w:rPr/>
      </w:pPr>
      <w:r>
        <w:rPr/>
        <w:t>Table of Contents</w:t>
        <w:br/>
        <w:t>1</w:t>
        <w:br/>
        <w:t>1</w:t>
        <w:br/>
        <w:t>3</w:t>
        <w:br/>
        <w:t>5</w:t>
        <w:br/>
        <w:t>7</w:t>
        <w:br/>
        <w:t>8</w:t>
        <w:br/>
        <w:t>16</w:t>
        <w:br/>
        <w:t>25</w:t>
        <w:br/>
        <w:t>29</w:t>
        <w:br/>
        <w:t>30</w:t>
        <w:br/>
        <w:t>32</w:t>
        <w:br/>
        <w:t>33</w:t>
        <w:br/>
        <w:t>34</w:t>
        <w:br/>
        <w:t>Table of Contents</w:t>
        <w:br/>
        <w:t>Table of Authorities</w:t>
        <w:br/>
        <w:t>ORS 163.472 Unlawful Dissemination of an Intimate Image</w:t>
        <w:br/>
        <w:t>Standards of Review</w:t>
        <w:br/>
        <w:t>Freedom of SpeechContent Based Restrictions of Speech</w:t>
        <w:br/>
        <w:t>Copyright Preemption</w:t>
        <w:br/>
        <w:t>Communications Decency Act</w:t>
        <w:br/>
        <w:t>Interstate Commerce Clause</w:t>
        <w:br/>
        <w:t>Due Process</w:t>
        <w:br/>
        <w:t>Taking Clause</w:t>
        <w:br/>
        <w:t>Contract Clause</w:t>
        <w:br/>
        <w:t>Certificate of Service</w:t>
      </w:r>
    </w:p>
    <w:p>
      <w:pPr>
        <w:pStyle w:val="BodyText"/>
        <w:bidi w:val="0"/>
        <w:spacing w:before="0" w:after="283"/>
        <w:jc w:val="start"/>
        <w:rPr/>
      </w:pPr>
      <w:r>
        <w:rPr/>
        <w:t>Table of Authorities</w:t>
        <w:br/>
        <w:t>5, 9, 13</w:t>
      </w:r>
    </w:p>
    <w:p>
      <w:pPr>
        <w:pStyle w:val="BodyText"/>
        <w:bidi w:val="0"/>
        <w:spacing w:before="0" w:after="283"/>
        <w:jc w:val="start"/>
        <w:rPr/>
      </w:pPr>
      <w:r>
        <w:rPr/>
        <w:t>5, 9, 10</w:t>
        <w:br/>
        <w:t>5,</w:t>
        <w:br/>
        <w:t>5,</w:t>
        <w:br/>
        <w:t>5,</w:t>
        <w:br/>
        <w:t>6</w:t>
      </w:r>
    </w:p>
    <w:p>
      <w:pPr>
        <w:pStyle w:val="BodyText"/>
        <w:bidi w:val="0"/>
        <w:spacing w:before="0" w:after="283"/>
        <w:jc w:val="start"/>
        <w:rPr/>
      </w:pPr>
      <w:r>
        <w:rPr/>
        <w:t>7</w:t>
      </w:r>
    </w:p>
    <w:p>
      <w:pPr>
        <w:pStyle w:val="BodyText"/>
        <w:bidi w:val="0"/>
        <w:spacing w:before="0" w:after="283"/>
        <w:jc w:val="start"/>
        <w:rPr/>
      </w:pPr>
      <w:r>
        <w:rPr/>
        <w:t>7</w:t>
        <w:br/>
        <w:t>8</w:t>
        <w:br/>
        <w:t>8</w:t>
        <w:br/>
        <w:t>8</w:t>
        <w:br/>
        <w:t>8, 13, 15</w:t>
        <w:br/>
        <w:t>10, 12</w:t>
        <w:br/>
        <w:t>11, 12</w:t>
      </w:r>
    </w:p>
    <w:p>
      <w:pPr>
        <w:pStyle w:val="BodyText"/>
        <w:bidi w:val="0"/>
        <w:spacing w:before="0" w:after="283"/>
        <w:jc w:val="start"/>
        <w:rPr/>
      </w:pPr>
      <w:r>
        <w:rPr/>
        <w:t>11</w:t>
        <w:br/>
        <w:t>11</w:t>
        <w:br/>
        <w:t>11</w:t>
        <w:br/>
        <w:t>12</w:t>
        <w:br/>
        <w:t>14</w:t>
      </w:r>
    </w:p>
    <w:p>
      <w:pPr>
        <w:pStyle w:val="BodyText"/>
        <w:bidi w:val="0"/>
        <w:spacing w:before="0" w:after="283"/>
        <w:jc w:val="start"/>
        <w:rPr/>
      </w:pPr>
      <w:r>
        <w:rPr/>
        <w:t>14</w:t>
      </w:r>
    </w:p>
    <w:p>
      <w:pPr>
        <w:pStyle w:val="BodyText"/>
        <w:bidi w:val="0"/>
        <w:spacing w:before="0" w:after="283"/>
        <w:jc w:val="start"/>
        <w:rPr/>
      </w:pPr>
      <w:r>
        <w:rPr/>
        <w:t>14</w:t>
        <w:br/>
        <w:t>16</w:t>
        <w:br/>
        <w:t>16</w:t>
        <w:br/>
        <w:t>18</w:t>
      </w:r>
    </w:p>
    <w:p>
      <w:pPr>
        <w:pStyle w:val="BodyText"/>
        <w:bidi w:val="0"/>
        <w:spacing w:before="0" w:after="283"/>
        <w:jc w:val="start"/>
        <w:rPr/>
      </w:pPr>
      <w:r>
        <w:rPr/>
        <w:t>19</w:t>
        <w:br/>
        <w:t>19</w:t>
      </w:r>
    </w:p>
    <w:p>
      <w:pPr>
        <w:pStyle w:val="BodyText"/>
        <w:bidi w:val="0"/>
        <w:spacing w:before="0" w:after="283"/>
        <w:jc w:val="start"/>
        <w:rPr/>
      </w:pPr>
      <w:r>
        <w:rPr/>
        <w:t>19</w:t>
      </w:r>
    </w:p>
    <w:p>
      <w:pPr>
        <w:pStyle w:val="BodyText"/>
        <w:bidi w:val="0"/>
        <w:spacing w:before="0" w:after="283"/>
        <w:jc w:val="start"/>
        <w:rPr/>
      </w:pPr>
      <w:r>
        <w:rPr/>
        <w:t>19</w:t>
        <w:br/>
        <w:t>19</w:t>
        <w:br/>
        <w:t>19</w:t>
      </w:r>
    </w:p>
    <w:p>
      <w:pPr>
        <w:pStyle w:val="BodyText"/>
        <w:bidi w:val="0"/>
        <w:spacing w:before="0" w:after="283"/>
        <w:jc w:val="start"/>
        <w:rPr/>
      </w:pPr>
      <w:r>
        <w:rPr/>
        <w:t>20</w:t>
        <w:br/>
        <w:t>20</w:t>
        <w:br/>
        <w:t>21</w:t>
      </w:r>
    </w:p>
    <w:p>
      <w:pPr>
        <w:pStyle w:val="BodyText"/>
        <w:bidi w:val="0"/>
        <w:spacing w:before="0" w:after="283"/>
        <w:jc w:val="start"/>
        <w:rPr/>
      </w:pPr>
      <w:r>
        <w:rPr/>
        <w:t>21</w:t>
      </w:r>
    </w:p>
    <w:p>
      <w:pPr>
        <w:pStyle w:val="BodyText"/>
        <w:bidi w:val="0"/>
        <w:spacing w:before="0" w:after="283"/>
        <w:jc w:val="start"/>
        <w:rPr/>
      </w:pPr>
      <w:r>
        <w:rPr/>
        <w:t>21</w:t>
      </w:r>
    </w:p>
    <w:p>
      <w:pPr>
        <w:pStyle w:val="BodyText"/>
        <w:bidi w:val="0"/>
        <w:spacing w:before="0" w:after="283"/>
        <w:jc w:val="start"/>
        <w:rPr/>
      </w:pPr>
      <w:r>
        <w:rPr/>
        <w:t>22</w:t>
      </w:r>
    </w:p>
    <w:p>
      <w:pPr>
        <w:pStyle w:val="BodyText"/>
        <w:bidi w:val="0"/>
        <w:spacing w:before="0" w:after="283"/>
        <w:jc w:val="start"/>
        <w:rPr/>
      </w:pPr>
      <w:r>
        <w:rPr/>
        <w:t>22</w:t>
      </w:r>
    </w:p>
    <w:p>
      <w:pPr>
        <w:pStyle w:val="BodyText"/>
        <w:bidi w:val="0"/>
        <w:spacing w:before="0" w:after="283"/>
        <w:jc w:val="start"/>
        <w:rPr/>
      </w:pPr>
      <w:r>
        <w:rPr/>
        <w:t>22</w:t>
      </w:r>
    </w:p>
    <w:p>
      <w:pPr>
        <w:pStyle w:val="BodyText"/>
        <w:bidi w:val="0"/>
        <w:spacing w:before="0" w:after="283"/>
        <w:jc w:val="start"/>
        <w:rPr/>
      </w:pPr>
      <w:r>
        <w:rPr/>
        <w:t>23</w:t>
      </w:r>
    </w:p>
    <w:p>
      <w:pPr>
        <w:pStyle w:val="BodyText"/>
        <w:bidi w:val="0"/>
        <w:spacing w:before="0" w:after="283"/>
        <w:jc w:val="start"/>
        <w:rPr/>
      </w:pPr>
      <w:r>
        <w:rPr/>
        <w:t>23</w:t>
        <w:br/>
        <w:t>23</w:t>
        <w:br/>
        <w:t>23, 24</w:t>
        <w:br/>
        <w:t>23</w:t>
        <w:br/>
        <w:t>23</w:t>
      </w:r>
    </w:p>
    <w:p>
      <w:pPr>
        <w:pStyle w:val="BodyText"/>
        <w:bidi w:val="0"/>
        <w:spacing w:before="0" w:after="283"/>
        <w:jc w:val="start"/>
        <w:rPr/>
      </w:pPr>
      <w:r>
        <w:rPr/>
        <w:t>23</w:t>
        <w:br/>
        <w:t>24</w:t>
        <w:br/>
        <w:t>25</w:t>
        <w:br/>
        <w:t>28</w:t>
        <w:br/>
        <w:t>28</w:t>
        <w:br/>
        <w:t>28, 29</w:t>
      </w:r>
    </w:p>
    <w:p>
      <w:pPr>
        <w:pStyle w:val="BodyText"/>
        <w:bidi w:val="0"/>
        <w:spacing w:before="0" w:after="283"/>
        <w:jc w:val="start"/>
        <w:rPr/>
      </w:pPr>
      <w:r>
        <w:rPr/>
        <w:t>28, 29</w:t>
      </w:r>
    </w:p>
    <w:p>
      <w:pPr>
        <w:pStyle w:val="BodyText"/>
        <w:bidi w:val="0"/>
        <w:spacing w:before="0" w:after="283"/>
        <w:jc w:val="start"/>
        <w:rPr/>
      </w:pPr>
      <w:r>
        <w:rPr/>
        <w:t>30</w:t>
        <w:br/>
        <w:t>32</w:t>
        <w:br/>
        <w:t>32</w:t>
        <w:br/>
        <w:t>33</w:t>
      </w:r>
    </w:p>
    <w:p>
      <w:pPr>
        <w:pStyle w:val="BodyText"/>
        <w:bidi w:val="0"/>
        <w:spacing w:before="0" w:after="283"/>
        <w:jc w:val="start"/>
        <w:rPr/>
      </w:pPr>
      <w:r>
        <w:rPr/>
        <w:t>33</w:t>
        <w:br/>
        <w:t>United States v. Playboy Entertainment Group, Inc., 529 US 803, 817 – Supreme Court 2000</w:t>
        <w:br/>
        <w:t>R. A. V. v. St. Paul, 505 U. S. 377, 382 (1992)</w:t>
        <w:br/>
        <w:t>New York Times Co. v. United States, 403 US 713, 714 - Supreme Court 1971</w:t>
        <w:br/>
        <w:t>Bantam Books, Inc. v. Sullivan, 372 U. S. 58, 70 (1963)</w:t>
        <w:br/>
        <w:t>Near v. Minnesota, 283 U. S. 697 (1931)</w:t>
        <w:br/>
        <w:t>PGE v. Bureau of Labor and Industries, 859 P. 2d 1143, 1146 – 1147 Or: Supreme Court 1993</w:t>
        <w:br/>
        <w:t xml:space="preserve">Turner Broadcasting System, Inc. v. FCC, 512 US 622, 642 – 643 - Supreme Court 1994 </w:t>
        <w:br/>
        <w:t xml:space="preserve">Ward v. Rock Against Racism, 491 U.S. 781, 791, 109 S.Ct. 2746 </w:t>
        <w:br/>
        <w:t>FW/PBS, Inc. v. Dallas, 493 US 215, 246 - Supreme Court 1990</w:t>
        <w:br/>
        <w:t>Hill v. Colorado, 530 US 703, 734 n.43- Supreme Court 2000</w:t>
        <w:br/>
        <w:t xml:space="preserve">Reno v. American Civil Liberties Union, 521 U. S. 844, 880 (1997) </w:t>
        <w:br/>
        <w:t>US v. Stevens, 559 U.S. 460, 30 S.Ct. 1577 (2010)</w:t>
        <w:br/>
        <w:t>Boos v. Barry, 485 US 312 - Supreme Court 1988</w:t>
        <w:br/>
        <w:t>Brown v. Entertainment Merchants Ass'n, 131 S. Ct. 2729, 2734 n.1 - Supreme Court 2011</w:t>
        <w:br/>
        <w:t>New York Times Co. v. Sullivan, 376 U. S., at 270Red Lion Broadcasting Co. v. FCC, 395 US 367, 390 - Supreme Court 1969</w:t>
        <w:br/>
        <w:t xml:space="preserve">Matal v. Tam, 137 S. Ct. 1744, 1764 - Supreme Court 2017Reed v. Town of Gilbert, Ariz, 135 S. Ct. 2218, 2228 - Supreme Court 2015 </w:t>
        <w:br/>
        <w:t>Connection Distributing Co. v. Keisler, 505 F. 3d 545, 560 - Court of Appeals, 6th Circuit 2007</w:t>
        <w:br/>
        <w:t>Beckerman v. City of Tupelo, Mississippi, 664 F. 2d 502, 509 - Court of Appeals, 5th Circuit 1981</w:t>
        <w:br/>
        <w:t>Forsyth County v. Nationalist Movement, 505 US 123, 131 - Supreme Court 1992</w:t>
        <w:br/>
        <w:t>Broadrick v. Oklahoma, 413 US 601, 612 - Supreme Court 1973</w:t>
        <w:br/>
        <w:t>Sarver v. Chartier, 813 F. 3d 891, 905 - 906 - Court of Appeals, 9th Circuit 2016</w:t>
        <w:br/>
        <w:t>Montz v. Pilgrim Films &amp; Television, Inc., 649 F. 3d 975, 979 - Court of Appeals, 9th Circuit 2011</w:t>
        <w:br/>
        <w:t xml:space="preserve">Close v. Sotheby's, Inc., 894 F. 3d 1061, 1071 - Court of Appeals, 9th Circuit 2018 Baltimore Orioles v. Major League Baseball Players, 805 F. 2d 663, 678 n.26 - Court of Appeals, 7th Circuit 1986 </w:t>
        <w:br/>
        <w:t>Forest Park Pictures v. Universal Television, 683 F. 3d 424, 431 - Court of Appeals, 2nd Circuit 2012</w:t>
        <w:br/>
        <w:t>Fox Film Corp. v. Doyal, 286 U. S. 123, 127 (1932)</w:t>
        <w:br/>
        <w:t>Stewart v. Abend, 495 US 207, 229 - Supreme Court 1990</w:t>
        <w:br/>
        <w:t>Maloney v. T3Media, Inc., 853 F. 3d 1004, 1019 - Court of Appeals, 9th Circuit 2017</w:t>
        <w:br/>
        <w:t>State v. Oidor, 292 P. 3d 629, 633 - Or: Court of Appeals 2012</w:t>
        <w:br/>
        <w:t>Garcia v. Google, Inc., 786 F. 3d 733. 745 - Court of Appeals, 9th Circuit 2015</w:t>
        <w:br/>
        <w:t>Jules Jordan Video, Inc. v. 144942 Canada Inc., 617 F. 3d 1146 - Court of Appeals, 9th Circuit 2010</w:t>
        <w:br/>
        <w:t>Veeck v. Southern Bldg. Code Congress Intern., 293 F. 3d 791, 803 - Court of Appeals, 5th Circuit 2002</w:t>
        <w:br/>
        <w:t>Hendricks &amp; Lewis PLLC v. Clinton, 766 F. 3d 991, 997 - Court of Appeals, 9th Circuit 2014</w:t>
        <w:br/>
        <w:t>Schnapper v. Foley, 667 F. 2d 102, 115 - Court of Appeals, Dist. of Columbia Circuit 1981</w:t>
        <w:br/>
        <w:t>Authors Guild v. Google, Inc., 770 F. Supp. 2D 666, 681 - Dist. Court, SD New York 2011</w:t>
        <w:br/>
        <w:t>Effects Associates, Inc. v. Cohen, 908 F. 2d 555, 557 - Court of Appeals, 9th Circuit 1990</w:t>
        <w:br/>
        <w:t>Del Madera Properties v. Rhodes and Gardner, Inc., 820 F. 2d 973, 977 - Court of Appeals, 9th Circuit 1987</w:t>
        <w:br/>
        <w:t>Laws v. Sony Music Entertainment, Inc., 448 F.3d 1134, 1146 (9th Cir. 2006)</w:t>
        <w:br/>
        <w:t>Briarpatch Ltd., L.P. v. Phoenix Pictures, Inc., 373 F.3d 296, 306-307 (2d Cir. 2004)</w:t>
        <w:br/>
        <w:t>Rosciszewski v. Arete Associates, Inc., 1 F. 3d 225, 232 - 233 (4th Cir 1993)</w:t>
        <w:br/>
        <w:t xml:space="preserve">Ritchie v. Williams, 395 F.3d 283, 286-87 (6th Cir. 2005) </w:t>
        <w:br/>
        <w:t>Dunlap v. G&amp;L Holding Group, Inc., 381 F.3d 1285, 1289-91, 1293-98 (11th Cir.2004)</w:t>
        <w:br/>
        <w:t>GlobeRanger Corp. v. SOFTWARE AG, 691 F. 3d 702, 706 (5th Cir 2012)</w:t>
        <w:br/>
        <w:t>Voltage Pictures, LLC v. Doe No. 1, Dist. Court, D. Oregon 2014</w:t>
        <w:br/>
        <w:t>JustMed, Inc. v. Byce, 600 F. 3d 1118 , 1123 - 1124 (9th Cir 2010)</w:t>
        <w:br/>
        <w:t>Batzel v. Smith 333 F.3d 1018, 1030 - 9th Circuit 2003</w:t>
        <w:br/>
        <w:t>Barrett v. Rosenthal 51 Cal. Rptr. 3D 55, 63 - Cal: Supreme Court 2006</w:t>
        <w:br/>
        <w:t>Backpage. Com, LLC v. McKenna, 881 F. Supp. 2D 1262, 1275 - Dist. Court, WD Washington 2012</w:t>
        <w:br/>
        <w:t>Barnes v. Yahoo!, Inc., 570 F. 3d 1096, 1101 – 1102 - Court of Appeals, 9th Circuit 2009</w:t>
        <w:br/>
        <w:t>Grayned v. City of Rockford, 408 US 104, 108 – 109 - Supreme Court 1972</w:t>
        <w:br/>
        <w:t>Elonis v. US, 135 S. Ct. 2001, 2011 - Supreme Court 2015</w:t>
        <w:br/>
        <w:t>Roth v. Pritikin, 710 F. 2d 934, 939 - Court of Appeals, 2nd Circuit 1983</w:t>
        <w:br/>
        <w:t>Lane v. First Nat. Bank of Boston, 871 F. 2d 166, 174 - Court of Appeals, 1st Circuit 1989</w:t>
        <w:br/>
        <w:t>Home Building &amp; Loan Assn. v. Blaisdell, 290 US 398, 431 - Supreme Court 1934</w:t>
      </w:r>
    </w:p>
    <w:p>
      <w:pPr>
        <w:pStyle w:val="BodyText"/>
        <w:bidi w:val="0"/>
        <w:spacing w:before="0" w:after="283"/>
        <w:jc w:val="start"/>
        <w:rPr/>
      </w:pPr>
      <w:r>
        <w:rPr/>
        <w:t>ORS 163.472 Unlawful Dissemination of an Intimate Image</w:t>
        <w:br/>
        <w:t>A person commits the crime of unlawful dissemination of an intimate image if:</w:t>
        <w:br/>
        <w:t>The person, with the intent to harass, humiliate or injure another person, knowingly causes to be disclosed through an Internet website an identifiable image of the other person whose intimate parts are visible or who is engaged in sexual conduct;</w:t>
        <w:br/>
        <w:t>The person knows or reasonably should have known that the other person does not consent to the disclosure;</w:t>
        <w:br/>
        <w:t>The other person is harassed, humiliated or injured by the disclosure; and</w:t>
        <w:br/>
        <w:t>A reasonable person would be harassed, humiliated or injured by the disclosure.</w:t>
      </w:r>
    </w:p>
    <w:p>
      <w:pPr>
        <w:pStyle w:val="BodyText"/>
        <w:bidi w:val="0"/>
        <w:spacing w:before="0" w:after="283"/>
        <w:jc w:val="start"/>
        <w:rPr/>
      </w:pPr>
      <w:r>
        <w:rPr/>
        <w:t>Except as provided in paragraph (b) of this subsection, unlawful dissemination of an intimate image is a Class A misdemeanor.</w:t>
        <w:br/>
        <w:t>Unlawful dissemination of an intimate image is a Class C felony if the person has a prior conviction under this section at the time of the offense.</w:t>
        <w:br/>
        <w:t>As used in this section:</w:t>
        <w:br/>
        <w:t>“Disclose” includes, but is not limited to, transfer, publish, distribute, exhibit, advertise and offer.</w:t>
        <w:br/>
        <w:t>“Image” includes, but is not limited to, a photograph, film, videotape, recording, digital picture and other visual reproduction, regardless of the manner in which the image is stored.</w:t>
        <w:br/>
        <w:t>“Information content provider” has the meaning given that term in 47 U.S.C. 230(f).</w:t>
        <w:br/>
        <w:t>“Interactive computer service” has the meaning given that term in 47 U.S.C. 230(f).</w:t>
        <w:br/>
        <w:t>“Intimate parts” means uncovered human genitals, pubic areas or female nipples.</w:t>
        <w:br/>
        <w:t>“Sexual conduct” means sexual intercourse or oral or anal sexual intercourse, as those terms are defined in ORS 163.305 (Definitions), or masturbation.</w:t>
        <w:br/>
        <w:t>This section does not apply to:</w:t>
        <w:br/>
        <w:t>Activity by law enforcement agencies investigating and prosecuting criminal offenses;</w:t>
        <w:br/>
        <w:t>Legitimate medical, scientific or educational activities;</w:t>
        <w:br/>
        <w:t>Legal proceedings, when disclosure is consistent with common practice in civil proceedings or necessary for the proper functioning of the criminal justice system;</w:t>
        <w:br/>
        <w:t>The reporting of unlawful conduct to a law enforcement agency;</w:t>
        <w:br/>
        <w:t>Disclosures that serve a lawful public interest;</w:t>
        <w:br/>
        <w:t>Disclosures of images:</w:t>
        <w:br/>
        <w:t>Depicting the other person voluntarily displaying, in a public area, the other person’s intimate parts or engaging in sexual conduct; or</w:t>
        <w:br/>
        <w:t>Originally created for a commercial purpose with the consent of the other person; or</w:t>
        <w:br/>
        <w:t>The provider of an interactive computer service for an image of intimate parts provided by an information content provider.</w:t>
        <w:br/>
        <w:t>Standards of Review</w:t>
        <w:br/>
        <w:t>United States v. Playboy Entertainment Group, Inc., 529 US 803, 817 – Supreme Court 2000</w:t>
        <w:br/>
        <w:t>“When the Government seeks to restrict speech based on its content, the usual presumption of constitutionality afforded congressional enactments is reversed. "Content-based regulations are presumptively invalid," R. A. V. v. St. Paul, 505 U. S. 377, 382 (1992), and the Government bears the burden to rebut that presumption.”</w:t>
        <w:br/>
        <w:t>New York Times Co. v. United States, 403 US 713, 714 - Supreme Court 1971</w:t>
        <w:br/>
        <w:t xml:space="preserve">"Any system of prior restraints of expression comes to this Court bearing a heavy presumption against its constitutional validity." Bantam Books, Inc. v. Sullivan, 372 U. S. 58, 70 (1963); see also Near v. Minnesota, 283 U. S. 697 (1931). The Government "thus carries a heavy burden of showing justification for the imposition of such a restraint." </w:t>
        <w:br/>
        <w:t>PGE v. Bureau of Labor and Industries, 859 P. 2d 1143, 1146 – 1147 Or: Supreme Court 1993</w:t>
        <w:br/>
        <w:t>In this first level of analysis, the text of the statutory provision itself is the starting point for interpretation and is the best evidence of the legislature's intent. State v. Person, supra, 316 Or. at 590, 853 P.2d 813; State ex rel. Juv. Dept. v. Ashley, 312 Or. 169, 174, 818 P.2d 1270 (1991). In trying to ascertain the meaning of a statutory provision, and thereby to inform the court's inquiry into legislative intent, the court considers rules of construction of the statutory text that bear directly on how to read the text. Some of those rules are mandated by statute, including, for example, the statutory enjoinder "not to insert what has been omitted, or to omit what has been inserted." ORS 174.010. Others are found in the case law, including, for example, the rule that words of common usage typically should be given their plain, natural, and ordinary meaning. See State v. Langley, 314 Or. 247, 256, 839 P.2d 692 (1992) (illustrating rule); Perez v. State Farm Mutual Ins. Co., 289 Or. 295, 299, 613 P.2d 32 (1980) (same).</w:t>
        <w:br/>
        <w:t>Also at the first level of analysis, the court considers the context of the statutory provision at issue, which includes other provisions of the same statute and other related statutes. Southern Pacific Trans. Co. v. Dept. of Rev., supra, 316 Or. at 498, 852 P.2d 197; Sanders v. Oregon Pacific States Ins. Co., 314 Or. 521, 527, 840 P.2d 87 (1992). Just as with the court's consideration of the text of a statute, the court utilizes rules of construction that bear directly on the interpretation of the statutory provision in context. Some of those rules are mandated by statute, including, for example, the principles that "where there are several provisions or particulars such construction is, if possible, to be adopted as will give effect to all," ORS 174.010, and that "a particular intent shall control a general one that is inconsistent with it," ORS 174.020. Other such rules of construction are found in case law, including, for example, the rules that use of a term in one section and not in another section of the same statute indicates a purposeful omission, Emerald PUD v. PP &amp; L, 302 Or. 256, 269, 729 P.2d 552 (1986), and that use of the same term throughout a statute indicates that the term has the same meaning throughout the statute, Oregon Racing Com. v. Multnomah Kennel Club, 242 Or. 572, 586, 411 P.2d 63 (1966).</w:t>
        <w:br/>
        <w:t>If the legislature's intent is clear from the above-described inquiry into text and context, further inquiry is unnecessary.</w:t>
        <w:br/>
        <w:t>If, but only if, the intent of the legislature is not clear from the text and context inquiry, the court will then move to the second level, which is to consider legislative history to inform the court's inquiry into legislative intent. State ex rel. Juv. Dept. v. Ashley, supra, 312 Or. at 174-75, 818 P.2d 1270. Compare State v. Trenary, 316 Or. 172, 178 n. 5, 850 P.2d 356 (1993) ("Although we need not resort to legislative history, it confirms our conclusion."). When the court reaches legislative history, it considers it along with text and context to determine whether all of those together make the legislative intent clear. State ex rel. Juv. Dept. v. Ashley, supra, 312 Or. at 174-80, 818 P.2d 1270. If the legislative intent is clear, then the court's inquiry into legislative intent and the meaning of the statute is at an end and the court interprets the statute to have the meaning so determined.</w:t>
        <w:br/>
        <w:t>If, after consideration of text, context, and legislative history, the intent of the legislature remains unclear, then the court may resort to general maxims of statutory construction to aid in resolving the remaining uncertainty. See State ex rel. Juv. Dept. v. Ashley, supra, 312 Or. at 192 &amp; n. 19, 818 P.2d 1270 (Unis, J., dissenting) (asserting that maxims of statutory construction come last in the analysis). Although some of those maxims of statutory construction may be statutory, see, e.g., ORS 174.030 (natural rights), others more commonly may be found in case law. Those include, for example, the maxim that, where no legislative history exists, the court will attempt to determine how the legislature would have intended the statute to be applied had it considered the issue. Security State Bank v. Luebke, 303 Or. 418, 423, 737 P.2d 586 (1987).</w:t>
        <w:br/>
        <w:t>Freedom of Speech</w:t>
        <w:br/>
        <w:t>Amendment 1 to the United States Constitution.</w:t>
        <w:br/>
        <w:t>“Congress shall make no law respecting an establishment of religion, or prohibiting the free exercise thereof; or abridging the freedom of speech, or of the press; or the right of the people peaceably to assemble, and to petition the Government for a redress of grievances.”</w:t>
        <w:br/>
        <w:t xml:space="preserve">Under the first amendment, laws that, by their terms, distinguish favored speech from disfavored speech on the basis of the ideas or views expressed are content based, whereas laws that confer benefits or impose burdens on speech without reference to the ideas or views expressed are content neutral. If it is necessary to look at the content of the speech in question to decide if the speaker violated the law, the regulation is content based see Turner Broadcasting System, Inc. v. FCC, 512 US 622, 642 – 643 - Supreme Court 1994 rather than content neutral restrictions which do not See e.g. Ward v. Rock Against Racism, 491 U.S. 781, 791, 109 S.Ct. 2746 </w:t>
        <w:br/>
        <w:t>The principal inquiry in determining content neutrality ... is whether the government has adopted a regulation of speech because of disagreement with the message it conveys … Government regulation of expressive activity is content neutral so long as it is "justified without reference to the content of the regulated speech."</w:t>
        <w:br/>
        <w:t>Prior restraints of speech, are any systems that require persons to receive a license prior to the speech taking place, or an order prohibiting speech from taking place before that it occurs. See e.g. FW/PBS, Inc. v. Dallas, 493 US 215, 246 - Supreme Court 1990 (“the criteria used in deciding whether or not to grant a license is deemed to convert an otherwise valid law into an unconstitutional prior restraint.“)</w:t>
      </w:r>
    </w:p>
    <w:p>
      <w:pPr>
        <w:pStyle w:val="BodyText"/>
        <w:bidi w:val="0"/>
        <w:spacing w:before="0" w:after="283"/>
        <w:jc w:val="start"/>
        <w:rPr/>
      </w:pPr>
      <w:r>
        <w:rPr/>
        <w:t>A heckler's veto, is a veto of a third party of speech between a speaker and willing listeners see e.g. Hill v. Colorado, 530 US 703, 734 n.43- Supreme Court 2000</w:t>
        <w:br/>
        <w:t>While we have in prior cases found governmental grants of power to private actors constitutionally problematic, those cases are distinguishable. In those cases, the regulations allowed a single, private actor to unilaterally silence a speaker even as to willing listeners. See, e. g., Reno v. American Civil Liberties Union, 521 U. S. 844, 880 (1997) ("It would confer broad powers of censorship, in the form of a `heckler's veto,' upon any opponent of indecent speech . . .").</w:t>
        <w:br/>
        <w:t>Content Based Restrictions of Speech</w:t>
        <w:br/>
        <w:t xml:space="preserve">Content based restrictions have only been permitted when confined to the few historic and traditional categories of expression. New Categories of speech may not be added because certain speech is too harmful to be tolerated. See e.g. US v. Stevens, 559 U.S. 460, 30 S.Ct. 1577 (2010) </w:t>
        <w:br/>
        <w:t>"From 1791 to the present," however, the First Amendment has "permitted restrictions upon the content of speech in a few limited areas," and has never "include[d] a freedom to disregard these traditional limitations." Id., at 382-383, 112 S.Ct. 2538. These "historic and traditional categories long familiar to the bar," Simon &amp; Schuster, Inc. v. Members of N.Y. State Crime Victims Bd., 502 U.S. 105, 127, 112 S.Ct. 501, 116 L.Ed.2d 476 (1991) (KENNEDY, J., concurring in judgment) — including obscenity, Roth v. United States, 354 U.S. 476, 483, 77 S.Ct. 1304, 1 L.Ed.2d 1498 (1957), defamation, Beauharnais v. Illinois, 343 U.S. 250, 254-255, 72 S.Ct. 725, 96 L.Ed. 919 (1952), fraud, Virginia Bd. of Pharmacy v. Virginia Citizens Consumer Council, Inc., 425 U.S. 748, 771, 96 S.Ct. 1817, 48 L.Ed.2d 346 (1976), incitement, Brandenburg v. Ohio, 395 U.S. 444, 447-449, 89 S.Ct. 1827, 23 L.Ed.2d 430 (1969) (per curiam), and speech integral to criminal conduct, Giboney v. Empire Storage &amp; Ice Co., 336 U.S. 490, 498, 69 S.Ct. 684, 93 L.Ed. 834 (1949) — are "well-defined and narrowly limited classes of speech, the prevention and punishment of which have never been thought to raise any Constitutional problem," Chaplinsky v. New Hampshire, 315 U.S. 568, 571-572, 62 S.Ct. 766, 86 L.Ed. 1031 (1942).</w:t>
        <w:br/>
        <w:t>Id at 1584</w:t>
        <w:br/>
        <w:t xml:space="preserve">Our decisions in Ferber and other cases cannot be taken as establishing a freewheeling authority to declare new categories of speech outside the scope of the First Amendment. Maybe there are some categories of speech that have been historically unprotected, but have not yet been specifically identified or discussed as such in our case law. But if so, there is no evidence that "depictions of animal cruelty" is among them. We need not foreclose the future recognition of such additional categories to reject the Government's highly manipulable balancing test as a means of identifying them. </w:t>
        <w:br/>
        <w:t>Id 1586</w:t>
        <w:br/>
        <w:t>In the First Amendment context, however, this Court recognizes "a second type of facial challenge," whereby a law may be invalidated as overbroad if "a substantial number of its applications are unconstitutional, judged in relation to the statute's plainly legitimate sweep." Washington State Grange v. Washington State Republican Party, 552 U.S. 442, 449, n. 6, 128 S.Ct. 1184, 170 L.Ed.2d 151 (2008)</w:t>
        <w:br/>
        <w:t>Id 1587</w:t>
        <w:br/>
        <w:t>Otherwise if the the speech is in a traditional category of unprotected speech, it still has to be narrowly tailored, meaning neither under inclusive or overbroad, and the least restrictive means of achieving a compelling government interest. See e.g. United States v. Playboy Entertainment Group, Inc., 529 US 803, 813 - Supreme Court 2000</w:t>
        <w:br/>
        <w:t>a content-based speech restriction, it can stand only if it satisfies strict scrutiny. Sable Communications of Cal., Inc. v. FCC, 492 U. S. 115, 126 (1989). If a statute regulates speech based on its content, it must be narrowly tailored to promote a compelling Government interest. Ibid. If a less restrictive alternative would serve the Government's purpose, the legislature must use that alternative.</w:t>
        <w:br/>
        <w:t>[...]</w:t>
        <w:br/>
        <w:t>Our precedents teach these principles. Where the designed benefit of a content-based speech restriction is to shield the sensibilities of listeners, the general rule is that the right of expression prevails, even where no less restrictive alternative exists. We are expected to protect our own sensibilities "simply by averting [our] eyes."</w:t>
        <w:br/>
        <w:t>Even when the statute is targeted to a particular unprotected category of expression, the government cannot create a regulation for those categories of expression, exclusively when made with a specific viewpoint, for example speech made with the intent to “humiliate”. See e.g. R. A. V. v. St. Paul, 505 US 377, 383 - 384 - Supreme Court 1992</w:t>
        <w:br/>
        <w:t>What they mean is that these areas of speech can, consistently with the First Amendment, be regulated because of their constitutionally proscribable content (obscenity, defamation, etc.)— not that they are categories of speech entirely invisible to the Constitution, so that they may be made the vehicles for content discrimination unrelated to their distinctively proscribable content. Thus, the government may proscribe libel; but it may not make the further content discrimination of proscribing only libel critical of the government.</w:t>
        <w:br/>
        <w:t>[...]</w:t>
        <w:br/>
        <w:t>In its practical operation, moreover, the ordinance goes even beyond mere content discrimination, to actual viewpoint discrimination. Displays containing some words— odious racial epithets, for example—would be prohibited to proponents of all views. But "fighting words" that do not themselves invoke race, color, creed, religion, or gender— aspersions upon a person's mother, for example—would seemingly be usable ad libitum in the placards of those arguing in favor of racial, color, etc., tolerance and equality, but could not be used by those speakers' opponents. One could hold up a sign saying, for example, that all "anti-Catholic bigots" are misbegotten; but not that all "papists" are, for that would insult and provoke violence "on the basis of religion." St. Paul has no such authority to license one side of a debate to fight freestyle, while requiring the other to follow Marquis of Queensberry rules.</w:t>
        <w:br/>
        <w:t>R.A.V. Id at 391 – 392</w:t>
        <w:br/>
        <w:t>Moreover the state does not have a compelling government interest in enforcing laws that protect the reputations or the emotional impacts on particular people. Such an argument would allow the government to punish gossiping, or to employ a monopoly on the truth. See e.g. Boos v. Barry, 485 US 312 - Supreme Court 1988</w:t>
        <w:br/>
        <w:t>we have indicated that in public debate our own citizens must tolerate insulting, and even outrageous, speech in order to provide "adequate `breathing space' to the freedoms protected by the First Amendment." Hustler Magazine, Inc. v. Falwell, ante, at 56. See also, e. g., New York Times Co. v. Sullivan, 376 U. S., at 270. A "dignity" standard, like the "outrageousness" standard that we rejected in Hustler, is so inherently subjective that it would be inconsistent with "our longstanding refusal to [punish speech] because the speech in question may have an adverse emotional impact on the audience." Hustler Magazine, supra, at 55.</w:t>
        <w:br/>
        <w:t>Such a regulation targets the ability of listeners to be able to form views that the other person objects to, because they want to maintain the monopoly of the truth , and there can be no distinction between whether the law targets see e,g, Brown v. Entertainment Merchants Ass'n, 131 S. Ct. 2729, 2734 n.1 - Supreme Court 2011 (“Whether government regulation applies to creating, distributing, or consuming speech makes no difference”) and would adversely affect the truth seeking function of the marketplace of ideas. See e.g. Red Lion Broadcasting Co. v. FCC, 395 US 367, 390 - Supreme Court 1969</w:t>
        <w:br/>
        <w:t>It is the purpose of the First Amendment to preserve an uninhibited market-place of ideas in which truth will ultimately prevail, rather than to countenance monopolization of that market, whether it be by the Government itself or a private licensee</w:t>
        <w:br/>
        <w:t>See also Matal v. Tam, 137 S. Ct. 1744, 1764 - Supreme Court 2017</w:t>
        <w:br/>
        <w:t>It is claimed that the disparagement clause serves two interests. The first is phrased in a variety of ways in the briefs. Echoing language in one of the opinions below, the Government asserts an interest in preventing "`underrepresented groups'" from being "`bombarded with demeaning messages in commercial advertising.'" Brief for Petitioner 48 (quoting 808 F.3d, at 1364 (Dyk, J., concurring in part and dissenting in part)). An amicus supporting the Government refers to "encouraging racial tolerance and protecting the privacy and welfare of individuals." Brief for Native American Organizations as Amici Curiae 21. But no matter how the point is phrased, its unmistakable thrust is this: The Government has an interest in preventing speech expressing ideas that offend. And, as we have explained, that idea strikes at the heart of the First Amendment. Speech that demeans on the basis of race, ethnicity, gender, religion, age, disability, or any other similar ground is hateful; but the proudest boast of our free speech jurisprudence is that we protect the freedom to express "the thought that we hate." United States v. Schwimmer, 279 U.S. 644, 655, 49 S.Ct. 448, 73 L.Ed. 889 (1929) (Holmes, J., dissenting).</w:t>
        <w:br/>
        <w:t xml:space="preserve">The statute cannot be declared that it is content neutral, because the statute was written by the legislature with a benign motive, of targeting a particular harm to a person, to avoid strict scrutiny and invalidation, because the statute is targeting a secondary effect of the speech. See e.g. Reed v. Town of Gilbert, Ariz, 135 S. Ct. 2218, 2228 - Supreme Court 2015 </w:t>
        <w:br/>
        <w:t>“A law that is content based on its face is subject to strict scrutiny regardless of the government’s benign motive, content-neutral justification, or lack of ‘animus toward the ideas contained’ in the regulated speech”</w:t>
        <w:br/>
        <w:t>See also Boos v. Barry, 485 US 312, 321- Supreme Court 1988</w:t>
        <w:br/>
        <w:t>Regulations that focus on the direct impact of speech on its audience present a different situation. Listeners' reactions to speech are not the type of "secondary effects" we referred to in Renton. To take an example factually close to Renton, if the ordinance there was justified by the city's desire to prevent the psychological damage it felt was associated with viewing adult movies, then analysis of the measure as a content-based statute would have been appropriate. The hypothetical regulation targets the direct impact of a particular category of speech, not a secondary feature that happens to be associated with that type of speech.</w:t>
        <w:br/>
        <w:t>The statute is also under-inclusive to achieve the government interest to prevent the harm of humiliation, because the person could be humiliated with means other than intimate images, for example truthful gossip, or images of a person's psychological disorders or drug abuse. See e.g. Brown v. Entertainment Merchants Ass'n, 131 S. Ct. 2729, 2740 - Supreme Court 2011</w:t>
        <w:br/>
        <w:t>the consequence is that its regulation is wildly underinclusive when judged against its asserted justification, which in our view is alone enough to defeat it. Underinclusiveness raises serious doubts about whether the government is in fact pursuing the interest it invokes, rather than disfavoring a particular speaker or viewpoint.</w:t>
        <w:br/>
        <w:t xml:space="preserve">The limitation of liability to only images that are disseminated the statute also does not narrowly tailor the statute, because it is not a permissible means to narrowly tailor a statute. </w:t>
        <w:br/>
        <w:t>And whatever the challenges of applying the Constitution to ever-advancing technology, "the basic principles of freedom of speech and the press, like the First Amendment's command, do not vary" when a new and different medium for communication appears. Joseph Burstyn, Inc. v. Wilson, 343 U.S. 495, 503, 72 S.Ct. 777, 96 L.Ed. 1098 (1952).</w:t>
        <w:br/>
        <w:t>Brown, Id at 2033</w:t>
        <w:br/>
        <w:t>The limitation of liability to only images that don't “serve a lawful public interest”, is also not a permissible method of narrow tailoring. See e.g. United States v. Playboy Entertainment Group, Inc., 529 US 803, 818 - Supreme Court 2000</w:t>
        <w:br/>
        <w:t>The Constitution exists precisely so that opinions and judgments, including esthetic and moral judgments about art and literature, can be formed, tested, and expressed. What the Constitution says is that these judgments are for the individual to make, not for the Government to decree, even with the mandate or approval of a majority. Technology expands the capacity to choose; and it denies the potential of this revolution if we assume the Government is best positioned to make these choices for us.</w:t>
        <w:br/>
        <w:t xml:space="preserve">The limitation of liability to only images that don't have “legitimate medical, scientific or educational activities”, is also not a permissible method of narrow tailoring. See e.g. US v. Stevens, 559 U.S. 460, 30 S.Ct. 1577, 1591 (2010) </w:t>
        <w:br/>
        <w:t>In Miller we held that "serious" value shields depictions of sex from regulation as obscenity. 413 U.S., at 24-25, 93 S.Ct. 2607. Limiting Miller's exception to "serious" value ensured that "`[a] quotation from Voltaire in the flyleaf of a book [would] not constitutionally redeem an otherwise obscene publication.'" Id., at 25, n. 7, 93 S.Ct. 2607 (quoting Kois v. Wisconsin, 408 U.S. 229, 231, 92 S.Ct. 2245, 33 L.Ed.2d 312 (1972) (per curiam)). We did not, however, determine that serious value could be used as a general precondition to protecting other types of speech in the first place. Most of what we say to one another lacks "religious, political, scientific, educational, journalistic, historical, or artistic value" (let alone serious value), but it is still sheltered from Government regulation. Even "`[w]holly neutral futilities... come under the protection of free speech as fully as do Keats' poems or Donne's sermons.'" Cohen v. California, 403 U.S. 15, 25, 91 S.Ct. 1780, 29 L.Ed.2d 284 (1971) (quoting Winters v. New York, 333 U.S. 507, 528, 68 S.Ct. 665, 92 L.Ed. 840 (1948) (Frankfurter, J., dissenting); alteration in original).</w:t>
        <w:br/>
        <w:t>Nor does the limitation of liability to images that were “originally created for a commercial purpose with the consent of the other person”, because the law would still criminalize the dissemination of commercialized of images with the consent of the other person, if they were originally made for some other purpose but later agreed to be commercialized. As a practical matter it would require that all images that are disseminated have evidence that they were originally made for a commercial purpose, and such a requirement has been rejected. See e.g. Connection Distributing Co. v. Keisler, 505 F. 3d 545, 560 - Court of Appeals, 6th Circuit 2007</w:t>
        <w:br/>
        <w:t>The statute also requires all producers to keep records on each image and affix disclosure statements to the images. Id. § 2257(b), (e).While this burden may not be that large for a commercial entity, it is likely to be more burdensome for those motivated by noncommercial purposes. Indeed, the Supreme Court has recognized that imposing regulations on noncommercial sexually explicit speech is a burden that may be too great and consequently chill speech. See Am. Civil Liberties Union, 521 U.S. at 865, 117 S.Ct. 2329. The statute here effectively bans creation of sexually explicit images unless such records are kept. The statute additionally burdens those that wish to publish photographs, as they are disallowed from doing so unless such records are kept, even if they did not take the photograph and have no other way to track the performers down to create the records.</w:t>
        <w:br/>
        <w:t>Nor does the limitation of liability to only circumstances where the victim “does not consent to the disclosure” because the requirement is actually a prior restraint of speech, or a heckler's veto of speech. To the extent that a person is required to have consent prior to the speech taking place, the statute is a prior restraint of speech, and to the extent that a person has liability because a person has the right to silence a speaker to even willing listeners, it is a heckler’s veto of speech. See e.g. Hill v. Colorado, 530 US 703, 734 n.43- Supreme Court 2000 Supra at Page 5. See also Beckerman v. City of Tupelo, Mississippi, 664 F. 2d 502, 509 - Court of Appeals, 5th Circuit 1981</w:t>
        <w:br/>
        <w:t>This provision falls as an impermissible prior restraint upon free speech because it is not narrowly drawn to relate to health, safety, and welfare interests, but instead it sanctions the denial of a permit on the basis of the so-called "hecklers' veto." In authorizing the denial of a permit because the licensor has determined the activity will provoke disorderly conduct in others, the state treads on thin ice. There is a host of Supreme Court cases dealing with the issue of the "hecklers' veto." In almost every instance it is not acceptable for the state to prevent a speaker from exercising his constitutional rights because of the reaction to him by others.</w:t>
        <w:br/>
        <w:t>See also Forsyth County v. Nationalist Movement, 505 US 123, 131 - Supreme Court 1992</w:t>
        <w:br/>
        <w:t>"a law subjecting the exercise of First Amendment freedoms to the prior restraint of a license" must contain "narrow, objective, and definite standards to guide the licensing authority." Shuttlesworth, 394 U. S., at 150-151; see also Niemotko, 340 U. S., at 271. The reasoning is simple: If the permit scheme "involves appraisal of facts, the exercise of judgment, and the formation of an opinion," Cantwell v. Connecticut, 310 U. S. 296, 305 (1940), by the licensing authority, "the danger of censorship and of abridgment of our precious First Amendment freedoms is too great" to be permitted, Southeastern Promotions, Ltd. v. Conrad, 420 U. S. 546, 553 (1975).</w:t>
        <w:br/>
        <w:t>Generally speaking, the British crown used three methods to suppress free speech: licensing, constructive treason, and seditious libel. Licensing was the original system of “prior restraint.” Soon after the first book was printed in England, the crown empowered the Stationer’s Company, whose approval was necessary for publication. An appointed licensor of the Stationer’s Company could censor the work and could in his sole discretion deny or approve the license necessary for publication. This system of licensing remained until spring 1695 when the legislation expired not because of any enlightenment with regard to free speech, but because of its impracticality. In 1710, the Statute of Anne first gave individual authors limited rights to their publications for a period of time, giving them a copyright license to approve publications.</w:t>
      </w:r>
    </w:p>
    <w:p>
      <w:pPr>
        <w:pStyle w:val="BodyText"/>
        <w:bidi w:val="0"/>
        <w:spacing w:before="0" w:after="283"/>
        <w:jc w:val="start"/>
        <w:rPr/>
      </w:pPr>
      <w:r>
        <w:rPr/>
        <w:t>Even when there may be legitimate applications of the law, the law can be invalidated if it is considered to be overly broad, in that it criminalizes too much lawful speech. While the statute might be lawfully used where a person had broken into an electronic device, or where a person had surreptitiously recorded an image without a persons consent where they had a legitimate expectation of privacy, there are already other statutes that criminalize this conduct. In contrast any person that shares an intimate image found on a website such as twitter, then retweets the image without locating the person depicted and gets their consent, can be found liable if the victim claims that they were harassed, humiliated or injured, and the person intended that result.</w:t>
      </w:r>
    </w:p>
    <w:p>
      <w:pPr>
        <w:pStyle w:val="BodyText"/>
        <w:bidi w:val="0"/>
        <w:spacing w:before="0" w:after="283"/>
        <w:jc w:val="start"/>
        <w:rPr/>
      </w:pPr>
      <w:r>
        <w:rPr/>
        <w:t xml:space="preserve">US v. Stevens, 559 U.S. 460, 30 S.Ct. 1577, 1580 - Supreme Court 2010 </w:t>
        <w:br/>
        <w:t>In the First Amendment context, a law may be invalidated as overbroad if "a `substantial number' of its applications are unconstitutional, `"judged in relation to the statute's plainly legitimate sweep."'" Washington State Grange v. Washington State Republican Party, 552 U.S. 442, 449, n. 6, 128 S.Ct. 1184, 170 L.Ed.2d 151.</w:t>
      </w:r>
    </w:p>
    <w:p>
      <w:pPr>
        <w:pStyle w:val="BodyText"/>
        <w:bidi w:val="0"/>
        <w:spacing w:before="0" w:after="283"/>
        <w:jc w:val="start"/>
        <w:rPr/>
      </w:pPr>
      <w:r>
        <w:rPr/>
        <w:t>Broadrick v. Oklahoma, 413 US 601, 612 - Supreme Court 1973</w:t>
        <w:br/>
        <w:t>As a corollary, the Court has altered its traditional rules of standing to permit — in the First Amendment area—"attacks on overly broad statutes with no requirement that the person making the attack demonstrate that his own conduct could not be regulated by a statute drawn with the requisite narrow specificity." Dombrowski v. Pfister, 380 U. S., at 486. Litigants, therefore, are permitted to challenge a statute not because their own rights of free expression are violated, but because of a judicial prediction or assumption that the statute's very existence may cause others not before the court to refrain from constitutionally protected speech or expression.</w:t>
        <w:br/>
        <w:t xml:space="preserve">Such claims of facial overbreadth have been entertained in cases involving statutes which, by their terms, seek to regulate "only spoken words." Gooding v. Wilson, 405 U. S. 518, 520 (1972). See Cohen v. California, 403 U. S. 15 (1971); Street v. New York, 394 U. S. 576 (1969); Brandenburg v. Ohio, 395 U. S. 444 (1969); Chaplinsky v. New Hampshire, 315 U. S. 568 (1942). In such cases, it has been the judgment of this Court that the possible harm to society in permitting some unprotected speech to go unpunished is outweighed by the possibility that protected speech of others may be muted and perceived grievances left to fester because of the possible inhibitory effects of overly broad statutes. </w:t>
        <w:br/>
        <w:t>Sarver v. Chartier, 813 F. 3d 891, 905 - 906 - Court of Appeals, 9th Circuit 2016</w:t>
        <w:br/>
        <w:t>the First Amendment, which safeguards the storytellers and artists who take the raw materials of life — including the stories of real individuals, ordinary or extraordinary — and transform them into art, be it articles, books, movies, or plays. If California's right of publicity law applies in this case,[9] it is simply a content-based speech restriction. As such, it is presumptively unconstitutional, and cannot stand unless Sarver can show a compelling state interest in preventing the defendants' speech. Because Sarver cannot do so, applying California's right of publicity in this case would violate the First Amendment.</w:t>
        <w:br/>
        <w:t>Copyright Preemption</w:t>
        <w:br/>
        <w:t>The statute violates Article VI “The Supremacy Clause” of the US constitution, and Article 1 section 8 clause 8 of the US constitution, because congress has acted to completely preempt the statute with the copyright act 17 U.S.C. § 201(e), 17 U.S.C. § 301(a), Moreover any allegation that there is a oral agreement or expectation that the videos would be private would be preempted by 17 U.S.C. § 204 (a), as it would transfer ownership of the copyright without being in writing.</w:t>
      </w:r>
    </w:p>
    <w:p>
      <w:pPr>
        <w:pStyle w:val="BodyText"/>
        <w:bidi w:val="0"/>
        <w:spacing w:before="0" w:after="283"/>
        <w:jc w:val="start"/>
        <w:rPr/>
      </w:pPr>
      <w:r>
        <w:rPr/>
        <w:t>17 U.S.C. § 301(a) states as follows:</w:t>
        <w:br/>
        <w:t>On and after January 1, 1978, all legal or equitable rights that are equivalent to any of the exclusive rights within the general scope of copyright as specified by section 106 in works of authorship that are fixed in a tangible medium of expression and come within the subject matter of copyright as specified by sections 102 and 103, whether created before or after that date and whether published or unpublished, are governed exclusively by this title. Thereafter, no person is entitled to any such right or equivalent right in any such work under the common law or statutes of any State.</w:t>
        <w:br/>
        <w:t>Congress stated in its findings see H. Rep. No. 94–1476 94th cong. 2d. Sess. at 130 (1976)</w:t>
        <w:br/>
        <w:t xml:space="preserve">The declaration of this principle in section 301 is intended to be stated in the clearest and most unequivocal language possible, so as to foreclose any conceivable misinterpretation of its unqualified intention that Congress shall act preemptively, and to avoid the development of any vague borderline areas between State and Federal protection. </w:t>
        <w:br/>
        <w:t>Under section 301(a) all “legal or equitable rights that are equivalent to any of the exclusive rights within the general scope of copyright as specified byhttps://scholar.google.com/scholar_case?case=12153077458619577806&amp;q=%22we+have+found+a+state+law+claim+preempted%22&amp;hl=en&amp;as_sdt=6,38#p431” are governed exclusively by the Federal copyright statute if the works involved are “works of authorship that are fixed in a tangible medium of expression and come within the subject matter of copyright as specified by sections 102 and 103.” All corresponding State laws, whether common law or statutory, are preempted and abrogated. Regardless of when the work was created and whether it is published or unpublished, disseminated or undisseminated, in the public domain or copyrighted under the Federal statute, the States cannot offer it protection equivalent to copyright.</w:t>
        <w:br/>
        <w:t>17 U.S.C. § 201(e) states as follows:</w:t>
        <w:br/>
        <w:t>Involuntary Transfer.—</w:t>
        <w:br/>
        <w:t>When an individual author’s ownership of a copyright, or of any of the exclusive rights under a copyright, has not previously been transferred voluntarily by that individual author, no action by any governmental body or other official or organization purporting to seize, expropriate, transfer, or exercise rights of ownership with respect to the copyright, or any of the exclusive rights under a copyright, shall be given effect under this title, except as provided under title 11.</w:t>
        <w:br/>
        <w:t>Congress stated in its findings see H. Rep. No. 94–1476 94th cong. 2d. Sess. at 123 (1976)</w:t>
        <w:br/>
        <w:t>Subsection (e) provides that when an individual author’s ownership of a copyright, or of any of the exclusive rights under a copyright, have not previously been voluntarily transferred, no action by any governmental body or other official or organization purporting to seize, expropriate, transfer, or exercise rights of ownership with respect to the copyright, or any of the exclusive rights under a copyright, shall be given effect under this title.</w:t>
        <w:br/>
        <w:t>The purpose of this subsection is to reaffirm the basic principle that the United States copyright of an individual author shall be secured to that author, and cannot be taken away by any involuntary transfer. It is the intent of the subsection that the author be entitled, despite any purported expropriation or involuntary transfer, to continue exercising all rights under the United States statute, and that the governmental body or organization may not enforce or exercise any rights under this title in that situation.</w:t>
        <w:br/>
        <w:t>It may sometimes be difficult to ascertain whether a transfer of copyright is voluntary or is coerced by covert pressure.</w:t>
        <w:br/>
        <w:t>17 U.S.C. § 204(a) states as follows:</w:t>
        <w:br/>
        <w:t>A transfer of copyright ownership, other than by operation of law, is not valid unless an instrument of conveyance, or a note or memorandum of the transfer, is in writing and signed by the owner of the rights conveyed or such owner’s duly authorized agent.</w:t>
        <w:br/>
        <w:t>17 U.S.C. § 101 states as follows:</w:t>
        <w:br/>
        <w:t>transfer of copyright ownership</w:t>
        <w:br/>
        <w:t>A “transfer of copyright ownership” is an assignment, mortgage, exclusive license, or any other conveyance, alienation, or hypothecation of a copyright or of any of the exclusive rights comprised in a copyright, whether or not it is limited in time or place of effect, but not including a nonexclusive license.</w:t>
        <w:br/>
        <w:t>17 U.S.C. § 301(a) preempts state law claims if (1) the “works come[s] within the subject matter of copyright” and (2) the "legal or equitable rights that are equivalent to any of the exclusive rights within the general scope of copyright” Montz v. Pilgrim Films &amp; Television, Inc., 649 F. 3d 975, 979 - Court of Appeals, 9th Circuit 2011</w:t>
      </w:r>
    </w:p>
    <w:p>
      <w:pPr>
        <w:pStyle w:val="BodyText"/>
        <w:bidi w:val="0"/>
        <w:spacing w:before="0" w:after="283"/>
        <w:jc w:val="start"/>
        <w:rPr/>
      </w:pPr>
      <w:r>
        <w:rPr/>
        <w:t>“</w:t>
      </w:r>
      <w:r>
        <w:rPr/>
        <w:t>As to the first requirement, the leading treatise in this field recognizes that the scope of the subject matter of copyright law is broader than the protections it affords. See 4 MELVILLE B. NIMMER &amp; DAVID NIMMER, NIMMER ON COPYRIGHT § 19D.03[A][2][b] (rev. ed. 2010)” Montz, Id. The motion picture at issue, is a work of authorship under the copyright act 17 U.S.C. § 102(a)(6)(“motion pictures and other audiovisual works”)</w:t>
      </w:r>
    </w:p>
    <w:p>
      <w:pPr>
        <w:pStyle w:val="BodyText"/>
        <w:bidi w:val="0"/>
        <w:spacing w:before="0" w:after="283"/>
        <w:jc w:val="start"/>
        <w:rPr/>
      </w:pPr>
      <w:r>
        <w:rPr/>
        <w:t>As for the second requirement “§ 301(a), which precludes ‘all legal or equitable rights that are equivalent to any of the exclusive rights within the general scope of copyright,’ even if they are not precisely within the contemplation of the Copyright Act.” Close v. Sotheby's, Inc., 894 F. 3d 1061, 1071 - Court of Appeals, 9th Circuit 2018 “a right is equivalent to a copyright if (1) it is infringed by the mere act of reproduction, performance, distribution, or display, or (2) it requires additional elements to make out a cause of action, but the additional elements do not differ in kind from those necessary for copyright infringement.” Baltimore Orioles v. Major League Baseball Players, 805 F. 2d 663, 678 n.26 - Court of Appeals, 7th Circuit 1986 “we have found a state law claim preempted when the extra element changes the scope but not the fundamental nature of the right.” Forest Park Pictures v. Universal Television, 683 F. 3d 424, 431 - Court of Appeals, 2nd Circuit 2012</w:t>
      </w:r>
    </w:p>
    <w:p>
      <w:pPr>
        <w:pStyle w:val="BodyText"/>
        <w:bidi w:val="0"/>
        <w:spacing w:before="0" w:after="283"/>
        <w:jc w:val="start"/>
        <w:rPr/>
      </w:pPr>
      <w:r>
        <w:rPr/>
        <w:t>Section 106 of the Copyright Act provides a copyright owner with the exclusive right to do and to authorize “reproduction, preparation of derivative works, distribution and display.” Whereas ORS 163.472 is violated when “the person knows or reasonably should have known that the other person does not consent to the disclosure”. It is equivalent to the rights in the Copyright Act because “In fact, this Court has held that a copyright owner has the capacity arbitrarily to refuse to license one who seeks to exploit the work. See Fox Film Corp. v. Doyal, 286 U. S. 123, 127 (1932).” Stewart v. Abend, 495 US 207, 229 - Supreme Court 1990 see also Maloney v. T3Media, Inc., 853 F. 3d 1004, 1019 - Court of Appeals, 9th Circuit 2017</w:t>
        <w:br/>
        <w:t>Plaintiffs' publicity-right claims and the derivative UCL claim challenge "control of the artistic work itself." Laws, 448 F.3d at 1142. Pursuant to Laws, the subject matter of the state law claims therefore falls within the subject matter of copyright.</w:t>
        <w:br/>
        <w:t>We believe that our holding strikes the right balance by permitting athletes to control the use of their names or likenesses on merchandise or in advertising, while permitting photographers, the visual content licensing industry, art print services, the media, and the public, to use these culturally important images for expressive purposes. Plaintiffs' position, by contrast, would give the subject of every photograph a de facto veto over the artist's rights under the Copyright Act, and destroy the exclusivity of rights that Congress sought to protect by enacting the Copyright Act.</w:t>
        <w:br/>
        <w:t>See also State v. Oidor, 292 P. 3d 629, 633 - Or: Court of Appeals 2012</w:t>
        <w:br/>
        <w:t>Thus, although the state emphasizes that, by using the term "rights," Congress intended to limit section 301's preemptive effect to civil laws that provide enforceable rights to copyright holders, the legislative history of section 301 establishes that, in order to avoid inconsistencies between federal and state laws, Congress intended section 301 to prevent states from providing protections equivalent to copyright protection. Applying the preemptive effect of section 301 to state civil but not criminal law could lead to the development of "vague borderline areas" between federal and state protection of copyrights. Under the Copyright Act, a copyright holder is entitled to exclusive rights in his or her work for a defined duration, 17 U.S.C. § 302, and the copyright holder's exclusive rights are limited by principles such as fair use, 17 U.S.C. § 107. Conversely, ORS 164.865(1)(b), by prohibiting the sale of a sound recording without the consent of its owner, provides the owner with perpetual protection that is not limited by copyright principles such as fair use. Thus, if section 301 does not preempt ORS 164.865(1)(b), then Oregon criminal law would provide copyright holders with different protections for their work from those that they have under the Copyright Act, in contravention of Congress's intent in enacting section 301.</w:t>
        <w:br/>
        <w:t>See also Garcia v. Google, Inc., 786 F. 3d 733. 745 - Court of Appeals, 9th Circuit 2015</w:t>
        <w:br/>
        <w:t>This relief is not easily achieved under copyright law. Although we do not take lightly threats to life or the emotional turmoil Garcia has endured, her harms are untethered from—and incompatible with—copyright and copyright's function as the engine of expression.</w:t>
        <w:br/>
        <w:t>In broad terms, "the protection of privacy is not a function of the copyright law.... To the contrary, the copyright law offers a limited monopoly to encourage ultimate public access to the creative work of the author." Bond v. Blum, 317 F.3d 385, 395 (4th Cir.2003); see also Monge v. Maya Magazines, Inc., 688 F.3d 1164, 1177 (9th Cir.2012) (quoting Bond and "pointedly" noting copyright cases are analyzed "only under copyright principles, not privacy law").</w:t>
        <w:br/>
        <w:t>[…]</w:t>
        <w:br/>
        <w:t>Ultimately, Garcia would like to have her connection to the film forgotten and stripped from YouTube. Unfortunately for Garcia, such a "right to be forgotten," although recently affirmed by the Court of Justice for the European Union, is not recognized in the United States.</w:t>
        <w:br/>
        <w:t>See also Jules Jordan Video, Inc. v. 144942 Canada Inc., 617 F. 3d 1146 - Court of Appeals, 9th Circuit 2010</w:t>
        <w:br/>
        <w:t>In the instant case, we conclude that Gasper's right of publicity claim falls within the subject matter of copyright, and that the rights he asserts are equivalent to the rights within the scope of § 106 of the Copyright Act. The essence of Gasper's claim is that the Kaytel defendants reproduced and distributed the DVDs without authorization. His claim is under the Copyright Act. Accordingly, we reverse the district court and vacate Gasper's judgment against the Kaytel defendants for violation of his right of publicity under California law.</w:t>
        <w:br/>
        <w:t>Just as the original licensing act in England, ORS 163.472 is a copyright law meant to prevent publication. Because it expropriates the exclusive rights of the author, to consent to publication, and transfers it to the subject, thus ORS 163.472 violates 17 U.S.C. § 201(e) of the Copyright Act. See e.g. Veeck v. Southern Bldg. Code Congress Intern., 293 F. 3d 791, 803 - Court of Appeals, 5th Circuit 2002(“Section 201(e) of the Act reflects Congress's intention to protect copyrights from involuntary appropriation by government entities. 17 U.S.C. § 201(e).”)</w:t>
      </w:r>
    </w:p>
    <w:p>
      <w:pPr>
        <w:pStyle w:val="BodyText"/>
        <w:bidi w:val="0"/>
        <w:spacing w:before="0" w:after="283"/>
        <w:jc w:val="start"/>
        <w:rPr/>
      </w:pPr>
      <w:r>
        <w:rPr/>
        <w:t>See also Hendricks &amp; Lewis PLLC v. Clinton, 766 F. 3d 991, 997 - Court of Appeals, 9th Circuit 2014</w:t>
        <w:br/>
        <w:t>More particularly it was feared that the Soviet Union, by its accession to the Universal Copyright Convention on February 27, 1973, would be enabled to enforce censorship in the United States of the works of its dissident authors through the device of seizing the ownership of such works, and then by enforcing the American copyright therein, enjoin any public distribution within the United States.</w:t>
        <w:br/>
        <w:t>See also Schnapper v. Foley, 667 F. 2d 102, 115 - Court of Appeals, Dist. of Columbia Circuit 1981</w:t>
        <w:br/>
        <w:t>We are aware that there is at least a theoretical possibility that some copyright laws may be used by some nations as instruments of censorship. Fears had been expressed, for example, that the Soviet Union would, through use of a compulsory-assignment provision in its domestic copyright laws, attempt to prevent foreign publication of dissident works whose copyright it had assumed. See Newcity, The Universal Copyright Convention as an Instrument of Repression: The Soviet Experiment in Copyright Law Symposium No. 24 (1980). The congressional response to this perceived threat was 17 U.S.C. § 201(e) (Supp. I 1977), protecting authors from involuntary transfers. See H.R.Rep.No.1476, 94th Cong., 2d Sess. 123 (1976), U.S.Code Cong. &amp; Admin.News 1976, p. 5659, note 4 supra.</w:t>
        <w:br/>
        <w:t>See also Authors Guild v. Google, Inc., 770 F. Supp. 2D 666, 681 - Dist. Court, SD New York 2011</w:t>
        <w:br/>
        <w:t>The statute, however, refers to "any governmental body or other official or organization," and at a minimum a fair question exists as to whether this Court or the Registry or the Fiduciary would be expropriating copyright interests belonging to authors who have not voluntarily transferred them. As Professor Nimmer has written: "By its terms Section 201(e) is not limited to acts by governmental bodies and officials. It includes acts of seizure, etc., by any `organization' as well." 3 Melville B. Nimmer &amp; David Nimmer, Nimmer on Copyright § 10.04 (Rev. Ed. 2010) (footnote omitted).</w:t>
        <w:br/>
        <w:t>Any implied contract, constructive trust, oral agreement, or understanding that the images would remain private violates 17 U.S.C. § 204(a), because it would alienate the rights of a copyright owner under 17 U.S.C. § 106 without the requirement that there is a written contract. See e.g. Effects Associates, Inc. v. Cohen, 908 F. 2d 555, 557 - Court of Appeals, 9th Circuit 1990</w:t>
        <w:br/>
        <w:t>Common sense tells us that agreements should routinely be put in writing. This simple practice prevents misunderstandings by spelling out the terms of a deal in black and white, forces parties to clarify their thinking and consider problems that could potentially arise, and encourages them to take their promises seriously because it's harder to backtrack on a written contract than on an oral one. Copyright law dovetails nicely with common sense by requiring that a transfer of copyright ownership be in writing. Section 204 ensures that the creator of a work will not give away his copyright inadvertently and forces a party who wants to use the copyrighted work to negotiate with the creator to determine precisely what rights are being transferred and at what price. Cf. Community for Creative Non-Violence v. Reid, ___ U.S. ___, 109 S.Ct. 2166, 2177-78, 104 L.Ed.2d 811 (1989) (describing purpose of writing requirement for works made for hire). Most importantly, section 204 enhances predictability and certainty of copyright ownership — "Congress' paramount goal" when it revised the Act in 1976. Community for Creative Non-Violence, 109 S.Ct. at 2177; see also Dumas v. Gommerman, 865 F.2d 1093, 1103-04 (9th Cir.1989). Rather than look to the courts every time they disagree as to whether a particular use of the work violates their mutual understanding, parties need only look to the writing that sets out their respective rights.</w:t>
        <w:br/>
        <w:t>Del Madera Properties v. Rhodes and Gardner, Inc., 820 F. 2d 973, 977 - Court of Appeals, 9th Circuit 1987</w:t>
        <w:br/>
        <w:t>The foundation of Del Madera's unjust enrichment claim is its contention that the defendants violated an implied promise, based on the parties' relationship, not to use the Tentative Map and supporting documents. But an implied promise not to use or copy materials within the subject matter of copyright is equivalent to the protection provided by section 106 of the Copyright Act. Therefore, this portion of Del Madera's unjust enrichment claim is also preempted.</w:t>
        <w:br/>
        <w:t>Complete Preemption</w:t>
        <w:br/>
        <w:t>Numerous Courts, including the Ninth Circuit, have found that the preemption provision of the Copyright Act, 17 U.S.C. § 301(a), completely preempts certain state-law claims falling within its scope See, e.g., Laws v. Sony Music Entertainment, Inc., 448 F.3d 1134, 1146 (9th Cir. 2006) (upholding complete preemption of state right of publicity under the Copyright Act); Briarpatch Ltd., L.P. v. Phoenix Pictures, Inc., 373 F.3d 296, 306-307 (2d Cir. 2004) (upholding complete preemption of state unjust enrichment and declaratory judgment claims under the Copyright Act); Rosciszewski v. Arete Associates, Inc., 1 F. 3d 225, 232 - 233 (4th Cir 1993) (upholding complete preemption of state Computer Crimes Act claim under the Copyright Act), Ritchie v. Williams, 395 F.3d 283, 286-87 (6th Cir. 2005) (upholding complete preemption of state contract and tort claims under the Copyright Act); Dunlap v. G&amp;L Holding Group, Inc., 381 F.3d 1285, 1289-91, 1293-98 (11th Cir.2004) (suggesting that the Copyright Act might have complete preemptive effect under some circumstances); GlobeRanger Corp. v. SOFTWARE AG, 691 F. 3d 702, 706 (5th Cir 2012)(upholding complete preemption of conversion claims);</w:t>
        <w:br/>
        <w:t>See e.g. Rosciszewski v. Arete Associates, Inc., 1 F. 3d 225, 232 - 233 (4th Cir 1993)</w:t>
        <w:br/>
        <w:t xml:space="preserve">The grant of exclusive jurisdiction to the federal district courts over civil actions arising under the Copyright Act, combined with the preemptive force of § 301(a), compels the conclusion that Congress intended that state-law actions preempted by § 301(a) of the Copyright Act arise under federal law.[6] Accordingly, we hold that the preemptive force of § 301(a) of the Copyright Act transforms a state-law complaint asserting claims that are preempted by § 301(a) into a complaint stating a federal claim for purposes of the well-pleaded complaint rule. Since claims preempted by § 301(a) arise under federal law, removal of actions raising these claims to federal district court is proper. </w:t>
        <w:br/>
        <w:t>See also Voltage Pictures, LLC v. Doe No. 1, Dist. Court, D. Oregon 2014</w:t>
        <w:br/>
        <w:t>Defendants removed both cases under 28 U.S.C. § 1441(a) and 28 U.S.C. § 1454. See Notice of Removal 1, 3, Civil No. 6:14-cv-00812-MC, ECF No. 1-1. A state action can generally be removed if that action could have been brought originally in federal court, i.e. if this Court has original jurisdiction. 28 U.S.C. § 1441(a); see also 28 U.S.C. § 1454 (recognizing removal if an asserted claim for relief arises under "patents, plant variety protection, or copyrights"). To determine whether this Court has original jurisdiction, this Court "examine[s] the `well pleaded' allegations of the complaint and ignore[s] potential defenses." Beneficial Nat'l Bank v. Anderson, 539 U.S. 1, 6 (2003) (citations omitted). "However, under the artful pleading rule `a plaintiff may not defeat removal by omitting to plead necessary federal questions in a complaint.'" ARCO Envtl. Remediation, L.L.C. v. Dep't of Health &amp; Envtl. Quality of Montana, 213 F.3d 1108, 1114 (9th Cir. 2000) (quoting Franchise Tax Bd. of Cal., v. Constr. Laborers Vacation Trust for S. Cal., 463 U.S. 1, 22 (1983)). "A state-created cause of action can be deemed to arise under federal law (1) where federal law completely preempts state law; (2) where the claim is necessarily federal in character; or (3) where the right to relief depends on the resolution of a substantial, disputed federal question." Id. (citations and internal quotation marks omitted).</w:t>
        <w:br/>
        <w:t>Defendants contend that the gravamen of plaintiff's respective claims under ORS § 647.095 (seeking remedies under ORS § 647.105), is copyright infringement, and therefore, the claims are preempted by federal copyright law. "Complete preemption is really a jurisdictional rather than a preemption doctrine, as it confers exclusive federal jurisdiction in certain instances where Congress intended the scope of a federal law to be so broad as to entirely replace any state-law claim." Dennis v. Hart, 724 F.3d 1249, 1254 (9th Cir. 2013) (citations and internal quotation marks omitted).</w:t>
      </w:r>
    </w:p>
    <w:p>
      <w:pPr>
        <w:pStyle w:val="BodyText"/>
        <w:bidi w:val="0"/>
        <w:spacing w:before="0" w:after="283"/>
        <w:jc w:val="start"/>
        <w:rPr/>
      </w:pPr>
      <w:r>
        <w:rPr/>
        <w:t>See e.g. JustMed, Inc. v. Byce, 600 F. 3d 1118 , 1123 - 1124 (9th Cir 2010)</w:t>
        <w:br/>
        <w:t>“determining when an action "arises under" the Copyright Act. This court has adopted the Second Circuit's test in T.B. Harms. See, e.g., Scholastic Entm't, Inc. v. Fox Entm't Group, Inc., 336 F.3d 982, 986 (9th Cir.2003); Topolos v. Caldewey, 698 F.2d 991, 993 (9th Cir.1983).</w:t>
        <w:br/>
        <w:t>Under T.B. Harms,</w:t>
        <w:br/>
        <w:t>an action "arises under" the Copyright Act if and only if the complaint is for a remedy expressly granted by the Act, e.g., a suit for infringement or for the statutory royalties for record reproduction, 17 U.S.C. § 101, or asserts a claim requiring construction of the Act ... or, at the very least and perhaps more doubtfully, presents a case where a distinctive policy of the Act requires that federal principles control the disposition of the claim. 339 F.2d at 828 (citation omitted).</w:t>
        <w:br/>
        <w:t>"In summary, the T.B. Harms test requires the district court to exercise jurisdiction if: (1) the complaint asks for a remedy expressly granted by the Copyright Act; (2) the complaint requires an interpretation of the Copyright Act; or (3) federal principles should control the claims." Scholastic Entm't, Inc., 336 F.3d at 986. "The test outlined in T.B. Harms is essentially a reiteration of the `well-pleaded complaint' rule that federal jurisdiction exists only when a federal question is presented on the face of a properly pleaded complaint." Id.; see also Nimmer on Copyright § 12.01[A][1][d][1]. However, the well-pleaded complaint rule has a necessary corollary — the artful pleading doctrine. "[U]nder the artful pleading rule `a plaintiff may not defeat removal by omitting to plead necessary federal questions in a complaint.'" ARCO Envtl. Remediation, L.L.C. v. Dept. of Health &amp; Envtl. Quality of the State of Mont., 213 F.3d 1108, 1114 (9th Cir.2000) (quoting Franchise Tax Bd. of Cal. v. Constr. Laborers Vacation Trust for S. Cal., 463 U.S. 1, 22, 103 S.Ct. 2841, 77 L.Ed.2d 420 (1983)); see also Nimmer, § 12.01[A][1][d][I] ("[A] plaintiff may not defeat federal court jurisdiction through the simple expedient of artfully pleading around necessary federal questions.").”</w:t>
        <w:br/>
        <w:t>Communications Decency Act</w:t>
        <w:br/>
        <w:t>The statute violates Article VI “The Supremacy Clause” of the US constitution, and Article 1 section 8 clause 3 of the US constitution, because congress has acted to expressly preempt the statute with the Communications Decency Act 47 USC § 230</w:t>
      </w:r>
    </w:p>
    <w:p>
      <w:pPr>
        <w:pStyle w:val="BodyText"/>
        <w:bidi w:val="0"/>
        <w:spacing w:before="0" w:after="283"/>
        <w:jc w:val="start"/>
        <w:rPr/>
      </w:pPr>
      <w:r>
        <w:rPr/>
        <w:t>The Communications Decency Act statute 47 USC § 230 states in pertinent part:</w:t>
        <w:br/>
        <w:t>[...]</w:t>
        <w:br/>
        <w:t>[...]</w:t>
        <w:br/>
        <w:t>Protection for “Good Samaritan” blocking and screening of offensive material</w:t>
        <w:br/>
        <w:t xml:space="preserve">Treatment of publisher or speakerNo provider or user of an interactive computer service shall be treated as the publisher or speaker of any information provided by another information content provider. </w:t>
        <w:br/>
        <w:t>[…]</w:t>
        <w:br/>
        <w:t xml:space="preserve">[…] </w:t>
        <w:br/>
        <w:t>Effect on other laws</w:t>
        <w:br/>
        <w:t>No effect on criminal lawNothing in this section shall be construed to impair the enforcement of section 223 or 231 of this title, chapter 71 (relating to obscenity) or 110 (relating to sexual exploitation of children) of title 18, or any other Federal criminal statute.</w:t>
        <w:br/>
        <w:t>No effect on intellectual property law Nothing in this section shall be construed to limit or expand any law pertaining to intellectual property.</w:t>
        <w:br/>
        <w:t>State law Nothing in this section shall be construed to prevent any State from enforcing any State law that is consistent with this section. No cause of action may be brought and no liability may be imposed under any State or local law that is inconsistent with this section.</w:t>
        <w:br/>
        <w:t>No effect on communications privacy lawNothing in this section shall be construed to limit the application of the Electronic Communications Privacy Act of 1986 or any of the amendments made by such Act, or any similar State law.</w:t>
        <w:br/>
        <w:t xml:space="preserve">No effect on sex trafficking lawNothing in this section (other than subsection (c)(2)(A)) shall be construed to impair or limit— </w:t>
        <w:br/>
        <w:t>any claim in a civil action brought under section 1595 of title 18, if the conduct underlying the claim constitutes a violation of section 1591 of that title;</w:t>
        <w:br/>
        <w:t>any charge in a criminal prosecution brought under State law if the conduct underlying the charge would constitute a violation of section 1591 of title 18; or</w:t>
        <w:br/>
        <w:t>any charge in a criminal prosecution brought under State law if the conduct underlying the charge would constitute a violation of section 2421A of title 18, and promotion or facilitation of prostitution is illegal in the jurisdiction where the defendant’s promotion or facilitation of prostitution was targeted.</w:t>
        <w:br/>
        <w:t>Definitions As used in this section:</w:t>
        <w:br/>
        <w:t>InternetThe term “Internet” means the international computer network of both Federal and non-Federal interoperable packet switched data networks.</w:t>
        <w:br/>
        <w:t>Interactive computer serviceThe term “interactive computer service” means any information service, system, or access software provider that provides or enables computer access by multiple users to a computer server, including specifically a service or system that provides access to the Internet and such systems operated or services offered by libraries or educational institutions.</w:t>
        <w:br/>
        <w:t>Information content providerThe term “information content provider” means any person or entity that is responsible, in whole or in part, for the creation or development of information provided through the Internet or any other interactive computer service.</w:t>
        <w:br/>
        <w:t>Access software providerThe term “access software provider” means a provider of software (including client or server software), or enabling tools that do any one or more of the following:</w:t>
        <w:br/>
        <w:t>filter, screen, allow, or disallow content;</w:t>
        <w:br/>
        <w:t>pick, choose, analyze, or digest content; or</w:t>
        <w:br/>
        <w:t>transmit, receive, display, forward, cache, search, subset, organize, reorganize, or translate content.</w:t>
        <w:br/>
        <w:t>Congress intended “ to preserve the vibrant and competitive free market that presently exists for the internet and other interactive computer services unfettered by federal or state regulation,” § 230(b)(2), by providing that “no provider or user of an interactive computer service shall be treated as the publisher or speaker of any information provided by another information content provider” § 230(c)(1), and “no cause of action may be brought and no liability may be imposed under any state or local law that is inconsistent with this section" § 230(e)(3)</w:t>
      </w:r>
    </w:p>
    <w:p>
      <w:pPr>
        <w:pStyle w:val="BodyText"/>
        <w:bidi w:val="0"/>
        <w:spacing w:before="0" w:after="283"/>
        <w:jc w:val="start"/>
        <w:rPr/>
      </w:pPr>
      <w:r>
        <w:rPr/>
        <w:t>Though the statute provides immunity for providers of an interactive computer service, it does not provide immunity for users. Hence if a person sends an intimate image over an interactive computer service, they are immunized if they post the image to a website that they own, but are not immune if they post that image to another website. See e.g. Batzel v. Smith 333 F.3d 1018, 1030 - 9th Circuit 2003 (“the language of § 230(c)(1) confers immunity not just on ‘providers’ of such services, but on ‘users’ of such services”); See also Barrett v. Rosenthal 51 Cal. Rptr. 3D 55, 63</w:t>
        <w:br/>
        <w:t>We conclude there is no basis for deriving a special meaning for the term "user" in section 230(c)(1), or any operative distinction between "active" and "passive" Internet use. By declaring that no "user" may be treated as a "publisher" of third party content, Congress has comprehensively immunized republication by individual Internet users.</w:t>
        <w:br/>
        <w:t>Congress chose to immunize defendants against all state laws, except those which are involved with wiretapping, or human sex trafficking See e.g. Backpage. Com, LLC v. McKenna, 881 F. Supp. 2D 1262, 1275 - Dist. Court, WD Washington 2012 (“If Congress did not want the CDA to apply in state criminal actions, it would have said so.”); See also Barnes v. Yahoo!, Inc., 570 F. 3d 1096, 1101 – 1102 - Court of Appeals, 9th Circuit 2009</w:t>
        <w:br/>
        <w:t>But "a law's scope often differs from its genesis," Craigslist, 519 F.3d at 671, and the language of the statute does not limit its application to defamation cases. Indeed, many causes of action might be premised on the publication or speaking of what one might call "information content." A provider of information services might get sued for violating anti-discrimination laws, see, e.g., Roommates, 521 F.3d 1157; for fraud, negligent misrepresentation, and ordinary negligence, see, e.g., Doe v. MySpace, Inc., 528 F.3d 413 (5th Cir.2008), cert. denied, ___ U.S. ___, 129 S.Ct. 600, 172 L.Ed.2d 456; for false light, see, e.g., Flowers v. Carville, 310 F.3d 1118 (9th Cir.2002); or even for negligent publication of advertisements that cause harm to third parties, see Braun v. Soldier of Fortune Magazine, Inc., 968 F.2d 1110 (11th Cir.1992). Thus, what matters is not the name of the cause of action—defamation versus negligence versus intentional infliction of emotional distress—what matters is whether the cause of action inherently requires the court to treat the defendant as the "publisher or speaker" of content provided by another. To put it another way, courts must ask whether the duty that the plaintiff alleges the defendant violated derives from the defendant's status or conduct as a "publisher or speaker." If it does, section 230(c)(1) precludes liability.</w:t>
        <w:br/>
        <w:t>Interstate Commerce Clause</w:t>
        <w:br/>
        <w:t xml:space="preserve">The statute is preempted under the powers granted to congress under the commerce clause of the constitution Article 1 section 8 clause 3 of the U.S. constitution, those powers “encompass implicit or ‘dormant’ limitation on the authority of states to enact legislation affecting interstate commerce” Backpage. Com, LLC v. McKenna, 881 F. Supp. 2D 1262, 1275, 1185 - 1186 - Dist. Court, WD Washington 2012 </w:t>
        <w:br/>
        <w:t>A state cannot regulate conduct that takes place exclusively outside the state. Healy, 491 U.S. at 336, 109 S.Ct. 2491. Where a state statute only has incidental effects on interstate commerce, the statute will be upheld "[w]here the statute regulates even-handedly to effectuate a legitimate local public interest," where "its effects on interstate commerce are only incidental," and where the burden imposed on interstate commerce is not "clearly excessive in relation to the putative local benefits." Pike v. Bruce Church, Inc., 397 U.S. 137, 142, 90 S.Ct. 844, 25 L.Ed.2d 174 (1970). "[T]he practical effect of the statute must be evaluated not only by considering the consequences of the statute itself, but also by considering how the challenged statute may interact with the legitimate regulatory regimes of other States and what effect would arise if not one, but many or every, State adopted similar legislation." Healy, 491 U.S. at 336, 109 S.Ct. 2491. Finally, there exist unique aspects of commerce that demand national treatment. See, e.g., Wabash, St. L. &amp; P. Ry. Co. v. Illinois, 118 U.S. 557, 7 S.Ct. 4, 30 L.Ed. 244 (1886) (holding railroad rate exempt from state regulation).</w:t>
        <w:br/>
        <w:t>[…]</w:t>
        <w:br/>
        <w:t>the Internet is likely a unique aspect of commerce that demands national treatment. "The Internet is wholly insensitive to geographic distinctions" and itself "represents an instrument of interstate commerce." Amer. Libraries Assoc. v. Pataki, 969 F.Supp. 160, 173 (S.D.N.Y.1997). See also Chicago Lawyers' Comm. for Civil Rights Under Law, Inc. v. Craigslist, Inc., 519 F.3d 666 (7th Cir.2008) ("Online services are in some respects like the classified pages of newspapers, but in others they operate like common carriers such as telephone services."). Thus, "[t]he Internet, like ... rail and highway traffic ..., requires a cohesive national scheme of regulation so that users are reasonably able to determine their obligations." Pataki, 969 F.Supp. at 182; cf. Wabash, St. L. &amp; P. Ry. Co. v. Illinois, 118 U.S. 557, 7 S.Ct. 4, 30 L.Ed. 244 (1886) (holding railroad rate exempt from state regulation).</w:t>
        <w:br/>
        <w:t>As for the first requrement, the statute is directly targeted towards intellectual property specifically the internet pornography industry, and the legislature did not weith the burden imposed on interstate commerce. In order for many of these websites to operate and to market their ads, they have to have content to offer viewers, and “home made” pornography is a large segment of the internet industry. In 2019 “amateur” pornography was the number 1 search term on the website pornhub, and the site added 98,000 new amateur models in that year. The most popular video on pornhub of all time, is the Kim Kardashian sex tape with over 200 million views, which is considered a violation of ORS 163.472 to post on the internet. See e.g. Pornhub.com 2018 and 2019 year in review.</w:t>
      </w:r>
    </w:p>
    <w:p>
      <w:pPr>
        <w:pStyle w:val="BodyText"/>
        <w:bidi w:val="0"/>
        <w:spacing w:before="0" w:after="283"/>
        <w:jc w:val="start"/>
        <w:rPr/>
      </w:pPr>
      <w:r>
        <w:rPr/>
        <w:t>Due Process</w:t>
        <w:br/>
        <w:t>ORS 163.472 is sufficiently vague that it violates the due process of defendants. See e.g. Grayned v. City of Rockford, 408 US 104, 108 – 109 - Supreme Court 1972</w:t>
        <w:br/>
        <w:t>It is a basic principle of due process that an enactment is void for vagueness if its prohibitions are not clearly defined. Vague laws offend several important values. First, because we assume that man is free to steer between lawful and unlawful conduct, we insist that laws give the person of ordinary intelligence a reasonable opportunity to know what is prohibited, so that he may act accordingly. Vague laws may trap the innocent by not providing fair warning. Second, if arbitrary and discriminatory enforcement is to be prevented, laws must provide explicit standards for those who apply them. A vague law impermissibly delegates basic policy matters to policemen, judges, and juries for resolution on an ad hoc and subjective basis, with the attendant dangers of arbitrary and discriminatory application. Third, but related, where a vague statute "abut[s] upon sensitive areas of basic First Amendment freedoms," it "operates to inhibit the exercise of [those] freedoms." Uncertain meanings inevitably lead citizens to " `steer far wider of the unlawful zone' . . . than if the boundaries of the forbidden areas were clearly marked."</w:t>
        <w:br/>
        <w:t>The language in the statute where a person “causes to be disclosed” is vague because it is not clear whether the cause mentioned is proximate cause, or part of some “but for” causal chain, for example a person who misplaced a phone containing intimate images, then uploaded by another.</w:t>
      </w:r>
    </w:p>
    <w:p>
      <w:pPr>
        <w:pStyle w:val="BodyText"/>
        <w:bidi w:val="0"/>
        <w:spacing w:before="0" w:after="283"/>
        <w:jc w:val="start"/>
        <w:rPr/>
      </w:pPr>
      <w:r>
        <w:rPr/>
        <w:t>The language in the statute regarding an “identifiable image” is vague, because it does not define what is vague, rather the statute uses the words “discernable” or “recognizable”, whereas the words “identifiable image” requires that the images themselves be enough to identify the depicted person by themselves, and when you view an image of a random person the image itself is not sufficient to identify the person without information external to the image (like knowledge of the person before hand).</w:t>
      </w:r>
    </w:p>
    <w:p>
      <w:pPr>
        <w:pStyle w:val="BodyText"/>
        <w:bidi w:val="0"/>
        <w:spacing w:before="0" w:after="283"/>
        <w:jc w:val="start"/>
        <w:rPr/>
      </w:pPr>
      <w:r>
        <w:rPr/>
        <w:t>The language that exempts “disclosures that serve a lawful public interest is vague, because it is axiomatic that what is lawful is not unlawful, so either the exemption subsection means not unlawful in a different way, e.g. hacking, or it implies that all disclosures that serve a public interest are lawful. Moreover the term public interest can be read in two ways, those things that advance some interests of the public, of some image that is of interest to members of the public.</w:t>
      </w:r>
    </w:p>
    <w:p>
      <w:pPr>
        <w:pStyle w:val="BodyText"/>
        <w:bidi w:val="0"/>
        <w:spacing w:before="0" w:after="283"/>
        <w:jc w:val="start"/>
        <w:rPr/>
      </w:pPr>
      <w:r>
        <w:rPr/>
        <w:t>The language which criminalizes the acts when “a reasonable person would be harassed, humiliated, or injured”, because it requires a jury pass judgement of the cultural values of the person. For example whether a person is a part of a polynesian tribe where nudity is normal, or a practicing the Islamic religion where women are expected to wear burkas. A person might find that a cultural practice derived from the tropical jungle heat, would be more reasonable than one based on a puritanical abrahamic religion.</w:t>
      </w:r>
    </w:p>
    <w:p>
      <w:pPr>
        <w:pStyle w:val="BodyText"/>
        <w:bidi w:val="0"/>
        <w:spacing w:before="0" w:after="283"/>
        <w:jc w:val="start"/>
        <w:rPr/>
      </w:pPr>
      <w:r>
        <w:rPr/>
        <w:t>The language which criminalizes the acts when a person “knew or reasonably should have known that the other person does not consent” is vague for several reasons. First is that it requires mind reading, to anticipate what the persons present mental state is, even if they have consented in the past. The second is that the language is a negligence standard of mens rea, and the jury would have to consider many other factors, such as the legal standards of: duty of care, foreseeability, prudence, and contributory negligence. See e.g. Elonis v. US, 135 S. Ct. 2001, 2011 - Supreme Court 2015</w:t>
        <w:br/>
        <w:t xml:space="preserve">Such a "reasonable person" standard is a familiar feature of civil liability in tort law, but is inconsistent with "the conventional requirement for criminal conduct—awareness of some wrongdoing." Staples, 511 U.S., at 606-607, 114 S.Ct. 1793 (quoting United States v. Dotterweich, 320 U.S. 277, 281, 64 S.Ct. 134, 88 L.Ed. 48 (1943); emphasis added). Having liability turn on whether a "reasonable person" regards the communication as a threat—regardless of what the defendant thinks—"reduces culpability on the all-important element of the crime to negligence," Jeffries, 692 F.3d, at 484 (Sutton, J., dubitante), and we "have long been reluctant to infer that a negligence standard was intended in criminal statutes," Rogers v. United States, 422 U.S. 35, 47, 95 S.Ct. 2091, 45 L.Ed.2d 1 (1975) (Marshall, J., concurring) (citing Morissette, 342 U.S. 246, 72 S.Ct. 240, 96 L.Ed. 288). See 1 C. Torcia, Wharton's Criminal Law § 27, pp. 171-172 (15th ed. 1993); Cochran v. United States, 157 U.S. 286, 294, 15 S.Ct. 628, 39 L.Ed. 704 (1895) (defendant could face "liability in a civil action for negligence, but he could only be held criminally for an evil intent actually existing in his mind"). </w:t>
        <w:br/>
        <w:t xml:space="preserve">Taking Clause </w:t>
        <w:br/>
        <w:t>The statute violates the taking clause of the 5th amendment, because the statute takes intellectual property of a property owner, and the taking was for a public purpose co-terminus with the police powers, which deprives the property owner of all commercial use of the property. see e.g. Roth v. Pritikin, 710 F. 2d 934, 939 - Court of Appeals, 2nd Circuit 1983</w:t>
        <w:br/>
        <w:t>a subsequently enacted statute which purported to divest Pritikin and McGrady of their interest in the copyright by invalidating the 1977 agreement could be viewed as an unconstitutional taking. See, e.g., Pennsylvania Coal Co. v. Mahon, 260 U.S. 393, 43 S.Ct. 158, 67 L.Ed. 322 (1922); Penn Central Transportation Co. v. New York City, 438 U.S. 104, 98 S.Ct. 2646, 57 L.Ed.2d 631 (1978); see also Michelman, Property, Utility, And Fairness: Comments On The Ethical Foundations of "Just Compensation" Law, 80 Harv.L.Rev. 1165 (1967)</w:t>
        <w:br/>
        <w:t>See Also Lane v. First Nat. Bank of Boston, 871 F. 2d 166, 174 - Court of Appeals, 1st Circuit 1989</w:t>
        <w:br/>
        <w:t>Since a copyright is property, Roth v. Pritikin, 710 F.2d 934, 939 (2d Cir.), cert. denied, 464 U.S. 961, 104 S.Ct. 394, 78 L.Ed.2d 337 (1983), Lane may very well be able to sue in state court on a state-law claim for essentially the harm that she contends the Commonwealth has perpetrated. And if she exhausts State remedies and establishes that the Massachusetts legal system affords her no just compensation for the wrongful confiscation of her property, the Takings Clause of the federal Constitution might at that point enable her to pursue a damage remedy in federal court.</w:t>
        <w:br/>
        <w:t xml:space="preserve">Contract Clause </w:t>
        <w:br/>
        <w:t>The language used in the statute requires affirmative consent at the time that the speech was made, which would abrogate a previously made contract between the defendant and the victim, and violates Article 1 section 10 the contract clause of the US constitution see e.g. Home Building &amp; Loan Assn. v. Blaisdell, 290 US 398, 431 - Supreme Court 1934</w:t>
        <w:br/>
        <w:t>The obligations of a contract are impaired by a law which renders them invalid, or releases or extinguishes them[9] (Sturges v. Crowninshield, supra, pp. 197, 198) and impairment, as above noted, has been predicated of laws which without destroying contracts derogate from substantial contractual rights.</w:t>
      </w:r>
    </w:p>
    <w:p>
      <w:pPr>
        <w:pStyle w:val="BodyText"/>
        <w:bidi w:val="0"/>
        <w:spacing w:before="0" w:after="283"/>
        <w:jc w:val="start"/>
        <w:rPr/>
      </w:pPr>
      <w:r>
        <w:rPr/>
        <w:t>SUPPLEMENTAL AUTHORITY APPENDIX (ADDED APRIL 9, 2026)</w:t>
      </w:r>
    </w:p>
    <w:p>
      <w:pPr>
        <w:pStyle w:val="BodyText"/>
        <w:bidi w:val="0"/>
        <w:spacing w:before="0" w:after="283"/>
        <w:jc w:val="start"/>
        <w:rPr/>
      </w:pPr>
      <w:r>
        <w:rPr/>
        <w:t>Without withdrawing any prior argument in this memorandum, Benjamin Barber further notes that an old conviction under ORS 163.472 does not itself bar a purely prospective constitutional challenge to future enforcement of the statute.</w:t>
      </w:r>
    </w:p>
    <w:p>
      <w:pPr>
        <w:pStyle w:val="BodyText"/>
        <w:bidi w:val="0"/>
        <w:spacing w:before="0" w:after="283"/>
        <w:jc w:val="start"/>
        <w:rPr/>
      </w:pPr>
      <w:r>
        <w:rPr/>
        <w:t>In Olivier v. City of Brandon, Mississippi, No. 24-993, 607 U.S. ___ (Mar. 20, 2026), the Supreme Court held that Heck v. Humphrey does not bar a suit seeking wholly prospective relief against future enforcement, even when the plaintiff was previously convicted under the challenged law.</w:t>
      </w:r>
    </w:p>
    <w:p>
      <w:pPr>
        <w:pStyle w:val="BodyText"/>
        <w:bidi w:val="0"/>
        <w:spacing w:before="0" w:after="283"/>
        <w:jc w:val="start"/>
        <w:rPr/>
      </w:pPr>
      <w:r>
        <w:rPr/>
        <w:t>To the extent any party asks this Court to treat an old ORS 163.472 conviction as if it automatically forecloses all future constitutional challenge, Benjamin Barber respectfully disagrees.</w:t>
      </w:r>
    </w:p>
    <w:p>
      <w:pPr>
        <w:pStyle w:val="BodyText"/>
        <w:bidi w:val="0"/>
        <w:spacing w:before="0" w:after="283"/>
        <w:jc w:val="start"/>
        <w:rPr/>
      </w:pPr>
      <w:r>
        <w:rPr/>
        <w:t>If this Court concludes that it must actually reach the merits of the constitutionality of ORS 163.472, Benjamin Barber is prepared to provide a separate memorandum of law addressing the statute's constitutionality for the Court's consideration.</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before="1296" w:after="1296"/>
      <w:ind w:start="1296" w:end="1296"/>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6115" w:leader="none"/>
        <w:tab w:val="right" w:pos="10934" w:leader="none"/>
      </w:tabs>
    </w:pPr>
    <w:rPr/>
  </w:style>
  <w:style w:type="paragraph" w:styleId="Footer">
    <w:name w:val="Footer"/>
    <w:basedOn w:val="Normal"/>
    <w:pPr>
      <w:suppressLineNumbers/>
      <w:tabs>
        <w:tab w:val="clear" w:pos="1134"/>
        <w:tab w:val="center" w:pos="6114" w:leader="none"/>
        <w:tab w:val="right" w:pos="10933" w:leader="none"/>
      </w:tabs>
    </w:pPr>
    <w:rPr/>
  </w:style>
  <w:style w:type="paragraph" w:styleId="Header">
    <w:name w:val="Header"/>
    <w:basedOn w:val="Normal"/>
    <w:pPr>
      <w:suppressLineNumbers/>
      <w:tabs>
        <w:tab w:val="clear" w:pos="1134"/>
        <w:tab w:val="center" w:pos="6114" w:leader="none"/>
        <w:tab w:val="right" w:pos="10933"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ages>3</Pages>
  <Words>12891</Words>
  <Characters>65989</Characters>
  <CharactersWithSpaces>78853</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 re Jane Cortez - Memorandum in Support of Motion to Demur (Appended)</dc:title>
</cp:coreProperties>
</file>

<file path=docProps/custom.xml><?xml version="1.0" encoding="utf-8"?>
<Properties xmlns="http://schemas.openxmlformats.org/officeDocument/2006/custom-properties" xmlns:vt="http://schemas.openxmlformats.org/officeDocument/2006/docPropsVTypes"/>
</file>