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rStyle w:val="Strong"/>
        </w:rPr>
        <w:t>IN THE CIRCUIT COURT OF THE STATE OF OREGON</w:t>
      </w:r>
      <w:r>
        <w:rPr/>
        <w:br/>
      </w:r>
      <w:r>
        <w:rPr>
          <w:rStyle w:val="Strong"/>
        </w:rPr>
        <w:t>FOR THE COUNTY OF CLACKAMAS</w:t>
      </w:r>
    </w:p>
    <w:p>
      <w:pPr>
        <w:pStyle w:val="BodyText"/>
        <w:bidi w:val="0"/>
        <w:spacing w:before="0" w:after="283"/>
        <w:jc w:val="start"/>
        <w:rPr/>
      </w:pPr>
      <w:r>
        <w:rPr/>
        <w:t>In re Jane Cortez</w:t>
        <w:br/>
        <w:t>Case No. __________</w:t>
      </w:r>
    </w:p>
    <w:p>
      <w:pPr>
        <w:pStyle w:val="BodyText"/>
        <w:bidi w:val="0"/>
        <w:ind w:hanging="0" w:start="0" w:end="0"/>
        <w:jc w:val="center"/>
        <w:rPr>
          <w:b/>
          <w:caps/>
        </w:rPr>
      </w:pPr>
      <w:r>
        <w:rPr>
          <w:b/>
          <w:caps/>
        </w:rPr>
        <w:t>Memorandum of Law in Support of Motion to Demur</w:t>
        <w:br/>
        <w:t xml:space="preserve">Regarding ORS 163.472 </w:t>
      </w:r>
    </w:p>
    <w:p>
      <w:pPr>
        <w:pStyle w:val="BodyText"/>
        <w:bidi w:val="0"/>
        <w:spacing w:before="0" w:after="283"/>
        <w:jc w:val="start"/>
        <w:rPr/>
      </w:pPr>
      <w:r>
        <w:rPr/>
        <w:t xml:space="preserve">Benjamin Barber submits this memorandum in support of a demurrer or equivalent constitutional objection to the extent any party asks this Court to treat </w:t>
      </w:r>
      <w:r>
        <w:rPr>
          <w:rStyle w:val="SourceText"/>
        </w:rPr>
        <w:t>ORS 163.472</w:t>
      </w:r>
      <w:r>
        <w:rPr/>
        <w:t xml:space="preserve"> as a dispositive merits shortcut in this probate matter.</w:t>
      </w:r>
    </w:p>
    <w:p>
      <w:pPr>
        <w:pStyle w:val="BodyText"/>
        <w:bidi w:val="0"/>
        <w:spacing w:before="0" w:after="283"/>
        <w:jc w:val="start"/>
        <w:rPr/>
      </w:pPr>
      <w:r>
        <w:rPr/>
        <w:t>This memorandum is intentionally narrowed. It preserves the strongest constitutional points from the earlier draft and omits weaker or unnecessary branches unless the Court later requests full merits briefing.</w:t>
      </w:r>
    </w:p>
    <w:p>
      <w:pPr>
        <w:pStyle w:val="BodyTextsection"/>
        <w:bidi w:val="0"/>
        <w:jc w:val="start"/>
        <w:rPr/>
      </w:pPr>
      <w:r>
        <w:rPr/>
        <w:t>I. Preliminary Point</w:t>
      </w:r>
    </w:p>
    <w:p>
      <w:pPr>
        <w:pStyle w:val="BodyText"/>
        <w:bidi w:val="0"/>
        <w:spacing w:before="0" w:after="283"/>
        <w:jc w:val="start"/>
        <w:rPr/>
      </w:pPr>
      <w:r>
        <w:rPr/>
        <w:t xml:space="preserve">This probate proceeding is not the ideal forum for deciding a full facial or as-applied constitutional challenge to </w:t>
      </w:r>
      <w:r>
        <w:rPr>
          <w:rStyle w:val="SourceText"/>
        </w:rPr>
        <w:t>ORS 163.472</w:t>
      </w:r>
      <w:r>
        <w:rPr/>
        <w:t xml:space="preserve">. The threshold point for present purposes is narrower: if another party invokes an old conviction under </w:t>
      </w:r>
      <w:r>
        <w:rPr>
          <w:rStyle w:val="SourceText"/>
        </w:rPr>
        <w:t>ORS 163.472</w:t>
      </w:r>
      <w:r>
        <w:rPr/>
        <w:t xml:space="preserve"> as if it automatically resolves Benjamin Barber's present credibility, speech rights, or future legal position, that proposition is incorrect.</w:t>
      </w:r>
    </w:p>
    <w:p>
      <w:pPr>
        <w:pStyle w:val="BodyText"/>
        <w:bidi w:val="0"/>
        <w:spacing w:before="0" w:after="283"/>
        <w:jc w:val="start"/>
        <w:rPr/>
      </w:pPr>
      <w:r>
        <w:rPr/>
        <w:t xml:space="preserve">An earlier conviction does not itself bar a purely prospective constitutional challenge to future enforcement of a speech-restrictive law. See </w:t>
      </w:r>
      <w:r>
        <w:rPr>
          <w:rStyle w:val="Emphasis"/>
        </w:rPr>
        <w:t>Olivier v. City of Brandon, Mississippi</w:t>
      </w:r>
      <w:r>
        <w:rPr/>
        <w:t xml:space="preserve">, No. </w:t>
      </w:r>
      <w:r>
        <w:rPr>
          <w:rStyle w:val="SourceText"/>
        </w:rPr>
        <w:t>24-993</w:t>
      </w:r>
      <w:r>
        <w:rPr/>
        <w:t xml:space="preserve">, </w:t>
      </w:r>
      <w:r>
        <w:rPr>
          <w:rStyle w:val="SourceText"/>
        </w:rPr>
        <w:t>607 U.S. ___</w:t>
      </w:r>
      <w:r>
        <w:rPr/>
        <w:t xml:space="preserve"> (Mar. 20, 2026). In </w:t>
      </w:r>
      <w:r>
        <w:rPr>
          <w:rStyle w:val="Emphasis"/>
        </w:rPr>
        <w:t>Olivier</w:t>
      </w:r>
      <w:r>
        <w:rPr/>
        <w:t xml:space="preserve">, the Supreme Court held that </w:t>
      </w:r>
      <w:r>
        <w:rPr>
          <w:rStyle w:val="Emphasis"/>
        </w:rPr>
        <w:t>Heck v. Humphrey</w:t>
      </w:r>
      <w:r>
        <w:rPr/>
        <w:t xml:space="preserve"> does not bar a suit seeking wholly prospective relief against future enforcement, even when the plaintiff was previously convicted under the challenged law.</w:t>
      </w:r>
    </w:p>
    <w:p>
      <w:pPr>
        <w:pStyle w:val="BodyText"/>
        <w:bidi w:val="0"/>
        <w:spacing w:before="0" w:after="283"/>
        <w:jc w:val="start"/>
        <w:rPr/>
      </w:pPr>
      <w:r>
        <w:rPr/>
        <w:t xml:space="preserve">Accordingly, if the Court concludes that it must reach the merits of </w:t>
      </w:r>
      <w:r>
        <w:rPr>
          <w:rStyle w:val="SourceText"/>
        </w:rPr>
        <w:t>ORS 163.472</w:t>
      </w:r>
      <w:r>
        <w:rPr/>
        <w:t>, Benjamin Barber respectfully requests leave to fully brief the issue rather than having the question resolved by implication from an old conviction alone.</w:t>
      </w:r>
    </w:p>
    <w:p>
      <w:pPr>
        <w:pStyle w:val="BodyTextsection"/>
        <w:bidi w:val="0"/>
        <w:jc w:val="start"/>
        <w:rPr/>
      </w:pPr>
      <w:r>
        <w:rPr/>
        <w:t>II. Statutory Background</w:t>
      </w:r>
    </w:p>
    <w:p>
      <w:pPr>
        <w:pStyle w:val="BodyText"/>
        <w:bidi w:val="0"/>
        <w:spacing w:before="0" w:after="283"/>
        <w:jc w:val="start"/>
        <w:rPr/>
      </w:pPr>
      <w:r>
        <w:rPr>
          <w:rStyle w:val="SourceText"/>
        </w:rPr>
        <w:t>ORS 163.472</w:t>
      </w:r>
      <w:r>
        <w:rPr/>
        <w:t xml:space="preserve"> criminalizes the disclosure, through an Internet website, of an identifiable intimate image where:</w:t>
      </w:r>
    </w:p>
    <w:p>
      <w:pPr>
        <w:pStyle w:val="BodyText"/>
        <w:numPr>
          <w:ilvl w:val="0"/>
          <w:numId w:val="2"/>
        </w:numPr>
        <w:tabs>
          <w:tab w:val="clear" w:pos="1134"/>
          <w:tab w:val="left" w:pos="2005" w:leader="none"/>
        </w:tabs>
        <w:bidi w:val="0"/>
        <w:spacing w:before="0" w:after="0"/>
        <w:ind w:hanging="283" w:start="2005"/>
        <w:jc w:val="start"/>
        <w:rPr/>
      </w:pPr>
      <w:r>
        <w:rPr/>
        <w:t xml:space="preserve">the speaker acts with intent to harass, humiliate, or injure; </w:t>
      </w:r>
    </w:p>
    <w:p>
      <w:pPr>
        <w:pStyle w:val="BodyText"/>
        <w:numPr>
          <w:ilvl w:val="0"/>
          <w:numId w:val="2"/>
        </w:numPr>
        <w:tabs>
          <w:tab w:val="clear" w:pos="1134"/>
          <w:tab w:val="left" w:pos="2005" w:leader="none"/>
        </w:tabs>
        <w:bidi w:val="0"/>
        <w:spacing w:before="0" w:after="0"/>
        <w:ind w:hanging="283" w:start="2005"/>
        <w:jc w:val="start"/>
        <w:rPr/>
      </w:pPr>
      <w:r>
        <w:rPr/>
        <w:t xml:space="preserve">the speaker knows or reasonably should know the depicted person does not consent; </w:t>
      </w:r>
    </w:p>
    <w:p>
      <w:pPr>
        <w:pStyle w:val="BodyText"/>
        <w:numPr>
          <w:ilvl w:val="0"/>
          <w:numId w:val="2"/>
        </w:numPr>
        <w:tabs>
          <w:tab w:val="clear" w:pos="1134"/>
          <w:tab w:val="left" w:pos="2005" w:leader="none"/>
        </w:tabs>
        <w:bidi w:val="0"/>
        <w:spacing w:before="0" w:after="0"/>
        <w:ind w:hanging="283" w:start="2005"/>
        <w:jc w:val="start"/>
        <w:rPr/>
      </w:pPr>
      <w:r>
        <w:rPr/>
        <w:t xml:space="preserve">the depicted person is harassed, humiliated, or injured; and </w:t>
      </w:r>
    </w:p>
    <w:p>
      <w:pPr>
        <w:pStyle w:val="BodyText"/>
        <w:numPr>
          <w:ilvl w:val="0"/>
          <w:numId w:val="2"/>
        </w:numPr>
        <w:tabs>
          <w:tab w:val="clear" w:pos="1134"/>
          <w:tab w:val="left" w:pos="2005" w:leader="none"/>
        </w:tabs>
        <w:bidi w:val="0"/>
        <w:ind w:hanging="283" w:start="2005"/>
        <w:jc w:val="start"/>
        <w:rPr/>
      </w:pPr>
      <w:r>
        <w:rPr/>
        <w:t xml:space="preserve">a reasonable person would be harassed, humiliated, or injured. </w:t>
      </w:r>
    </w:p>
    <w:p>
      <w:pPr>
        <w:pStyle w:val="BodyText"/>
        <w:bidi w:val="0"/>
        <w:spacing w:before="0" w:after="283"/>
        <w:jc w:val="start"/>
        <w:rPr/>
      </w:pPr>
      <w:r>
        <w:rPr/>
        <w:t>The statute also includes a series of carveouts for law enforcement, medical/scientific/educational activity, legal proceedings, reporting unlawful conduct, lawful public interest, some commercial-purpose images, and interactive-computer-service providers.</w:t>
      </w:r>
    </w:p>
    <w:p>
      <w:pPr>
        <w:pStyle w:val="BodyTextsection"/>
        <w:bidi w:val="0"/>
        <w:jc w:val="start"/>
        <w:rPr/>
      </w:pPr>
      <w:r>
        <w:rPr/>
        <w:t>III. Strongest Constitutional Grounds</w:t>
      </w:r>
    </w:p>
    <w:p>
      <w:pPr>
        <w:pStyle w:val="BodyText"/>
        <w:bidi w:val="0"/>
        <w:spacing w:before="0" w:after="283"/>
        <w:jc w:val="start"/>
        <w:rPr/>
      </w:pPr>
      <w:r>
        <w:rPr>
          <w:rStyle w:val="Strong"/>
        </w:rPr>
        <w:t>A. ORS 163.472 is content based on its face</w:t>
      </w:r>
    </w:p>
    <w:p>
      <w:pPr>
        <w:pStyle w:val="BodyText"/>
        <w:bidi w:val="0"/>
        <w:spacing w:before="0" w:after="283"/>
        <w:jc w:val="start"/>
        <w:rPr/>
      </w:pPr>
      <w:r>
        <w:rPr/>
        <w:t>The statute turns on the communicative content of the image and on the message-dependent reasons for disclosure. A court cannot determine whether the statute was violated without examining the content of the communication, the subject matter of the image, and the speaker's allegedly prohibited purpose.</w:t>
      </w:r>
    </w:p>
    <w:p>
      <w:pPr>
        <w:pStyle w:val="BodyText"/>
        <w:bidi w:val="0"/>
        <w:spacing w:before="0" w:after="283"/>
        <w:jc w:val="start"/>
        <w:rPr/>
      </w:pPr>
      <w:r>
        <w:rPr/>
        <w:t>That is the hallmark of a content-based law. Content-based speech restrictions are presumptively unconstitutional and ordinarily trigger strict scrutiny. See:</w:t>
      </w:r>
    </w:p>
    <w:p>
      <w:pPr>
        <w:pStyle w:val="BodyText"/>
        <w:numPr>
          <w:ilvl w:val="0"/>
          <w:numId w:val="3"/>
        </w:numPr>
        <w:tabs>
          <w:tab w:val="clear" w:pos="1134"/>
          <w:tab w:val="left" w:pos="2005" w:leader="none"/>
        </w:tabs>
        <w:bidi w:val="0"/>
        <w:spacing w:before="0" w:after="0"/>
        <w:ind w:hanging="283" w:start="2005"/>
        <w:jc w:val="start"/>
        <w:rPr/>
      </w:pPr>
      <w:r>
        <w:rPr>
          <w:rStyle w:val="Emphasis"/>
        </w:rPr>
        <w:t>Reed v. Town of Gilbert</w:t>
      </w:r>
      <w:r>
        <w:rPr/>
        <w:t xml:space="preserve">, 576 U.S. 155 (2015) </w:t>
      </w:r>
    </w:p>
    <w:p>
      <w:pPr>
        <w:pStyle w:val="BodyText"/>
        <w:numPr>
          <w:ilvl w:val="0"/>
          <w:numId w:val="3"/>
        </w:numPr>
        <w:tabs>
          <w:tab w:val="clear" w:pos="1134"/>
          <w:tab w:val="left" w:pos="2005" w:leader="none"/>
        </w:tabs>
        <w:bidi w:val="0"/>
        <w:spacing w:before="0" w:after="0"/>
        <w:ind w:hanging="283" w:start="2005"/>
        <w:jc w:val="start"/>
        <w:rPr/>
      </w:pPr>
      <w:r>
        <w:rPr>
          <w:rStyle w:val="Emphasis"/>
        </w:rPr>
        <w:t>Turner Broadcasting System, Inc. v. FCC</w:t>
      </w:r>
      <w:r>
        <w:rPr/>
        <w:t xml:space="preserve">, 512 U.S. 622 (1994) </w:t>
      </w:r>
    </w:p>
    <w:p>
      <w:pPr>
        <w:pStyle w:val="BodyText"/>
        <w:numPr>
          <w:ilvl w:val="0"/>
          <w:numId w:val="3"/>
        </w:numPr>
        <w:tabs>
          <w:tab w:val="clear" w:pos="1134"/>
          <w:tab w:val="left" w:pos="2005" w:leader="none"/>
        </w:tabs>
        <w:bidi w:val="0"/>
        <w:ind w:hanging="283" w:start="2005"/>
        <w:jc w:val="start"/>
        <w:rPr/>
      </w:pPr>
      <w:r>
        <w:rPr>
          <w:rStyle w:val="Emphasis"/>
        </w:rPr>
        <w:t>United States v. Playboy Entertainment Group, Inc.</w:t>
      </w:r>
      <w:r>
        <w:rPr/>
        <w:t xml:space="preserve">, 529 U.S. 803 (2000) </w:t>
      </w:r>
    </w:p>
    <w:p>
      <w:pPr>
        <w:pStyle w:val="BodyText"/>
        <w:bidi w:val="0"/>
        <w:spacing w:before="0" w:after="283"/>
        <w:jc w:val="start"/>
        <w:rPr/>
      </w:pPr>
      <w:r>
        <w:rPr/>
        <w:t xml:space="preserve">The statute is also viewpoint-sensitive in practical operation because it singles out dissemination done with intent to </w:t>
      </w:r>
      <w:r>
        <w:rPr>
          <w:rStyle w:val="SourceText"/>
        </w:rPr>
        <w:t>harass, humiliate or injure</w:t>
      </w:r>
      <w:r>
        <w:rPr/>
        <w:t>. That sort of motive element risks punishing speech because of the disfavored viewpoint or emotional impact associated with it rather than because it falls within a historically unprotected category.</w:t>
      </w:r>
    </w:p>
    <w:p>
      <w:pPr>
        <w:pStyle w:val="BodyText"/>
        <w:bidi w:val="0"/>
        <w:spacing w:before="0" w:after="283"/>
        <w:jc w:val="start"/>
        <w:rPr/>
      </w:pPr>
      <w:r>
        <w:rPr>
          <w:rStyle w:val="Strong"/>
        </w:rPr>
        <w:t>B. The statute does not fit neatly within a historically unprotected speech category</w:t>
      </w:r>
    </w:p>
    <w:p>
      <w:pPr>
        <w:pStyle w:val="BodyText"/>
        <w:bidi w:val="0"/>
        <w:spacing w:before="0" w:after="283"/>
        <w:jc w:val="start"/>
        <w:rPr/>
      </w:pPr>
      <w:r>
        <w:rPr/>
        <w:t xml:space="preserve">The Supreme Court has repeatedly warned against creating new categories of unprotected speech simply because the speech is harmful or offensive. See </w:t>
      </w:r>
      <w:r>
        <w:rPr>
          <w:rStyle w:val="Emphasis"/>
        </w:rPr>
        <w:t>United States v. Stevens</w:t>
      </w:r>
      <w:r>
        <w:rPr/>
        <w:t>, 559 U.S. 460 (2010). If a state wishes to regulate speech based on content, it must show that the law either falls within a historically unprotected category or survives strict scrutiny.</w:t>
      </w:r>
    </w:p>
    <w:p>
      <w:pPr>
        <w:pStyle w:val="BodyText"/>
        <w:bidi w:val="0"/>
        <w:spacing w:before="0" w:after="283"/>
        <w:jc w:val="start"/>
        <w:rPr/>
      </w:pPr>
      <w:r>
        <w:rPr/>
        <w:t xml:space="preserve">The problem here is that </w:t>
      </w:r>
      <w:r>
        <w:rPr>
          <w:rStyle w:val="SourceText"/>
        </w:rPr>
        <w:t>ORS 163.472</w:t>
      </w:r>
      <w:r>
        <w:rPr/>
        <w:t xml:space="preserve"> reaches a broad range of publication and redistribution activity without confining itself to classic obscenity, defamation, fraud, incitement, or speech integral to independently unlawful conduct. In the current form, the statute appears directed at the harmful effects of publication itself rather than at a narrow, historically recognized exception to First Amendment protection.</w:t>
      </w:r>
    </w:p>
    <w:p>
      <w:pPr>
        <w:pStyle w:val="BodyText"/>
        <w:bidi w:val="0"/>
        <w:spacing w:before="0" w:after="283"/>
        <w:jc w:val="start"/>
        <w:rPr/>
      </w:pPr>
      <w:r>
        <w:rPr>
          <w:rStyle w:val="Strong"/>
        </w:rPr>
        <w:t>C. The consent structure creates prior-restraint and heckler-veto concerns</w:t>
      </w:r>
    </w:p>
    <w:p>
      <w:pPr>
        <w:pStyle w:val="BodyText"/>
        <w:bidi w:val="0"/>
        <w:spacing w:before="0" w:after="283"/>
        <w:jc w:val="start"/>
        <w:rPr/>
      </w:pPr>
      <w:r>
        <w:rPr/>
        <w:t>At least as written, the statute conditions lawful dissemination on the absence of objection by the depicted person. That creates a serious argument that the law operates as a form of private veto over speech, especially where the speech is otherwise truthful, already circulating, or directed to willing listeners.</w:t>
      </w:r>
    </w:p>
    <w:p>
      <w:pPr>
        <w:pStyle w:val="BodyText"/>
        <w:bidi w:val="0"/>
        <w:spacing w:before="0" w:after="283"/>
        <w:jc w:val="start"/>
        <w:rPr/>
      </w:pPr>
      <w:r>
        <w:rPr/>
        <w:t>That concern overlaps with the First Amendment's hostility to:</w:t>
      </w:r>
    </w:p>
    <w:p>
      <w:pPr>
        <w:pStyle w:val="BodyText"/>
        <w:numPr>
          <w:ilvl w:val="0"/>
          <w:numId w:val="4"/>
        </w:numPr>
        <w:tabs>
          <w:tab w:val="clear" w:pos="1134"/>
          <w:tab w:val="left" w:pos="2005" w:leader="none"/>
        </w:tabs>
        <w:bidi w:val="0"/>
        <w:spacing w:before="0" w:after="0"/>
        <w:ind w:hanging="283" w:start="2005"/>
        <w:jc w:val="start"/>
        <w:rPr/>
      </w:pPr>
      <w:r>
        <w:rPr/>
        <w:t xml:space="preserve">prior restraints, </w:t>
      </w:r>
    </w:p>
    <w:p>
      <w:pPr>
        <w:pStyle w:val="BodyText"/>
        <w:numPr>
          <w:ilvl w:val="0"/>
          <w:numId w:val="4"/>
        </w:numPr>
        <w:tabs>
          <w:tab w:val="clear" w:pos="1134"/>
          <w:tab w:val="left" w:pos="2005" w:leader="none"/>
        </w:tabs>
        <w:bidi w:val="0"/>
        <w:spacing w:before="0" w:after="0"/>
        <w:ind w:hanging="283" w:start="2005"/>
        <w:jc w:val="start"/>
        <w:rPr/>
      </w:pPr>
      <w:r>
        <w:rPr/>
        <w:t xml:space="preserve">licensing-like restrictions, and </w:t>
      </w:r>
    </w:p>
    <w:p>
      <w:pPr>
        <w:pStyle w:val="BodyText"/>
        <w:numPr>
          <w:ilvl w:val="0"/>
          <w:numId w:val="4"/>
        </w:numPr>
        <w:tabs>
          <w:tab w:val="clear" w:pos="1134"/>
          <w:tab w:val="left" w:pos="2005" w:leader="none"/>
        </w:tabs>
        <w:bidi w:val="0"/>
        <w:ind w:hanging="283" w:start="2005"/>
        <w:jc w:val="start"/>
        <w:rPr/>
      </w:pPr>
      <w:r>
        <w:rPr/>
        <w:t xml:space="preserve">private-party vetoes over speech. </w:t>
      </w:r>
    </w:p>
    <w:p>
      <w:pPr>
        <w:pStyle w:val="BodyText"/>
        <w:bidi w:val="0"/>
        <w:spacing w:before="0" w:after="283"/>
        <w:jc w:val="start"/>
        <w:rPr/>
      </w:pPr>
      <w:r>
        <w:rPr/>
        <w:t>Relevant cases include:</w:t>
      </w:r>
    </w:p>
    <w:p>
      <w:pPr>
        <w:pStyle w:val="BodyText"/>
        <w:numPr>
          <w:ilvl w:val="0"/>
          <w:numId w:val="5"/>
        </w:numPr>
        <w:tabs>
          <w:tab w:val="clear" w:pos="1134"/>
          <w:tab w:val="left" w:pos="2005" w:leader="none"/>
        </w:tabs>
        <w:bidi w:val="0"/>
        <w:spacing w:before="0" w:after="0"/>
        <w:ind w:hanging="283" w:start="2005"/>
        <w:jc w:val="start"/>
        <w:rPr/>
      </w:pPr>
      <w:r>
        <w:rPr>
          <w:rStyle w:val="Emphasis"/>
        </w:rPr>
        <w:t>Near v. Minnesota</w:t>
      </w:r>
      <w:r>
        <w:rPr/>
        <w:t xml:space="preserve">, 283 U.S. 697 (1931) </w:t>
      </w:r>
    </w:p>
    <w:p>
      <w:pPr>
        <w:pStyle w:val="BodyText"/>
        <w:numPr>
          <w:ilvl w:val="0"/>
          <w:numId w:val="5"/>
        </w:numPr>
        <w:tabs>
          <w:tab w:val="clear" w:pos="1134"/>
          <w:tab w:val="left" w:pos="2005" w:leader="none"/>
        </w:tabs>
        <w:bidi w:val="0"/>
        <w:spacing w:before="0" w:after="0"/>
        <w:ind w:hanging="283" w:start="2005"/>
        <w:jc w:val="start"/>
        <w:rPr/>
      </w:pPr>
      <w:r>
        <w:rPr>
          <w:rStyle w:val="Emphasis"/>
        </w:rPr>
        <w:t>Bantam Books, Inc. v. Sullivan</w:t>
      </w:r>
      <w:r>
        <w:rPr/>
        <w:t xml:space="preserve">, 372 U.S. 58 (1963) </w:t>
      </w:r>
    </w:p>
    <w:p>
      <w:pPr>
        <w:pStyle w:val="BodyText"/>
        <w:numPr>
          <w:ilvl w:val="0"/>
          <w:numId w:val="5"/>
        </w:numPr>
        <w:tabs>
          <w:tab w:val="clear" w:pos="1134"/>
          <w:tab w:val="left" w:pos="2005" w:leader="none"/>
        </w:tabs>
        <w:bidi w:val="0"/>
        <w:spacing w:before="0" w:after="0"/>
        <w:ind w:hanging="283" w:start="2005"/>
        <w:jc w:val="start"/>
        <w:rPr/>
      </w:pPr>
      <w:r>
        <w:rPr>
          <w:rStyle w:val="Emphasis"/>
        </w:rPr>
        <w:t>Forsyth County v. Nationalist Movement</w:t>
      </w:r>
      <w:r>
        <w:rPr/>
        <w:t xml:space="preserve">, 505 U.S. 123 (1992) </w:t>
      </w:r>
    </w:p>
    <w:p>
      <w:pPr>
        <w:pStyle w:val="BodyText"/>
        <w:numPr>
          <w:ilvl w:val="0"/>
          <w:numId w:val="5"/>
        </w:numPr>
        <w:tabs>
          <w:tab w:val="clear" w:pos="1134"/>
          <w:tab w:val="left" w:pos="2005" w:leader="none"/>
        </w:tabs>
        <w:bidi w:val="0"/>
        <w:ind w:hanging="283" w:start="2005"/>
        <w:jc w:val="start"/>
        <w:rPr/>
      </w:pPr>
      <w:r>
        <w:rPr>
          <w:rStyle w:val="Emphasis"/>
        </w:rPr>
        <w:t>Reno v. ACLU</w:t>
      </w:r>
      <w:r>
        <w:rPr/>
        <w:t xml:space="preserve">, 521 U.S. 844 (1997) </w:t>
      </w:r>
    </w:p>
    <w:p>
      <w:pPr>
        <w:pStyle w:val="BodyText"/>
        <w:bidi w:val="0"/>
        <w:spacing w:before="0" w:after="283"/>
        <w:jc w:val="start"/>
        <w:rPr/>
      </w:pPr>
      <w:r>
        <w:rPr/>
        <w:t>The current draft's strongest formulation is not that every consent-based privacy law is automatically unconstitutional. It is that this statute, because it criminalizes online dissemination based on nonconsent plus emotional injury plus speaker motive, raises the same kinds of censorship and private-veto problems those cases warn against.</w:t>
      </w:r>
    </w:p>
    <w:p>
      <w:pPr>
        <w:pStyle w:val="BodyText"/>
        <w:bidi w:val="0"/>
        <w:spacing w:before="0" w:after="283"/>
        <w:jc w:val="start"/>
        <w:rPr/>
      </w:pPr>
      <w:r>
        <w:rPr>
          <w:rStyle w:val="Strong"/>
        </w:rPr>
        <w:t>D. The statute is vulnerable to overbreadth</w:t>
      </w:r>
    </w:p>
    <w:p>
      <w:pPr>
        <w:pStyle w:val="BodyText"/>
        <w:bidi w:val="0"/>
        <w:spacing w:before="0" w:after="283"/>
        <w:jc w:val="start"/>
        <w:rPr/>
      </w:pPr>
      <w:r>
        <w:rPr/>
        <w:t>A law may be facially overbroad if a substantial number of its applications are unconstitutional relative to its legitimate sweep. See:</w:t>
      </w:r>
    </w:p>
    <w:p>
      <w:pPr>
        <w:pStyle w:val="BodyText"/>
        <w:numPr>
          <w:ilvl w:val="0"/>
          <w:numId w:val="6"/>
        </w:numPr>
        <w:tabs>
          <w:tab w:val="clear" w:pos="1134"/>
          <w:tab w:val="left" w:pos="2005" w:leader="none"/>
        </w:tabs>
        <w:bidi w:val="0"/>
        <w:spacing w:before="0" w:after="0"/>
        <w:ind w:hanging="283" w:start="2005"/>
        <w:jc w:val="start"/>
        <w:rPr/>
      </w:pPr>
      <w:r>
        <w:rPr>
          <w:rStyle w:val="Emphasis"/>
        </w:rPr>
        <w:t>Broadrick v. Oklahoma</w:t>
      </w:r>
      <w:r>
        <w:rPr/>
        <w:t xml:space="preserve">, 413 U.S. 601 (1973) </w:t>
      </w:r>
    </w:p>
    <w:p>
      <w:pPr>
        <w:pStyle w:val="BodyText"/>
        <w:numPr>
          <w:ilvl w:val="0"/>
          <w:numId w:val="6"/>
        </w:numPr>
        <w:tabs>
          <w:tab w:val="clear" w:pos="1134"/>
          <w:tab w:val="left" w:pos="2005" w:leader="none"/>
        </w:tabs>
        <w:bidi w:val="0"/>
        <w:ind w:hanging="283" w:start="2005"/>
        <w:jc w:val="start"/>
        <w:rPr/>
      </w:pPr>
      <w:r>
        <w:rPr>
          <w:rStyle w:val="Emphasis"/>
        </w:rPr>
        <w:t>United States v. Stevens</w:t>
      </w:r>
      <w:r>
        <w:rPr/>
        <w:t xml:space="preserve">, 559 U.S. 460 (2010) </w:t>
      </w:r>
    </w:p>
    <w:p>
      <w:pPr>
        <w:pStyle w:val="BodyText"/>
        <w:bidi w:val="0"/>
        <w:spacing w:before="0" w:after="283"/>
        <w:jc w:val="start"/>
        <w:rPr/>
      </w:pPr>
      <w:r>
        <w:rPr/>
        <w:t>The overbreadth concern here is that the statute may sweep in:</w:t>
      </w:r>
    </w:p>
    <w:p>
      <w:pPr>
        <w:pStyle w:val="BodyText"/>
        <w:numPr>
          <w:ilvl w:val="0"/>
          <w:numId w:val="7"/>
        </w:numPr>
        <w:tabs>
          <w:tab w:val="clear" w:pos="1134"/>
          <w:tab w:val="left" w:pos="2005" w:leader="none"/>
        </w:tabs>
        <w:bidi w:val="0"/>
        <w:spacing w:before="0" w:after="0"/>
        <w:ind w:hanging="283" w:start="2005"/>
        <w:jc w:val="start"/>
        <w:rPr/>
      </w:pPr>
      <w:r>
        <w:rPr/>
        <w:t xml:space="preserve">redistributions of already-public images, </w:t>
      </w:r>
    </w:p>
    <w:p>
      <w:pPr>
        <w:pStyle w:val="BodyText"/>
        <w:numPr>
          <w:ilvl w:val="0"/>
          <w:numId w:val="7"/>
        </w:numPr>
        <w:tabs>
          <w:tab w:val="clear" w:pos="1134"/>
          <w:tab w:val="left" w:pos="2005" w:leader="none"/>
        </w:tabs>
        <w:bidi w:val="0"/>
        <w:spacing w:before="0" w:after="0"/>
        <w:ind w:hanging="283" w:start="2005"/>
        <w:jc w:val="start"/>
        <w:rPr/>
      </w:pPr>
      <w:r>
        <w:rPr/>
        <w:t xml:space="preserve">truthful republication, </w:t>
      </w:r>
    </w:p>
    <w:p>
      <w:pPr>
        <w:pStyle w:val="BodyText"/>
        <w:numPr>
          <w:ilvl w:val="0"/>
          <w:numId w:val="7"/>
        </w:numPr>
        <w:tabs>
          <w:tab w:val="clear" w:pos="1134"/>
          <w:tab w:val="left" w:pos="2005" w:leader="none"/>
        </w:tabs>
        <w:bidi w:val="0"/>
        <w:spacing w:before="0" w:after="0"/>
        <w:ind w:hanging="283" w:start="2005"/>
        <w:jc w:val="start"/>
        <w:rPr/>
      </w:pPr>
      <w:r>
        <w:rPr/>
        <w:t xml:space="preserve">public-interest discussion about a person, </w:t>
      </w:r>
    </w:p>
    <w:p>
      <w:pPr>
        <w:pStyle w:val="BodyText"/>
        <w:numPr>
          <w:ilvl w:val="0"/>
          <w:numId w:val="7"/>
        </w:numPr>
        <w:tabs>
          <w:tab w:val="clear" w:pos="1134"/>
          <w:tab w:val="left" w:pos="2005" w:leader="none"/>
        </w:tabs>
        <w:bidi w:val="0"/>
        <w:spacing w:before="0" w:after="0"/>
        <w:ind w:hanging="283" w:start="2005"/>
        <w:jc w:val="start"/>
        <w:rPr/>
      </w:pPr>
      <w:r>
        <w:rPr/>
        <w:t xml:space="preserve">artistic or documentary uses, and </w:t>
      </w:r>
    </w:p>
    <w:p>
      <w:pPr>
        <w:pStyle w:val="BodyText"/>
        <w:numPr>
          <w:ilvl w:val="0"/>
          <w:numId w:val="7"/>
        </w:numPr>
        <w:tabs>
          <w:tab w:val="clear" w:pos="1134"/>
          <w:tab w:val="left" w:pos="2005" w:leader="none"/>
        </w:tabs>
        <w:bidi w:val="0"/>
        <w:ind w:hanging="283" w:start="2005"/>
        <w:jc w:val="start"/>
        <w:rPr/>
      </w:pPr>
      <w:r>
        <w:rPr/>
        <w:t xml:space="preserve">other expression where the government's theory reduces to emotional injury plus nonconsent. </w:t>
      </w:r>
    </w:p>
    <w:p>
      <w:pPr>
        <w:pStyle w:val="BodyText"/>
        <w:bidi w:val="0"/>
        <w:spacing w:before="0" w:after="283"/>
        <w:jc w:val="start"/>
        <w:rPr/>
      </w:pPr>
      <w:r>
        <w:rPr/>
        <w:t>Even if the law has legitimate applications, the breadth of the operative terms creates a serious chilling-effect problem.</w:t>
      </w:r>
    </w:p>
    <w:p>
      <w:pPr>
        <w:pStyle w:val="BodyText"/>
        <w:bidi w:val="0"/>
        <w:spacing w:before="0" w:after="283"/>
        <w:jc w:val="start"/>
        <w:rPr/>
      </w:pPr>
      <w:r>
        <w:rPr>
          <w:rStyle w:val="Strong"/>
        </w:rPr>
        <w:t>E. The statutory exceptions may underscore underinclusiveness and weak tailoring</w:t>
      </w:r>
    </w:p>
    <w:p>
      <w:pPr>
        <w:pStyle w:val="BodyText"/>
        <w:bidi w:val="0"/>
        <w:spacing w:before="0" w:after="283"/>
        <w:jc w:val="start"/>
        <w:rPr/>
      </w:pPr>
      <w:r>
        <w:rPr/>
        <w:t xml:space="preserve">The statute's exceptions for </w:t>
      </w:r>
      <w:r>
        <w:rPr>
          <w:rStyle w:val="SourceText"/>
        </w:rPr>
        <w:t>lawful public interest</w:t>
      </w:r>
      <w:r>
        <w:rPr/>
        <w:t xml:space="preserve">, </w:t>
      </w:r>
      <w:r>
        <w:rPr>
          <w:rStyle w:val="SourceText"/>
        </w:rPr>
        <w:t>medical, scientific or educational activities</w:t>
      </w:r>
      <w:r>
        <w:rPr/>
        <w:t>, and other categories do not automatically save it. They may instead underscore two problems:</w:t>
      </w:r>
    </w:p>
    <w:p>
      <w:pPr>
        <w:pStyle w:val="BodyText"/>
        <w:numPr>
          <w:ilvl w:val="0"/>
          <w:numId w:val="8"/>
        </w:numPr>
        <w:tabs>
          <w:tab w:val="clear" w:pos="1134"/>
          <w:tab w:val="left" w:pos="2005" w:leader="none"/>
        </w:tabs>
        <w:bidi w:val="0"/>
        <w:spacing w:before="0" w:after="0"/>
        <w:ind w:hanging="283" w:start="2005"/>
        <w:jc w:val="start"/>
        <w:rPr/>
      </w:pPr>
      <w:r>
        <w:rPr/>
        <w:t xml:space="preserve">the legislature recognized a large amount of constitutionally valuable speech within the statute's scope; and </w:t>
      </w:r>
    </w:p>
    <w:p>
      <w:pPr>
        <w:pStyle w:val="BodyText"/>
        <w:numPr>
          <w:ilvl w:val="0"/>
          <w:numId w:val="8"/>
        </w:numPr>
        <w:tabs>
          <w:tab w:val="clear" w:pos="1134"/>
          <w:tab w:val="left" w:pos="2005" w:leader="none"/>
        </w:tabs>
        <w:bidi w:val="0"/>
        <w:ind w:hanging="283" w:start="2005"/>
        <w:jc w:val="start"/>
        <w:rPr/>
      </w:pPr>
      <w:r>
        <w:rPr/>
        <w:t xml:space="preserve">the carveouts leave the speech right contingent on legislative judgments about value rather than on a neutral constitutional boundary. </w:t>
      </w:r>
    </w:p>
    <w:p>
      <w:pPr>
        <w:pStyle w:val="BodyText"/>
        <w:bidi w:val="0"/>
        <w:spacing w:before="0" w:after="283"/>
        <w:jc w:val="start"/>
        <w:rPr/>
      </w:pPr>
      <w:r>
        <w:rPr/>
        <w:t xml:space="preserve">Under strict scrutiny, the State would need to show a compelling interest pursued through genuinely narrow tailoring. The current structure gives substantial reason to question whether </w:t>
      </w:r>
      <w:r>
        <w:rPr>
          <w:rStyle w:val="SourceText"/>
        </w:rPr>
        <w:t>ORS 163.472</w:t>
      </w:r>
      <w:r>
        <w:rPr/>
        <w:t xml:space="preserve"> is narrowly tailored enough to survive that review.</w:t>
      </w:r>
    </w:p>
    <w:p>
      <w:pPr>
        <w:pStyle w:val="BodyTextsection"/>
        <w:bidi w:val="0"/>
        <w:jc w:val="start"/>
        <w:rPr/>
      </w:pPr>
      <w:r>
        <w:rPr/>
        <w:t>IV. What This Court Need Not Decide Now</w:t>
      </w:r>
    </w:p>
    <w:p>
      <w:pPr>
        <w:pStyle w:val="BodyText"/>
        <w:bidi w:val="0"/>
        <w:spacing w:before="0" w:after="283"/>
        <w:jc w:val="start"/>
        <w:rPr/>
      </w:pPr>
      <w:r>
        <w:rPr/>
        <w:t>For present probate purposes, the Court need not immediately resolve:</w:t>
      </w:r>
    </w:p>
    <w:p>
      <w:pPr>
        <w:pStyle w:val="BodyText"/>
        <w:numPr>
          <w:ilvl w:val="0"/>
          <w:numId w:val="9"/>
        </w:numPr>
        <w:tabs>
          <w:tab w:val="clear" w:pos="1134"/>
          <w:tab w:val="left" w:pos="2005" w:leader="none"/>
        </w:tabs>
        <w:bidi w:val="0"/>
        <w:spacing w:before="0" w:after="0"/>
        <w:ind w:hanging="283" w:start="2005"/>
        <w:jc w:val="start"/>
        <w:rPr/>
      </w:pPr>
      <w:r>
        <w:rPr/>
        <w:t xml:space="preserve">the full copyright-preemption branch, </w:t>
      </w:r>
    </w:p>
    <w:p>
      <w:pPr>
        <w:pStyle w:val="BodyText"/>
        <w:numPr>
          <w:ilvl w:val="0"/>
          <w:numId w:val="9"/>
        </w:numPr>
        <w:tabs>
          <w:tab w:val="clear" w:pos="1134"/>
          <w:tab w:val="left" w:pos="2005" w:leader="none"/>
        </w:tabs>
        <w:bidi w:val="0"/>
        <w:spacing w:before="0" w:after="0"/>
        <w:ind w:hanging="283" w:start="2005"/>
        <w:jc w:val="start"/>
        <w:rPr/>
      </w:pPr>
      <w:r>
        <w:rPr/>
        <w:t xml:space="preserve">the interstate-commerce branch, </w:t>
      </w:r>
    </w:p>
    <w:p>
      <w:pPr>
        <w:pStyle w:val="BodyText"/>
        <w:numPr>
          <w:ilvl w:val="0"/>
          <w:numId w:val="9"/>
        </w:numPr>
        <w:tabs>
          <w:tab w:val="clear" w:pos="1134"/>
          <w:tab w:val="left" w:pos="2005" w:leader="none"/>
        </w:tabs>
        <w:bidi w:val="0"/>
        <w:spacing w:before="0" w:after="0"/>
        <w:ind w:hanging="283" w:start="2005"/>
        <w:jc w:val="start"/>
        <w:rPr/>
      </w:pPr>
      <w:r>
        <w:rPr/>
        <w:t xml:space="preserve">the Takings Clause branch, or </w:t>
      </w:r>
    </w:p>
    <w:p>
      <w:pPr>
        <w:pStyle w:val="BodyText"/>
        <w:numPr>
          <w:ilvl w:val="0"/>
          <w:numId w:val="9"/>
        </w:numPr>
        <w:tabs>
          <w:tab w:val="clear" w:pos="1134"/>
          <w:tab w:val="left" w:pos="2005" w:leader="none"/>
        </w:tabs>
        <w:bidi w:val="0"/>
        <w:ind w:hanging="283" w:start="2005"/>
        <w:jc w:val="start"/>
        <w:rPr/>
      </w:pPr>
      <w:r>
        <w:rPr/>
        <w:t xml:space="preserve">the Contract Clause branch. </w:t>
      </w:r>
    </w:p>
    <w:p>
      <w:pPr>
        <w:pStyle w:val="BodyText"/>
        <w:bidi w:val="0"/>
        <w:spacing w:before="0" w:after="283"/>
        <w:jc w:val="start"/>
        <w:rPr/>
      </w:pPr>
      <w:r>
        <w:rPr/>
        <w:t xml:space="preserve">Those arguments may exist, but they are not necessary to reject any suggestion that an old </w:t>
      </w:r>
      <w:r>
        <w:rPr>
          <w:rStyle w:val="SourceText"/>
        </w:rPr>
        <w:t>ORS 163.472</w:t>
      </w:r>
      <w:r>
        <w:rPr/>
        <w:t xml:space="preserve"> conviction automatically forecloses forward-looking constitutional challenge or turns this probate matter into a backdoor speech-constitutionality adjudication without briefing.</w:t>
      </w:r>
    </w:p>
    <w:p>
      <w:pPr>
        <w:pStyle w:val="BodyTextsection"/>
        <w:bidi w:val="0"/>
        <w:jc w:val="start"/>
        <w:rPr/>
      </w:pPr>
      <w:r>
        <w:rPr/>
        <w:t>V. Requested Probate-Scope Result</w:t>
      </w:r>
    </w:p>
    <w:p>
      <w:pPr>
        <w:pStyle w:val="BodyText"/>
        <w:bidi w:val="0"/>
        <w:spacing w:before="0" w:after="283"/>
        <w:jc w:val="start"/>
        <w:rPr/>
      </w:pPr>
      <w:r>
        <w:rPr/>
        <w:t>Benjamin Barber therefore requests that the Court:</w:t>
      </w:r>
    </w:p>
    <w:p>
      <w:pPr>
        <w:pStyle w:val="BodyText"/>
        <w:numPr>
          <w:ilvl w:val="0"/>
          <w:numId w:val="10"/>
        </w:numPr>
        <w:tabs>
          <w:tab w:val="clear" w:pos="1134"/>
          <w:tab w:val="left" w:pos="2005" w:leader="none"/>
        </w:tabs>
        <w:bidi w:val="0"/>
        <w:spacing w:before="0" w:after="0"/>
        <w:ind w:hanging="283" w:start="2005"/>
        <w:jc w:val="start"/>
        <w:rPr/>
      </w:pPr>
      <w:r>
        <w:rPr/>
        <w:t xml:space="preserve">decline to treat any old </w:t>
      </w:r>
      <w:r>
        <w:rPr>
          <w:rStyle w:val="SourceText"/>
        </w:rPr>
        <w:t>ORS 163.472</w:t>
      </w:r>
      <w:r>
        <w:rPr/>
        <w:t xml:space="preserve"> conviction as dispositive of current merits in this probate matter; </w:t>
      </w:r>
    </w:p>
    <w:p>
      <w:pPr>
        <w:pStyle w:val="BodyText"/>
        <w:numPr>
          <w:ilvl w:val="0"/>
          <w:numId w:val="10"/>
        </w:numPr>
        <w:tabs>
          <w:tab w:val="clear" w:pos="1134"/>
          <w:tab w:val="left" w:pos="2005" w:leader="none"/>
        </w:tabs>
        <w:bidi w:val="0"/>
        <w:spacing w:before="0" w:after="0"/>
        <w:ind w:hanging="283" w:start="2005"/>
        <w:jc w:val="start"/>
        <w:rPr/>
      </w:pPr>
      <w:r>
        <w:rPr/>
        <w:t xml:space="preserve">decline to use the probate petition as a vehicle for unbriefed adjudication of the constitutionality of </w:t>
      </w:r>
      <w:r>
        <w:rPr>
          <w:rStyle w:val="SourceText"/>
        </w:rPr>
        <w:t>ORS 163.472</w:t>
      </w:r>
      <w:r>
        <w:rPr/>
        <w:t xml:space="preserve">; and </w:t>
      </w:r>
    </w:p>
    <w:p>
      <w:pPr>
        <w:pStyle w:val="BodyText"/>
        <w:numPr>
          <w:ilvl w:val="0"/>
          <w:numId w:val="10"/>
        </w:numPr>
        <w:tabs>
          <w:tab w:val="clear" w:pos="1134"/>
          <w:tab w:val="left" w:pos="2005" w:leader="none"/>
        </w:tabs>
        <w:bidi w:val="0"/>
        <w:ind w:hanging="283" w:start="2005"/>
        <w:jc w:val="start"/>
        <w:rPr/>
      </w:pPr>
      <w:r>
        <w:rPr/>
        <w:t xml:space="preserve">if the Court concludes the issue truly must be reached, permit full briefing through a separate memorandum on the constitutionality of the statute, including the effect of </w:t>
      </w:r>
      <w:r>
        <w:rPr>
          <w:rStyle w:val="Emphasis"/>
        </w:rPr>
        <w:t>Olivier v. City of Brandon, Mississippi</w:t>
      </w:r>
      <w:r>
        <w:rPr/>
        <w:t xml:space="preserve">, No. </w:t>
      </w:r>
      <w:r>
        <w:rPr>
          <w:rStyle w:val="SourceText"/>
        </w:rPr>
        <w:t>24-993</w:t>
      </w:r>
      <w:r>
        <w:rPr/>
        <w:t xml:space="preserve">, </w:t>
      </w:r>
      <w:r>
        <w:rPr>
          <w:rStyle w:val="SourceText"/>
        </w:rPr>
        <w:t>607 U.S. ___</w:t>
      </w:r>
      <w:r>
        <w:rPr/>
        <w:t xml:space="preserve"> (Mar. 20, 2026). </w:t>
      </w:r>
    </w:p>
    <w:p>
      <w:pPr>
        <w:pStyle w:val="BodyTextsection"/>
        <w:bidi w:val="0"/>
        <w:jc w:val="start"/>
        <w:rPr/>
      </w:pPr>
      <w:r>
        <w:rPr/>
        <w:t>VI. Conclusion</w:t>
      </w:r>
    </w:p>
    <w:p>
      <w:pPr>
        <w:pStyle w:val="BodyText"/>
        <w:bidi w:val="0"/>
        <w:spacing w:before="0" w:after="283"/>
        <w:jc w:val="start"/>
        <w:rPr/>
      </w:pPr>
      <w:r>
        <w:rPr/>
        <w:t xml:space="preserve">The present probate record does not justify treating an old </w:t>
      </w:r>
      <w:r>
        <w:rPr>
          <w:rStyle w:val="SourceText"/>
        </w:rPr>
        <w:t>ORS 163.472</w:t>
      </w:r>
      <w:r>
        <w:rPr/>
        <w:t xml:space="preserve"> conviction as a shortcut around the First Amendment question. At minimum, any merits decision regarding the constitutionality of the statute should be reserved for full briefing.</w:t>
      </w:r>
    </w:p>
    <w:p>
      <w:pPr>
        <w:pStyle w:val="BodyText"/>
        <w:bidi w:val="0"/>
        <w:ind w:hanging="0" w:start="0" w:end="0"/>
        <w:jc w:val="start"/>
        <w:rPr/>
      </w:pPr>
      <w:r>
        <w:rPr/>
        <w:t>DATED: ____________, 2026</w:t>
      </w:r>
    </w:p>
    <w:p>
      <w:pPr>
        <w:pStyle w:val="BodyText"/>
        <w:bidi w:val="0"/>
        <w:spacing w:before="0" w:after="283"/>
        <w:jc w:val="start"/>
        <w:rPr/>
      </w:pPr>
      <w:r>
        <w:rPr/>
        <w:t>____________________________________</w:t>
        <w:br/>
        <w:t>Benjamin Barber, Pro Se</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Noto Sans">
    <w:charset w:val="01" w:characterSet="utf-8"/>
    <w:family w:val="auto"/>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8" w:before="1296" w:after="1296"/>
      <w:ind w:start="1296" w:end="1296"/>
    </w:pPr>
    <w:rPr>
      <w:rFonts w:ascii="Times New Roman;Times;serif" w:hAnsi="Times New Roman;Times;serif" w:eastAsia="Times New Roman;Times;serif" w:cs="Times New Roman;Times;serif"/>
      <w:color w:val="000000"/>
      <w:sz w:val="24"/>
      <w:szCs w:val="24"/>
      <w:lang w:val="en-US" w:eastAsia="zh-CN" w:bidi="hi-IN"/>
    </w:rPr>
  </w:style>
  <w:style w:type="paragraph" w:styleId="Heading1">
    <w:name w:val="Heading 1"/>
    <w:basedOn w:val="Heading"/>
    <w:next w:val="BodyText"/>
    <w:qFormat/>
    <w:pPr/>
    <w:rPr>
      <w:rFonts w:ascii="Noto Sans" w:hAnsi="Noto Sans"/>
      <w:b/>
      <w:bCs/>
      <w:sz w:val="48"/>
      <w:szCs w:val="4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6115" w:leader="none"/>
        <w:tab w:val="right" w:pos="10934" w:leader="none"/>
      </w:tabs>
    </w:pPr>
    <w:rPr/>
  </w:style>
  <w:style w:type="paragraph" w:styleId="Footer">
    <w:name w:val="Footer"/>
    <w:basedOn w:val="Normal"/>
    <w:pPr>
      <w:suppressLineNumbers/>
      <w:tabs>
        <w:tab w:val="clear" w:pos="1134"/>
        <w:tab w:val="center" w:pos="6114" w:leader="none"/>
        <w:tab w:val="right" w:pos="10933" w:leader="none"/>
      </w:tabs>
    </w:pPr>
    <w:rPr/>
  </w:style>
  <w:style w:type="paragraph" w:styleId="Header">
    <w:name w:val="Header"/>
    <w:basedOn w:val="Normal"/>
    <w:pPr>
      <w:suppressLineNumbers/>
      <w:tabs>
        <w:tab w:val="clear" w:pos="1134"/>
        <w:tab w:val="center" w:pos="6114" w:leader="none"/>
        <w:tab w:val="right" w:pos="10933"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BodyText"/>
    <w:pPr/>
    <w:rPr>
      <w:rFonts w:cs="Lohit Devanagari"/>
    </w:rPr>
  </w:style>
  <w:style w:type="paragraph" w:styleId="BodyTextsection">
    <w:name w:val="Body Text.section"/>
    <w:basedOn w:val="BodyText"/>
    <w:qForma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LibreOffice/24.2.7.2$Linux_AARCH64 LibreOffice_project/420$Build-2</Application>
  <AppVersion>15.0000</AppVersion>
  <Pages>3</Pages>
  <Words>1234</Words>
  <Characters>7115</Characters>
  <CharactersWithSpaces>8279</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In re Jane Cortez - Memorandum in Support of Motion to Demur</dc:title>
</cp:coreProperties>
</file>

<file path=docProps/custom.xml><?xml version="1.0" encoding="utf-8"?>
<Properties xmlns="http://schemas.openxmlformats.org/officeDocument/2006/custom-properties" xmlns:vt="http://schemas.openxmlformats.org/officeDocument/2006/docPropsVTypes"/>
</file>