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IN THE UNITED STATES DISTRICT COURT FOR THE DISTRICT OF OREGON</w:t>
      </w:r>
    </w:p>
    <w:p>
      <w:pPr>
        <w:pStyle w:val="BodyText"/>
        <w:bidi w:val="0"/>
        <w:spacing w:before="0" w:after="283"/>
        <w:jc w:val="left"/>
        <w:rPr/>
      </w:pPr>
      <w:r>
        <w:rPr/>
        <w:t>Benjamin Jay Barber, Jane Kay Cortez, and Julio Regal Florez-Cortez, Plaintiffs,</w:t>
      </w:r>
    </w:p>
    <w:p>
      <w:pPr>
        <w:pStyle w:val="BodyText"/>
        <w:bidi w:val="0"/>
        <w:spacing w:before="0" w:after="283"/>
        <w:jc w:val="left"/>
        <w:rPr/>
      </w:pPr>
      <w:r>
        <w:rPr/>
        <w:t>v.</w:t>
      </w:r>
    </w:p>
    <w:p>
      <w:pPr>
        <w:pStyle w:val="BodyText"/>
        <w:bidi w:val="0"/>
        <w:spacing w:before="0" w:after="283"/>
        <w:jc w:val="left"/>
        <w:rPr/>
      </w:pPr>
      <w:r>
        <w:rPr/>
        <w:t>Housing Authority of Clackamas County and Quantum Residential, Defendants.</w:t>
      </w:r>
    </w:p>
    <w:p>
      <w:pPr>
        <w:pStyle w:val="BodyText"/>
        <w:bidi w:val="0"/>
        <w:spacing w:before="0" w:after="283"/>
        <w:jc w:val="left"/>
        <w:rPr/>
      </w:pPr>
      <w:r>
        <w:rPr/>
        <w:t xml:space="preserve">Civil Action No. </w:t>
      </w:r>
      <w:r>
        <w:rPr>
          <w:rStyle w:val="Emphasis"/>
        </w:rPr>
        <w:t>__</w:t>
      </w:r>
      <w:r>
        <w:rPr/>
        <w:t>__</w:t>
      </w:r>
    </w:p>
    <w:p>
      <w:pPr>
        <w:pStyle w:val="BodyText"/>
        <w:bidi w:val="0"/>
        <w:spacing w:before="0" w:after="283"/>
        <w:jc w:val="left"/>
        <w:rPr/>
      </w:pPr>
      <w:r>
        <w:rPr/>
        <w:t>COMPLAINT FOR VIOLATION OF THE FAIR HOUSING ACT, SECTION 504 OF THE REHABILITATION ACT, TITLE II OF THE AMERICANS WITH DISABILITIES ACT, 42 U.S.C. sections 1981 and 1983, AND RELATED OREGON HOUSING LAW</w:t>
      </w:r>
    </w:p>
    <w:p>
      <w:pPr>
        <w:pStyle w:val="BodyText"/>
        <w:bidi w:val="0"/>
        <w:spacing w:before="0" w:after="283"/>
        <w:jc w:val="left"/>
        <w:rPr/>
      </w:pPr>
      <w:r>
        <w:rPr/>
        <w:t>JURY TRIAL DEMANDED</w:t>
      </w:r>
    </w:p>
    <w:p>
      <w:pPr>
        <w:pStyle w:val="BodyText"/>
        <w:bidi w:val="0"/>
        <w:spacing w:before="0" w:after="283"/>
        <w:jc w:val="left"/>
        <w:rPr/>
      </w:pPr>
      <w:r>
        <w:rPr/>
        <w:t>Plaintiffs allege as follows:</w:t>
      </w:r>
    </w:p>
    <w:p>
      <w:pPr>
        <w:pStyle w:val="BodyText"/>
        <w:bidi w:val="0"/>
        <w:spacing w:before="0" w:after="283"/>
        <w:jc w:val="left"/>
        <w:rPr/>
      </w:pPr>
      <w:r>
        <w:rPr/>
        <w:t>NATURE OF THE ACTION</w:t>
      </w:r>
    </w:p>
    <w:p>
      <w:pPr>
        <w:pStyle w:val="BodyText"/>
        <w:numPr>
          <w:ilvl w:val="0"/>
          <w:numId w:val="2"/>
        </w:numPr>
        <w:tabs>
          <w:tab w:val="clear" w:pos="1134"/>
          <w:tab w:val="left" w:pos="709" w:leader="none"/>
        </w:tabs>
        <w:bidi w:val="0"/>
        <w:spacing w:before="0" w:after="0"/>
        <w:ind w:hanging="283" w:left="709"/>
        <w:jc w:val="left"/>
        <w:rPr/>
      </w:pPr>
      <w:r>
        <w:rPr/>
        <w:t xml:space="preserve">This is a civil action arising from housing discrimination, race-based interference with housing-contracting rights, refusal to accommodate disability-related housing needs, retaliation for protected complaints and petitions, interference with fair-housing rights, denial of federally required notice and hearing protections, and related Oregon housing-law violations. </w:t>
      </w:r>
    </w:p>
    <w:p>
      <w:pPr>
        <w:pStyle w:val="BodyText"/>
        <w:numPr>
          <w:ilvl w:val="0"/>
          <w:numId w:val="2"/>
        </w:numPr>
        <w:tabs>
          <w:tab w:val="clear" w:pos="1134"/>
          <w:tab w:val="left" w:pos="709" w:leader="none"/>
        </w:tabs>
        <w:bidi w:val="0"/>
        <w:spacing w:before="0" w:after="0"/>
        <w:ind w:hanging="283" w:left="709"/>
        <w:jc w:val="left"/>
        <w:rPr/>
      </w:pPr>
      <w:r>
        <w:rPr/>
        <w:t xml:space="preserve">Plaintiffs seek emergency and permanent relief to prevent eviction and housing loss, require lawful voucher and accommodation processing, and recover damages caused by defendants' notice practices, application failures, documentation barriers, race-based housing obstruction, and retaliatory conduct. </w:t>
      </w:r>
    </w:p>
    <w:p>
      <w:pPr>
        <w:pStyle w:val="BodyText"/>
        <w:numPr>
          <w:ilvl w:val="0"/>
          <w:numId w:val="2"/>
        </w:numPr>
        <w:tabs>
          <w:tab w:val="clear" w:pos="1134"/>
          <w:tab w:val="left" w:pos="709" w:leader="none"/>
        </w:tabs>
        <w:bidi w:val="0"/>
        <w:ind w:hanging="283" w:left="709"/>
        <w:jc w:val="left"/>
        <w:rPr/>
      </w:pPr>
      <w:r>
        <w:rPr/>
        <w:t xml:space="preserve">The dispute centers on HACC's public-housing, displacement, Tenant Protection Voucher, and Housing Choice Voucher administration; the handling of plaintiffs' relocation from HACC-controlled housing; and the failure to process or honor plaintiffs' transfer and accommodation requests connected to Blossom Apartments, a HACC-linked relocation destination managed by Quantum Residential. </w:t>
      </w:r>
    </w:p>
    <w:p>
      <w:pPr>
        <w:pStyle w:val="BodyText"/>
        <w:bidi w:val="0"/>
        <w:spacing w:before="0" w:after="283"/>
        <w:jc w:val="left"/>
        <w:rPr/>
      </w:pPr>
      <w:r>
        <w:rPr/>
        <w:t>JURISDICTION AND VENUE</w:t>
      </w:r>
    </w:p>
    <w:p>
      <w:pPr>
        <w:pStyle w:val="BodyText"/>
        <w:numPr>
          <w:ilvl w:val="0"/>
          <w:numId w:val="3"/>
        </w:numPr>
        <w:tabs>
          <w:tab w:val="clear" w:pos="1134"/>
          <w:tab w:val="left" w:pos="709" w:leader="none"/>
        </w:tabs>
        <w:bidi w:val="0"/>
        <w:spacing w:before="0" w:after="0"/>
        <w:ind w:hanging="283" w:left="709"/>
        <w:jc w:val="left"/>
        <w:rPr/>
      </w:pPr>
      <w:r>
        <w:rPr/>
        <w:t xml:space="preserve">This Court has federal-question jurisdiction under 28 U.S.C. section 1331 because Counts I through V arise under the Fair Housing Act, 42 U.S.C. sections 3601 through 3619, Section 504 of the Rehabilitation Act, 29 U.S.C. section 794, Title II of the Americans with Disabilities Act, 42 U.S.C. section 12132, 42 U.S.C. section 1981, 42 U.S.C. section 1983, 42 U.S.C. section 1437d(k), and 24 C.F.R. section 982.555. </w:t>
      </w:r>
    </w:p>
    <w:p>
      <w:pPr>
        <w:pStyle w:val="BodyText"/>
        <w:numPr>
          <w:ilvl w:val="0"/>
          <w:numId w:val="3"/>
        </w:numPr>
        <w:tabs>
          <w:tab w:val="clear" w:pos="1134"/>
          <w:tab w:val="left" w:pos="709" w:leader="none"/>
        </w:tabs>
        <w:bidi w:val="0"/>
        <w:spacing w:before="0" w:after="0"/>
        <w:ind w:hanging="283" w:left="709"/>
        <w:jc w:val="left"/>
        <w:rPr/>
      </w:pPr>
      <w:r>
        <w:rPr/>
        <w:t xml:space="preserve">This Court also has jurisdiction under 28 U.S.C. section 1343 because plaintiffs seek redress for deprivations of federal civil-rights protections under color of state law. </w:t>
      </w:r>
    </w:p>
    <w:p>
      <w:pPr>
        <w:pStyle w:val="BodyText"/>
        <w:numPr>
          <w:ilvl w:val="0"/>
          <w:numId w:val="3"/>
        </w:numPr>
        <w:tabs>
          <w:tab w:val="clear" w:pos="1134"/>
          <w:tab w:val="left" w:pos="709" w:leader="none"/>
        </w:tabs>
        <w:bidi w:val="0"/>
        <w:spacing w:before="0" w:after="0"/>
        <w:ind w:hanging="283" w:left="709"/>
        <w:jc w:val="left"/>
        <w:rPr/>
      </w:pPr>
      <w:r>
        <w:rPr/>
        <w:t xml:space="preserve">This Court has supplemental jurisdiction over Counts VI and VII under 28 U.S.C. section 1367 because those claims arise from the same nucleus of operative facts. </w:t>
      </w:r>
    </w:p>
    <w:p>
      <w:pPr>
        <w:pStyle w:val="BodyText"/>
        <w:numPr>
          <w:ilvl w:val="0"/>
          <w:numId w:val="3"/>
        </w:numPr>
        <w:tabs>
          <w:tab w:val="clear" w:pos="1134"/>
          <w:tab w:val="left" w:pos="709" w:leader="none"/>
        </w:tabs>
        <w:bidi w:val="0"/>
        <w:ind w:hanging="283" w:left="709"/>
        <w:jc w:val="left"/>
        <w:rPr/>
      </w:pPr>
      <w:r>
        <w:rPr/>
        <w:t xml:space="preserve">Venue is proper in this District under 28 U.S.C. section 1391 because the housing unit, the notices, the voucher administration, the application events, and the principal injuries all occurred in Clackamas County, Oregon. </w:t>
      </w:r>
    </w:p>
    <w:p>
      <w:pPr>
        <w:pStyle w:val="BodyText"/>
        <w:bidi w:val="0"/>
        <w:spacing w:before="0" w:after="283"/>
        <w:jc w:val="left"/>
        <w:rPr/>
      </w:pPr>
      <w:r>
        <w:rPr/>
        <w:t>PARTIES</w:t>
      </w:r>
    </w:p>
    <w:p>
      <w:pPr>
        <w:pStyle w:val="BodyText"/>
        <w:numPr>
          <w:ilvl w:val="0"/>
          <w:numId w:val="4"/>
        </w:numPr>
        <w:tabs>
          <w:tab w:val="clear" w:pos="1134"/>
          <w:tab w:val="left" w:pos="709" w:leader="none"/>
        </w:tabs>
        <w:bidi w:val="0"/>
        <w:spacing w:before="0" w:after="0"/>
        <w:ind w:hanging="283" w:left="709"/>
        <w:jc w:val="left"/>
        <w:rPr/>
      </w:pPr>
      <w:r>
        <w:rPr/>
        <w:t xml:space="preserve">Plaintiffs are Benjamin Jay Barber, Jane Kay Cortez, and Julio Regal Florez-Cortez, members of the same displaced household whose housing stability, relocation process, and continued occupancy were affected by the challenged notices, lease-administration decisions, application failures, and voucher delays described below. </w:t>
      </w:r>
    </w:p>
    <w:p>
      <w:pPr>
        <w:pStyle w:val="BodyText"/>
        <w:numPr>
          <w:ilvl w:val="0"/>
          <w:numId w:val="4"/>
        </w:numPr>
        <w:tabs>
          <w:tab w:val="clear" w:pos="1134"/>
          <w:tab w:val="left" w:pos="709" w:leader="none"/>
        </w:tabs>
        <w:bidi w:val="0"/>
        <w:spacing w:before="0" w:after="0"/>
        <w:ind w:hanging="283" w:left="709"/>
        <w:jc w:val="left"/>
        <w:rPr/>
      </w:pPr>
      <w:r>
        <w:rPr/>
        <w:t xml:space="preserve">Plaintiffs allege disability-related housing needs affecting vision, neurodevelopmental functioning, cognition, memory, and mobility within the household. </w:t>
      </w:r>
    </w:p>
    <w:p>
      <w:pPr>
        <w:pStyle w:val="BodyText"/>
        <w:numPr>
          <w:ilvl w:val="0"/>
          <w:numId w:val="4"/>
        </w:numPr>
        <w:tabs>
          <w:tab w:val="clear" w:pos="1134"/>
          <w:tab w:val="left" w:pos="709" w:leader="none"/>
        </w:tabs>
        <w:bidi w:val="0"/>
        <w:spacing w:before="0" w:after="0"/>
        <w:ind w:hanging="283" w:left="709"/>
        <w:jc w:val="left"/>
        <w:rPr/>
      </w:pPr>
      <w:r>
        <w:rPr/>
        <w:t xml:space="preserve">Plaintiffs further allege physician-supported limitations affecting Jane Kay Cortez's ability to walk, comprehend decisions, and retain memories, increasing the need for stable and accessible housing conditions. </w:t>
      </w:r>
    </w:p>
    <w:p>
      <w:pPr>
        <w:pStyle w:val="BodyText"/>
        <w:numPr>
          <w:ilvl w:val="0"/>
          <w:numId w:val="4"/>
        </w:numPr>
        <w:tabs>
          <w:tab w:val="clear" w:pos="1134"/>
          <w:tab w:val="left" w:pos="709" w:leader="none"/>
        </w:tabs>
        <w:bidi w:val="0"/>
        <w:spacing w:before="0" w:after="0"/>
        <w:ind w:hanging="283" w:left="709"/>
        <w:jc w:val="left"/>
        <w:rPr/>
      </w:pPr>
      <w:r>
        <w:rPr/>
        <w:t xml:space="preserve">Plaintiffs also allege that Julio Regal Florez-Cortez could not write in any language and therefore required an oral or otherwise assisted hearing-request process. </w:t>
      </w:r>
    </w:p>
    <w:p>
      <w:pPr>
        <w:pStyle w:val="BodyText"/>
        <w:numPr>
          <w:ilvl w:val="0"/>
          <w:numId w:val="4"/>
        </w:numPr>
        <w:tabs>
          <w:tab w:val="clear" w:pos="1134"/>
          <w:tab w:val="left" w:pos="709" w:leader="none"/>
        </w:tabs>
        <w:bidi w:val="0"/>
        <w:spacing w:before="0" w:after="0"/>
        <w:ind w:hanging="283" w:left="709"/>
        <w:jc w:val="left"/>
        <w:rPr/>
      </w:pPr>
      <w:r>
        <w:rPr/>
        <w:t xml:space="preserve">Defendant Housing Authority of Clackamas County is a public housing authority and governmental housing provider operating public-housing, voucher, and relocation programs in Clackamas County, Oregon. </w:t>
      </w:r>
    </w:p>
    <w:p>
      <w:pPr>
        <w:pStyle w:val="BodyText"/>
        <w:numPr>
          <w:ilvl w:val="0"/>
          <w:numId w:val="4"/>
        </w:numPr>
        <w:tabs>
          <w:tab w:val="clear" w:pos="1134"/>
          <w:tab w:val="left" w:pos="709" w:leader="none"/>
        </w:tabs>
        <w:bidi w:val="0"/>
        <w:ind w:hanging="283" w:left="709"/>
        <w:jc w:val="left"/>
        <w:rPr/>
      </w:pPr>
      <w:r>
        <w:rPr/>
        <w:t xml:space="preserve">Defendant Quantum Residential managed or controlled the Blossom Apartments intake, application, or placement process and participated in housing access decisions affecting displaced HACC households. </w:t>
      </w:r>
    </w:p>
    <w:p>
      <w:pPr>
        <w:pStyle w:val="BodyText"/>
        <w:bidi w:val="0"/>
        <w:spacing w:before="0" w:after="283"/>
        <w:jc w:val="left"/>
        <w:rPr/>
      </w:pPr>
      <w:r>
        <w:rPr/>
        <w:t>GENERAL ALLEGATIONS</w:t>
      </w:r>
    </w:p>
    <w:p>
      <w:pPr>
        <w:pStyle w:val="BodyText"/>
        <w:numPr>
          <w:ilvl w:val="0"/>
          <w:numId w:val="5"/>
        </w:numPr>
        <w:tabs>
          <w:tab w:val="clear" w:pos="1134"/>
          <w:tab w:val="left" w:pos="709" w:leader="none"/>
        </w:tabs>
        <w:bidi w:val="0"/>
        <w:spacing w:before="0" w:after="0"/>
        <w:ind w:hanging="283" w:left="709"/>
        <w:jc w:val="left"/>
        <w:rPr/>
      </w:pPr>
      <w:r>
        <w:rPr/>
        <w:t xml:space="preserve">On August 5, 2024, HACC generated a lease amendment or add/remove-tenant document for the household. </w:t>
      </w:r>
    </w:p>
    <w:p>
      <w:pPr>
        <w:pStyle w:val="BodyText"/>
        <w:numPr>
          <w:ilvl w:val="0"/>
          <w:numId w:val="5"/>
        </w:numPr>
        <w:tabs>
          <w:tab w:val="clear" w:pos="1134"/>
          <w:tab w:val="left" w:pos="709" w:leader="none"/>
        </w:tabs>
        <w:bidi w:val="0"/>
        <w:spacing w:before="0" w:after="0"/>
        <w:ind w:hanging="283" w:left="709"/>
        <w:jc w:val="left"/>
        <w:rPr/>
      </w:pPr>
      <w:r>
        <w:rPr/>
        <w:t xml:space="preserve">On September 19, 2024, HACC issued a general information notice concerning Hillside Park Apartments Phase II and the coming displacement sequence. </w:t>
      </w:r>
    </w:p>
    <w:p>
      <w:pPr>
        <w:pStyle w:val="BodyText"/>
        <w:numPr>
          <w:ilvl w:val="0"/>
          <w:numId w:val="5"/>
        </w:numPr>
        <w:tabs>
          <w:tab w:val="clear" w:pos="1134"/>
          <w:tab w:val="left" w:pos="709" w:leader="none"/>
        </w:tabs>
        <w:bidi w:val="0"/>
        <w:spacing w:before="0" w:after="0"/>
        <w:ind w:hanging="283" w:left="709"/>
        <w:jc w:val="left"/>
        <w:rPr/>
      </w:pPr>
      <w:r>
        <w:rPr/>
        <w:t xml:space="preserve">On December 23, 2025, HACC issued both a 30-day lease termination notice without cause and a 90-day lease termination notice without cause addressed to Jane Kay Cortez at the subject residence. </w:t>
      </w:r>
    </w:p>
    <w:p>
      <w:pPr>
        <w:pStyle w:val="BodyText"/>
        <w:numPr>
          <w:ilvl w:val="0"/>
          <w:numId w:val="5"/>
        </w:numPr>
        <w:tabs>
          <w:tab w:val="clear" w:pos="1134"/>
          <w:tab w:val="left" w:pos="709" w:leader="none"/>
        </w:tabs>
        <w:bidi w:val="0"/>
        <w:spacing w:before="0" w:after="0"/>
        <w:ind w:hanging="283" w:left="709"/>
        <w:jc w:val="left"/>
        <w:rPr/>
      </w:pPr>
      <w:r>
        <w:rPr/>
        <w:t xml:space="preserve">On December 31, 2025, HACC issued a notice of eligibility and 90-day notice to a residential tenant to be displaced. </w:t>
      </w:r>
    </w:p>
    <w:p>
      <w:pPr>
        <w:pStyle w:val="BodyText"/>
        <w:numPr>
          <w:ilvl w:val="0"/>
          <w:numId w:val="5"/>
        </w:numPr>
        <w:tabs>
          <w:tab w:val="clear" w:pos="1134"/>
          <w:tab w:val="left" w:pos="709" w:leader="none"/>
        </w:tabs>
        <w:bidi w:val="0"/>
        <w:spacing w:before="0" w:after="0"/>
        <w:ind w:hanging="283" w:left="709"/>
        <w:jc w:val="left"/>
        <w:rPr/>
      </w:pPr>
      <w:r>
        <w:rPr/>
        <w:t xml:space="preserve">Plaintiffs allege that, instead of lawfully bifurcating Julio Regal Florez-Cortez from the lease after bifurcation was requested, HACC removed or excluded him from the tenancy and effectively evicted him through the same notice and lease-administration sequence. </w:t>
      </w:r>
    </w:p>
    <w:p>
      <w:pPr>
        <w:pStyle w:val="BodyText"/>
        <w:numPr>
          <w:ilvl w:val="0"/>
          <w:numId w:val="5"/>
        </w:numPr>
        <w:tabs>
          <w:tab w:val="clear" w:pos="1134"/>
          <w:tab w:val="left" w:pos="709" w:leader="none"/>
        </w:tabs>
        <w:bidi w:val="0"/>
        <w:spacing w:before="0" w:after="0"/>
        <w:ind w:hanging="283" w:left="709"/>
        <w:jc w:val="left"/>
        <w:rPr/>
      </w:pPr>
      <w:r>
        <w:rPr/>
        <w:t xml:space="preserve">On January 1, 2026, HACC generated another lease-amendment document tied to household composition and a VAWA-related sequence. </w:t>
      </w:r>
    </w:p>
    <w:p>
      <w:pPr>
        <w:pStyle w:val="BodyText"/>
        <w:numPr>
          <w:ilvl w:val="0"/>
          <w:numId w:val="5"/>
        </w:numPr>
        <w:tabs>
          <w:tab w:val="clear" w:pos="1134"/>
          <w:tab w:val="left" w:pos="709" w:leader="none"/>
        </w:tabs>
        <w:bidi w:val="0"/>
        <w:spacing w:before="0" w:after="0"/>
        <w:ind w:hanging="283" w:left="709"/>
        <w:jc w:val="left"/>
        <w:rPr/>
      </w:pPr>
      <w:r>
        <w:rPr/>
        <w:t xml:space="preserve">On January 8, 2026, HACC sent a Blossom-related notice stating in substance that if the letter was received, the Tenant Protection Voucher process had not yet started and that Ashley Ferron should be contacted to start that process. </w:t>
      </w:r>
    </w:p>
    <w:p>
      <w:pPr>
        <w:pStyle w:val="BodyText"/>
        <w:numPr>
          <w:ilvl w:val="0"/>
          <w:numId w:val="5"/>
        </w:numPr>
        <w:tabs>
          <w:tab w:val="clear" w:pos="1134"/>
          <w:tab w:val="left" w:pos="709" w:leader="none"/>
        </w:tabs>
        <w:bidi w:val="0"/>
        <w:spacing w:before="0" w:after="0"/>
        <w:ind w:hanging="283" w:left="709"/>
        <w:jc w:val="left"/>
        <w:rPr/>
      </w:pPr>
      <w:r>
        <w:rPr/>
        <w:t xml:space="preserve">Plaintiffs submitted Blossom-related paperwork in December 2025. According to the completed intake session, Quantum accepted the paper application in person, and plaintiffs separately notified HACC that same day about the application and about service-animal issues affecting the proposed tenancy. </w:t>
      </w:r>
    </w:p>
    <w:p>
      <w:pPr>
        <w:pStyle w:val="BodyText"/>
        <w:numPr>
          <w:ilvl w:val="0"/>
          <w:numId w:val="5"/>
        </w:numPr>
        <w:tabs>
          <w:tab w:val="clear" w:pos="1134"/>
          <w:tab w:val="left" w:pos="709" w:leader="none"/>
        </w:tabs>
        <w:bidi w:val="0"/>
        <w:spacing w:before="0" w:after="0"/>
        <w:ind w:hanging="283" w:left="709"/>
        <w:jc w:val="left"/>
        <w:rPr/>
      </w:pPr>
      <w:r>
        <w:rPr/>
        <w:t xml:space="preserve">Plaintiffs allege that Quantum failed to process or transmit the application to HACC and that neither HACC nor Quantum issued a timely approval, denial, ineligibility determination, or lawful written deficiency notice. Plaintiffs further allege that they were later told Quantum had never turned the application in to HACC despite the in-person paper submission. </w:t>
      </w:r>
    </w:p>
    <w:p>
      <w:pPr>
        <w:pStyle w:val="BodyText"/>
        <w:numPr>
          <w:ilvl w:val="0"/>
          <w:numId w:val="5"/>
        </w:numPr>
        <w:tabs>
          <w:tab w:val="clear" w:pos="1134"/>
          <w:tab w:val="left" w:pos="709" w:leader="none"/>
        </w:tabs>
        <w:bidi w:val="0"/>
        <w:spacing w:before="0" w:after="0"/>
        <w:ind w:hanging="283" w:left="709"/>
        <w:jc w:val="left"/>
        <w:rPr/>
      </w:pPr>
      <w:r>
        <w:rPr/>
        <w:t xml:space="preserve">On February 4, 2026, HACC issued a 30-day for-cause notice directed to Jane Kay Cortez and Benjamin Jay Barber. </w:t>
      </w:r>
    </w:p>
    <w:p>
      <w:pPr>
        <w:pStyle w:val="BodyText"/>
        <w:numPr>
          <w:ilvl w:val="0"/>
          <w:numId w:val="5"/>
        </w:numPr>
        <w:tabs>
          <w:tab w:val="clear" w:pos="1134"/>
          <w:tab w:val="left" w:pos="709" w:leader="none"/>
        </w:tabs>
        <w:bidi w:val="0"/>
        <w:spacing w:before="0" w:after="0"/>
        <w:ind w:hanging="283" w:left="709"/>
        <w:jc w:val="left"/>
        <w:rPr/>
      </w:pPr>
      <w:r>
        <w:rPr/>
        <w:t xml:space="preserve">On February 13, 2026, HACC issued a 30-Day Notice of Termination addressed directly to Julio Regal Florez-Cortez, effective March 19, 2026, stating that HACC was terminating his tenancy under the public housing lease. </w:t>
      </w:r>
    </w:p>
    <w:p>
      <w:pPr>
        <w:pStyle w:val="BodyText"/>
        <w:numPr>
          <w:ilvl w:val="0"/>
          <w:numId w:val="5"/>
        </w:numPr>
        <w:tabs>
          <w:tab w:val="clear" w:pos="1134"/>
          <w:tab w:val="left" w:pos="709" w:leader="none"/>
        </w:tabs>
        <w:bidi w:val="0"/>
        <w:spacing w:before="0" w:after="0"/>
        <w:ind w:hanging="283" w:left="709"/>
        <w:jc w:val="left"/>
        <w:rPr/>
      </w:pPr>
      <w:r>
        <w:rPr/>
        <w:t xml:space="preserve">Plaintiffs further allege that HACC told Julio Regal Florez-Cortez he could request a hearing in writing even though HACC knew or should have known that he was incapable of writing in any language, and that no hearing was provided after he requested one orally. Plaintiffs further allege that HACC policy materials allowed another written or oral request, making a written-only demand inconsistent with the transfer procedures identified in the workspace policy set. </w:t>
      </w:r>
    </w:p>
    <w:p>
      <w:pPr>
        <w:pStyle w:val="BodyText"/>
        <w:numPr>
          <w:ilvl w:val="0"/>
          <w:numId w:val="5"/>
        </w:numPr>
        <w:tabs>
          <w:tab w:val="clear" w:pos="1134"/>
          <w:tab w:val="left" w:pos="709" w:leader="none"/>
        </w:tabs>
        <w:bidi w:val="0"/>
        <w:spacing w:before="0" w:after="0"/>
        <w:ind w:hanging="283" w:left="709"/>
        <w:jc w:val="left"/>
        <w:rPr/>
      </w:pPr>
      <w:r>
        <w:rPr/>
        <w:t xml:space="preserve">On February 9, 2026, HACC issued an additional-information demand requiring extensive income, tax, banking, and asset documentation. </w:t>
      </w:r>
    </w:p>
    <w:p>
      <w:pPr>
        <w:pStyle w:val="BodyText"/>
        <w:numPr>
          <w:ilvl w:val="0"/>
          <w:numId w:val="5"/>
        </w:numPr>
        <w:tabs>
          <w:tab w:val="clear" w:pos="1134"/>
          <w:tab w:val="left" w:pos="709" w:leader="none"/>
        </w:tabs>
        <w:bidi w:val="0"/>
        <w:spacing w:before="0" w:after="0"/>
        <w:ind w:hanging="283" w:left="709"/>
        <w:jc w:val="left"/>
        <w:rPr/>
      </w:pPr>
      <w:r>
        <w:rPr/>
        <w:t xml:space="preserve">The associated email thread shows repeated escalations of documentation demands even after plaintiffs had already supplied tax and financial materials. </w:t>
      </w:r>
    </w:p>
    <w:p>
      <w:pPr>
        <w:pStyle w:val="BodyText"/>
        <w:numPr>
          <w:ilvl w:val="0"/>
          <w:numId w:val="5"/>
        </w:numPr>
        <w:tabs>
          <w:tab w:val="clear" w:pos="1134"/>
          <w:tab w:val="left" w:pos="709" w:leader="none"/>
        </w:tabs>
        <w:bidi w:val="0"/>
        <w:spacing w:before="0" w:after="0"/>
        <w:ind w:hanging="283" w:left="709"/>
        <w:jc w:val="left"/>
        <w:rPr/>
      </w:pPr>
      <w:r>
        <w:rPr/>
        <w:t xml:space="preserve">In that thread, HACC requested proof of tax filings for multiple businesses, crypto-account statements, all bank statements for household members, and other asset categories, and demanded production by March 4, 2026. </w:t>
      </w:r>
    </w:p>
    <w:p>
      <w:pPr>
        <w:pStyle w:val="BodyText"/>
        <w:numPr>
          <w:ilvl w:val="0"/>
          <w:numId w:val="5"/>
        </w:numPr>
        <w:tabs>
          <w:tab w:val="clear" w:pos="1134"/>
          <w:tab w:val="left" w:pos="709" w:leader="none"/>
        </w:tabs>
        <w:bidi w:val="0"/>
        <w:spacing w:before="0" w:after="0"/>
        <w:ind w:hanging="283" w:left="709"/>
        <w:jc w:val="left"/>
        <w:rPr/>
      </w:pPr>
      <w:r>
        <w:rPr/>
        <w:t xml:space="preserve">Plaintiffs allege that those requests were excessive, duplicative, selectively imposed, and used to delay relocation, voucher issuance, or both. </w:t>
      </w:r>
    </w:p>
    <w:p>
      <w:pPr>
        <w:pStyle w:val="BodyText"/>
        <w:numPr>
          <w:ilvl w:val="0"/>
          <w:numId w:val="5"/>
        </w:numPr>
        <w:tabs>
          <w:tab w:val="clear" w:pos="1134"/>
          <w:tab w:val="left" w:pos="709" w:leader="none"/>
        </w:tabs>
        <w:bidi w:val="0"/>
        <w:spacing w:before="0" w:after="0"/>
        <w:ind w:hanging="283" w:left="709"/>
        <w:jc w:val="left"/>
        <w:rPr/>
      </w:pPr>
      <w:r>
        <w:rPr/>
        <w:t xml:space="preserve">On February 26, 2026, HACC issued another written communication identified in the evidence review as a steering-related notice. </w:t>
      </w:r>
    </w:p>
    <w:p>
      <w:pPr>
        <w:pStyle w:val="BodyText"/>
        <w:numPr>
          <w:ilvl w:val="0"/>
          <w:numId w:val="5"/>
        </w:numPr>
        <w:tabs>
          <w:tab w:val="clear" w:pos="1134"/>
          <w:tab w:val="left" w:pos="709" w:leader="none"/>
        </w:tabs>
        <w:bidi w:val="0"/>
        <w:spacing w:before="0" w:after="0"/>
        <w:ind w:hanging="283" w:left="709"/>
        <w:jc w:val="left"/>
        <w:rPr/>
      </w:pPr>
      <w:r>
        <w:rPr/>
        <w:t xml:space="preserve">Preserved Gmail sent-mail headers and body snippets dated February 26, March 2, and March 9, 2026 confirm that Benjamin Jay Barber wrote to Kati Tilton, Ashley Ferron, and </w:t>
      </w:r>
      <w:r>
        <w:rPr>
          <w:rStyle w:val="SourceText"/>
        </w:rPr>
        <w:t>charity@magikcorp.com</w:t>
      </w:r>
      <w:r>
        <w:rPr/>
        <w:t xml:space="preserve"> that Blossom had refused to process applications submitted to it for two months, refused to house a service animal, and engaged in discrimination on the basis of race, while HACC and Quantum continued to delay the processes needed to leave HACC-controlled housing. Plaintiffs further allege that </w:t>
      </w:r>
      <w:r>
        <w:rPr>
          <w:rStyle w:val="SourceText"/>
        </w:rPr>
        <w:t>charity@magikcorp.com</w:t>
      </w:r>
      <w:r>
        <w:rPr/>
        <w:t xml:space="preserve"> was included as a non-HACC recipient associated with Quantum or the Blossom-side process. Exhibit R. </w:t>
      </w:r>
    </w:p>
    <w:p>
      <w:pPr>
        <w:pStyle w:val="BodyText"/>
        <w:numPr>
          <w:ilvl w:val="0"/>
          <w:numId w:val="5"/>
        </w:numPr>
        <w:tabs>
          <w:tab w:val="clear" w:pos="1134"/>
          <w:tab w:val="left" w:pos="709" w:leader="none"/>
        </w:tabs>
        <w:bidi w:val="0"/>
        <w:spacing w:before="0" w:after="0"/>
        <w:ind w:hanging="283" w:left="709"/>
        <w:jc w:val="left"/>
        <w:rPr/>
      </w:pPr>
      <w:r>
        <w:rPr/>
        <w:t xml:space="preserve">Plaintiffs further circulated third-party former-employee review material concerning Quantum that referenced reported retaliation after fair-housing complaints, use of "woke" terminology, and DEI-focused culture. Plaintiffs rely on that screenshot only as former-employee review material they circulated in support of their discrimination complaints, not as a direct corporate admission by Quantum. Exhibit Q. </w:t>
      </w:r>
    </w:p>
    <w:p>
      <w:pPr>
        <w:pStyle w:val="BodyText"/>
        <w:numPr>
          <w:ilvl w:val="0"/>
          <w:numId w:val="5"/>
        </w:numPr>
        <w:tabs>
          <w:tab w:val="clear" w:pos="1134"/>
          <w:tab w:val="left" w:pos="709" w:leader="none"/>
        </w:tabs>
        <w:bidi w:val="0"/>
        <w:spacing w:before="0" w:after="0"/>
        <w:ind w:hanging="283" w:left="709"/>
        <w:jc w:val="left"/>
        <w:rPr/>
      </w:pPr>
      <w:r>
        <w:rPr/>
        <w:t xml:space="preserve">Plaintiffs allege that HACC knew of those complaints and continued the challenged documentation and relocation conduct afterward. </w:t>
      </w:r>
    </w:p>
    <w:p>
      <w:pPr>
        <w:pStyle w:val="BodyText"/>
        <w:numPr>
          <w:ilvl w:val="0"/>
          <w:numId w:val="5"/>
        </w:numPr>
        <w:tabs>
          <w:tab w:val="clear" w:pos="1134"/>
          <w:tab w:val="left" w:pos="709" w:leader="none"/>
        </w:tabs>
        <w:bidi w:val="0"/>
        <w:spacing w:before="0" w:after="0"/>
        <w:ind w:hanging="283" w:left="709"/>
        <w:jc w:val="left"/>
        <w:rPr/>
      </w:pPr>
      <w:r>
        <w:rPr/>
        <w:t xml:space="preserve">Plaintiffs further rely on published HACC and Clackamas County housing-policy materials stating that SHS-aligned RLRA and H4S programs are rooted in commitments to lead with racial equity, center the experiences of Black, Indigenous and people of color, implement racial equity across SHS functions, and evaluate outcomes for racially disparate impact. Plaintiffs also rely on the county's published civil-rights and nondiscrimination materials stating that county programs must comply with civil-rights laws and may not discriminate on the basis of race. Plaintiffs rely on these materials as evidence of the policy environment, program design, and motive context surrounding the challenged housing decisions, not as a claim that Oregon or county law lawfully authorized race discrimination against plaintiffs. </w:t>
      </w:r>
    </w:p>
    <w:p>
      <w:pPr>
        <w:pStyle w:val="BodyText"/>
        <w:numPr>
          <w:ilvl w:val="0"/>
          <w:numId w:val="5"/>
        </w:numPr>
        <w:tabs>
          <w:tab w:val="clear" w:pos="1134"/>
          <w:tab w:val="left" w:pos="709" w:leader="none"/>
        </w:tabs>
        <w:bidi w:val="0"/>
        <w:spacing w:before="0" w:after="0"/>
        <w:ind w:hanging="283" w:left="709"/>
        <w:jc w:val="left"/>
        <w:rPr/>
      </w:pPr>
      <w:r>
        <w:rPr/>
        <w:t xml:space="preserve">Plaintiffs allege that Quantum participated in the Blossom housing-access process as a landlord-side participant in a county-linked relocation and voucher pipeline shaped by those published policy directives, landlord-partnership practices, and county-administered housing contracts, and that Quantum's refusal to process plaintiffs' application and housing opportunity occurred in that policy environment and on unequal racial terms. Plaintiffs further allege that other displaced households were moved into Blossom while plaintiffs' own application was never processed at all, and that plaintiffs spoke with a Black family who had been interviewed for Blossom even though plaintiffs' application did not move forward. </w:t>
      </w:r>
    </w:p>
    <w:p>
      <w:pPr>
        <w:pStyle w:val="BodyText"/>
        <w:numPr>
          <w:ilvl w:val="0"/>
          <w:numId w:val="5"/>
        </w:numPr>
        <w:tabs>
          <w:tab w:val="clear" w:pos="1134"/>
          <w:tab w:val="left" w:pos="709" w:leader="none"/>
        </w:tabs>
        <w:bidi w:val="0"/>
        <w:spacing w:before="0" w:after="0"/>
        <w:ind w:hanging="283" w:left="709"/>
        <w:jc w:val="left"/>
        <w:rPr/>
      </w:pPr>
      <w:r>
        <w:rPr/>
        <w:t xml:space="preserve">Ashley Ferron was identified as the contact to start the Tenant Protection Voucher process. Preserved complaint emails show Ashley Ferron remained copied on plaintiffs' written complaints through March 10, 2026, and by March 17 through March 20, 2026 the orientation and voucher emails were being sent by Kati Tilton. Plaintiffs further allege from the completed intake session that adverse treatment intensified after plaintiffs' protected complaints and threatened suit. </w:t>
      </w:r>
    </w:p>
    <w:p>
      <w:pPr>
        <w:pStyle w:val="BodyText"/>
        <w:numPr>
          <w:ilvl w:val="0"/>
          <w:numId w:val="5"/>
        </w:numPr>
        <w:tabs>
          <w:tab w:val="clear" w:pos="1134"/>
          <w:tab w:val="left" w:pos="709" w:leader="none"/>
        </w:tabs>
        <w:bidi w:val="0"/>
        <w:spacing w:before="0" w:after="0"/>
        <w:ind w:hanging="283" w:left="709"/>
        <w:jc w:val="left"/>
        <w:rPr/>
      </w:pPr>
      <w:r>
        <w:rPr/>
        <w:t xml:space="preserve">HACC stated on January 8, 2026 that the Tenant Protection Voucher process had not yet started, and orientation and voucher communications followed on March 17 through March 20, 2026. Plaintiffs further allege from the completed intake session that they had sought voucher assistance earlier and repeatedly followed up before those March communications. </w:t>
      </w:r>
    </w:p>
    <w:p>
      <w:pPr>
        <w:pStyle w:val="BodyText"/>
        <w:numPr>
          <w:ilvl w:val="0"/>
          <w:numId w:val="5"/>
        </w:numPr>
        <w:tabs>
          <w:tab w:val="clear" w:pos="1134"/>
          <w:tab w:val="left" w:pos="709" w:leader="none"/>
        </w:tabs>
        <w:bidi w:val="0"/>
        <w:spacing w:before="0" w:after="0"/>
        <w:ind w:hanging="283" w:left="709"/>
        <w:jc w:val="left"/>
        <w:rPr/>
      </w:pPr>
      <w:r>
        <w:rPr/>
        <w:t xml:space="preserve">On March 17, 2026, HACC circulated an inspection notice referencing a HUD NSPIRE inspection. </w:t>
      </w:r>
    </w:p>
    <w:p>
      <w:pPr>
        <w:pStyle w:val="BodyText"/>
        <w:numPr>
          <w:ilvl w:val="0"/>
          <w:numId w:val="5"/>
        </w:numPr>
        <w:tabs>
          <w:tab w:val="clear" w:pos="1134"/>
          <w:tab w:val="left" w:pos="709" w:leader="none"/>
        </w:tabs>
        <w:bidi w:val="0"/>
        <w:spacing w:before="0" w:after="0"/>
        <w:ind w:hanging="283" w:left="709"/>
        <w:jc w:val="left"/>
        <w:rPr/>
      </w:pPr>
      <w:r>
        <w:rPr/>
        <w:t xml:space="preserve">On March 17 through March 20, 2026, HACC and Benjamin Jay Barber exchanged emails about HCV orientation, voucher issuance, and accommodation. </w:t>
      </w:r>
    </w:p>
    <w:p>
      <w:pPr>
        <w:pStyle w:val="BodyText"/>
        <w:numPr>
          <w:ilvl w:val="0"/>
          <w:numId w:val="5"/>
        </w:numPr>
        <w:tabs>
          <w:tab w:val="clear" w:pos="1134"/>
          <w:tab w:val="left" w:pos="709" w:leader="none"/>
        </w:tabs>
        <w:bidi w:val="0"/>
        <w:spacing w:before="0" w:after="0"/>
        <w:ind w:hanging="283" w:left="709"/>
        <w:jc w:val="left"/>
        <w:rPr/>
      </w:pPr>
      <w:r>
        <w:rPr/>
        <w:t xml:space="preserve">In those emails, HACC first sent a two-bedroom subsidy worksheet and voucher issuance, then stated on March 19, 2026 that the two-bedroom voucher had been created and sent in error and that a one-bedroom voucher would instead be issued. </w:t>
      </w:r>
    </w:p>
    <w:p>
      <w:pPr>
        <w:pStyle w:val="BodyText"/>
        <w:numPr>
          <w:ilvl w:val="0"/>
          <w:numId w:val="5"/>
        </w:numPr>
        <w:tabs>
          <w:tab w:val="clear" w:pos="1134"/>
          <w:tab w:val="left" w:pos="709" w:leader="none"/>
        </w:tabs>
        <w:bidi w:val="0"/>
        <w:spacing w:before="0" w:after="0"/>
        <w:ind w:hanging="283" w:left="709"/>
        <w:jc w:val="left"/>
        <w:rPr/>
      </w:pPr>
      <w:r>
        <w:rPr/>
        <w:t xml:space="preserve">Benjamin Jay Barber responded that he had a scheduled appointment to obtain a reasonable accommodation for a two-bedroom, first-floor unit and that the one-bedroom arrangement was not workable because Jane Kay Cortez could not climb stairs, Benjamin Barber served as her main caregiver, the two could not reasonably share a bedroom because of privacy concerns, and Jane needed ongoing assistance with ADLs and IADLs due to intellectual impairment, along with the household's other mobility, work-from-home, and service-animal needs. By March 24, 2026, plaintiffs further had provider verification stating that Jane Kay Cortez met the fair-housing disability definition, that her dog Sarah alleviated disability symptoms, and that the accommodation request was disability-related and necessary for equal housing access. </w:t>
      </w:r>
    </w:p>
    <w:p>
      <w:pPr>
        <w:pStyle w:val="BodyText"/>
        <w:numPr>
          <w:ilvl w:val="0"/>
          <w:numId w:val="5"/>
        </w:numPr>
        <w:tabs>
          <w:tab w:val="clear" w:pos="1134"/>
          <w:tab w:val="left" w:pos="709" w:leader="none"/>
        </w:tabs>
        <w:bidi w:val="0"/>
        <w:spacing w:before="0" w:after="0"/>
        <w:ind w:hanging="283" w:left="709"/>
        <w:jc w:val="left"/>
        <w:rPr/>
      </w:pPr>
      <w:r>
        <w:rPr/>
        <w:t xml:space="preserve">On March 20, 2026, Kati Tilton wrote that the voucher could be reissued as a two-bedroom if plaintiffs were approved for a reasonable accommodation. </w:t>
      </w:r>
    </w:p>
    <w:p>
      <w:pPr>
        <w:pStyle w:val="BodyText"/>
        <w:numPr>
          <w:ilvl w:val="0"/>
          <w:numId w:val="5"/>
        </w:numPr>
        <w:tabs>
          <w:tab w:val="clear" w:pos="1134"/>
          <w:tab w:val="left" w:pos="709" w:leader="none"/>
        </w:tabs>
        <w:bidi w:val="0"/>
        <w:spacing w:before="0" w:after="0"/>
        <w:ind w:hanging="283" w:left="709"/>
        <w:jc w:val="left"/>
        <w:rPr/>
      </w:pPr>
      <w:r>
        <w:rPr/>
        <w:t xml:space="preserve">Plaintiffs allege that HACC nevertheless delayed or denied the accommodation and redirected the household from the expected two-bedroom, first-floor arrangement to a one-bedroom configuration that did not meet the household's no-stairs, caregiving, privacy, ADL/IADL support, work-from-home, mobility, and service-animal needs, even after provider verification was completed in late March 2026. HACC later denied the requested two-bedroom increase, stated that one household member could use the living room for sleep, but also stated that plaintiffs could use the one-bedroom voucher for a two-bedroom ground-floor unit within the affordability range. Plaintiffs therefore allege that HACC at least partially recognized the no-stairs or ground-floor component while still refusing an effective two-bedroom accommodation. </w:t>
      </w:r>
    </w:p>
    <w:p>
      <w:pPr>
        <w:pStyle w:val="BodyText"/>
        <w:numPr>
          <w:ilvl w:val="0"/>
          <w:numId w:val="5"/>
        </w:numPr>
        <w:tabs>
          <w:tab w:val="clear" w:pos="1134"/>
          <w:tab w:val="left" w:pos="709" w:leader="none"/>
        </w:tabs>
        <w:bidi w:val="0"/>
        <w:spacing w:before="0" w:after="0"/>
        <w:ind w:hanging="283" w:left="709"/>
        <w:jc w:val="left"/>
        <w:rPr/>
      </w:pPr>
      <w:r>
        <w:rPr/>
        <w:t xml:space="preserve">Plaintiffs further allege that defendants knew of disability-related needs affecting bedroom count, accessibility, service-animal use, caregiver status, dignitary privacy, and Julio Regal Florez-Cortez's inability to submit a written hearing request, but still refused to process the housing transition in a timely and lawful manner. </w:t>
      </w:r>
    </w:p>
    <w:p>
      <w:pPr>
        <w:pStyle w:val="BodyText"/>
        <w:numPr>
          <w:ilvl w:val="0"/>
          <w:numId w:val="5"/>
        </w:numPr>
        <w:tabs>
          <w:tab w:val="clear" w:pos="1134"/>
          <w:tab w:val="left" w:pos="709" w:leader="none"/>
        </w:tabs>
        <w:bidi w:val="0"/>
        <w:ind w:hanging="283" w:left="709"/>
        <w:jc w:val="left"/>
        <w:rPr/>
      </w:pPr>
      <w:r>
        <w:rPr/>
        <w:t xml:space="preserve">Plaintiffs allege that defendants' conduct caused concrete injury including imminent eviction risk, delayed relocation, loss of housing opportunity, loss of time and income, emotional distress, and continuing instability for the household. Plaintiffs further give evidentiary notice that they rely in particular on Exhibit R for preserved Gmail proof of the February 26, March 2, and March 9, 2026 discrimination and retaliation complaints, on Exhibit Q for former-employee review material circulated as notice and context only, and on the published SHS, RLRA, H4S, and county civil-rights materials as proof of the county-linked program structure and policy environment in which the challenged Blossom and voucher decisions occurred. </w:t>
      </w:r>
    </w:p>
    <w:p>
      <w:pPr>
        <w:pStyle w:val="BodyText"/>
        <w:bidi w:val="0"/>
        <w:spacing w:before="0" w:after="283"/>
        <w:jc w:val="left"/>
        <w:rPr/>
      </w:pPr>
      <w:r>
        <w:rPr/>
        <w:t>AUTHORITIES INCORPORATED INTO THIS PLEADING</w:t>
      </w:r>
    </w:p>
    <w:p>
      <w:pPr>
        <w:pStyle w:val="BodyText"/>
        <w:numPr>
          <w:ilvl w:val="0"/>
          <w:numId w:val="6"/>
        </w:numPr>
        <w:tabs>
          <w:tab w:val="clear" w:pos="1134"/>
          <w:tab w:val="left" w:pos="709" w:leader="none"/>
        </w:tabs>
        <w:bidi w:val="0"/>
        <w:spacing w:before="0" w:after="0"/>
        <w:ind w:hanging="283" w:left="709"/>
        <w:jc w:val="left"/>
        <w:rPr/>
      </w:pPr>
      <w:r>
        <w:rPr/>
        <w:t xml:space="preserve">The Fair Housing Act prohibits discrimination in the terms, conditions, privileges, services, or facilities connected to a dwelling because of disability and requires reasonable accommodations in rules, policies, practices, or services when necessary to afford equal opportunity to use and enjoy a dwelling. </w:t>
      </w:r>
    </w:p>
    <w:p>
      <w:pPr>
        <w:pStyle w:val="BodyText"/>
        <w:numPr>
          <w:ilvl w:val="0"/>
          <w:numId w:val="6"/>
        </w:numPr>
        <w:tabs>
          <w:tab w:val="clear" w:pos="1134"/>
          <w:tab w:val="left" w:pos="709" w:leader="none"/>
        </w:tabs>
        <w:bidi w:val="0"/>
        <w:spacing w:before="0" w:after="0"/>
        <w:ind w:hanging="283" w:left="709"/>
        <w:jc w:val="left"/>
        <w:rPr/>
      </w:pPr>
      <w:r>
        <w:rPr/>
        <w:t xml:space="preserve">The Fair Housing Act also prohibits coercion, intimidation, threats, and interference with persons who exercise or aid fair-housing rights. </w:t>
      </w:r>
    </w:p>
    <w:p>
      <w:pPr>
        <w:pStyle w:val="BodyText"/>
        <w:numPr>
          <w:ilvl w:val="0"/>
          <w:numId w:val="6"/>
        </w:numPr>
        <w:tabs>
          <w:tab w:val="clear" w:pos="1134"/>
          <w:tab w:val="left" w:pos="709" w:leader="none"/>
        </w:tabs>
        <w:bidi w:val="0"/>
        <w:spacing w:before="0" w:after="0"/>
        <w:ind w:hanging="283" w:left="709"/>
        <w:jc w:val="left"/>
        <w:rPr/>
      </w:pPr>
      <w:r>
        <w:rPr/>
        <w:t xml:space="preserve">Section 504 of the Rehabilitation Act prohibits disability discrimination by programs or activities receiving federal financial assistance. </w:t>
      </w:r>
    </w:p>
    <w:p>
      <w:pPr>
        <w:pStyle w:val="BodyText"/>
        <w:numPr>
          <w:ilvl w:val="0"/>
          <w:numId w:val="6"/>
        </w:numPr>
        <w:tabs>
          <w:tab w:val="clear" w:pos="1134"/>
          <w:tab w:val="left" w:pos="709" w:leader="none"/>
        </w:tabs>
        <w:bidi w:val="0"/>
        <w:spacing w:before="0" w:after="0"/>
        <w:ind w:hanging="283" w:left="709"/>
        <w:jc w:val="left"/>
        <w:rPr/>
      </w:pPr>
      <w:r>
        <w:rPr/>
        <w:t xml:space="preserve">Title II of the Americans with Disabilities Act prohibits disability discrimination by public entities in services, programs, and activities. </w:t>
      </w:r>
    </w:p>
    <w:p>
      <w:pPr>
        <w:pStyle w:val="BodyText"/>
        <w:numPr>
          <w:ilvl w:val="0"/>
          <w:numId w:val="6"/>
        </w:numPr>
        <w:tabs>
          <w:tab w:val="clear" w:pos="1134"/>
          <w:tab w:val="left" w:pos="709" w:leader="none"/>
        </w:tabs>
        <w:bidi w:val="0"/>
        <w:spacing w:before="0" w:after="0"/>
        <w:ind w:hanging="283" w:left="709"/>
        <w:jc w:val="left"/>
        <w:rPr/>
      </w:pPr>
      <w:r>
        <w:rPr/>
        <w:t xml:space="preserve">42 U.S.C. section 1981 guarantees all persons the same right to make and enforce contracts as is enjoyed by white citizens, including housing-related application, lease, and placement opportunities. </w:t>
      </w:r>
    </w:p>
    <w:p>
      <w:pPr>
        <w:pStyle w:val="BodyText"/>
        <w:numPr>
          <w:ilvl w:val="0"/>
          <w:numId w:val="6"/>
        </w:numPr>
        <w:tabs>
          <w:tab w:val="clear" w:pos="1134"/>
          <w:tab w:val="left" w:pos="709" w:leader="none"/>
        </w:tabs>
        <w:bidi w:val="0"/>
        <w:spacing w:before="0" w:after="0"/>
        <w:ind w:hanging="283" w:left="709"/>
        <w:jc w:val="left"/>
        <w:rPr/>
      </w:pPr>
      <w:r>
        <w:rPr/>
        <w:t xml:space="preserve">The First Amendment protects complaints and petitions to government, including complaints about discrimination and threatened legal action, and state actors may not retaliate against a person for protected speech or petitioning activity. </w:t>
      </w:r>
    </w:p>
    <w:p>
      <w:pPr>
        <w:pStyle w:val="BodyText"/>
        <w:numPr>
          <w:ilvl w:val="0"/>
          <w:numId w:val="6"/>
        </w:numPr>
        <w:tabs>
          <w:tab w:val="clear" w:pos="1134"/>
          <w:tab w:val="left" w:pos="709" w:leader="none"/>
        </w:tabs>
        <w:bidi w:val="0"/>
        <w:spacing w:before="0" w:after="0"/>
        <w:ind w:hanging="283" w:left="709"/>
        <w:jc w:val="left"/>
        <w:rPr/>
      </w:pPr>
      <w:r>
        <w:rPr/>
        <w:t xml:space="preserve">Federal housing-program law requires notice and an opportunity for an informal hearing in covered participant disputes. </w:t>
      </w:r>
    </w:p>
    <w:p>
      <w:pPr>
        <w:pStyle w:val="BodyText"/>
        <w:numPr>
          <w:ilvl w:val="0"/>
          <w:numId w:val="6"/>
        </w:numPr>
        <w:tabs>
          <w:tab w:val="clear" w:pos="1134"/>
          <w:tab w:val="left" w:pos="709" w:leader="none"/>
        </w:tabs>
        <w:bidi w:val="0"/>
        <w:spacing w:before="0" w:after="0"/>
        <w:ind w:hanging="283" w:left="709"/>
        <w:jc w:val="left"/>
        <w:rPr/>
      </w:pPr>
      <w:r>
        <w:rPr/>
        <w:t xml:space="preserve">Oregon law independently prohibits disability discrimination and source-of-income discrimination in housing transactions and authorizes civil remedies. </w:t>
      </w:r>
    </w:p>
    <w:p>
      <w:pPr>
        <w:pStyle w:val="BodyText"/>
        <w:numPr>
          <w:ilvl w:val="0"/>
          <w:numId w:val="6"/>
        </w:numPr>
        <w:tabs>
          <w:tab w:val="clear" w:pos="1134"/>
          <w:tab w:val="left" w:pos="709" w:leader="none"/>
        </w:tabs>
        <w:bidi w:val="0"/>
        <w:ind w:hanging="283" w:left="709"/>
        <w:jc w:val="left"/>
        <w:rPr/>
      </w:pPr>
      <w:r>
        <w:rPr/>
        <w:t xml:space="preserve">Oregon law and HACC policy also govern the notice and termination process implicated by the challenged displacement and lease actions. </w:t>
      </w:r>
    </w:p>
    <w:p>
      <w:pPr>
        <w:pStyle w:val="BodyText"/>
        <w:bidi w:val="0"/>
        <w:spacing w:before="0" w:after="283"/>
        <w:jc w:val="left"/>
        <w:rPr/>
      </w:pPr>
      <w:r>
        <w:rPr/>
        <w:t>COUNT I FAILURE TO PROVIDE REASONABLE ACCOMMODATION AND DISABILITY DISCRIMINATION Against HACC and Quantum under the Fair Housing Act, and against HACC only under Section 504 and Title II</w:t>
      </w:r>
    </w:p>
    <w:p>
      <w:pPr>
        <w:pStyle w:val="BodyText"/>
        <w:numPr>
          <w:ilvl w:val="0"/>
          <w:numId w:val="7"/>
        </w:numPr>
        <w:tabs>
          <w:tab w:val="clear" w:pos="1134"/>
          <w:tab w:val="left" w:pos="709" w:leader="none"/>
        </w:tabs>
        <w:bidi w:val="0"/>
        <w:spacing w:before="0" w:after="0"/>
        <w:ind w:hanging="283" w:left="709"/>
        <w:jc w:val="left"/>
        <w:rPr/>
      </w:pPr>
      <w:r>
        <w:rPr/>
        <w:t xml:space="preserve">Plaintiffs reallege the preceding paragraphs. </w:t>
      </w:r>
    </w:p>
    <w:p>
      <w:pPr>
        <w:pStyle w:val="BodyText"/>
        <w:numPr>
          <w:ilvl w:val="0"/>
          <w:numId w:val="7"/>
        </w:numPr>
        <w:tabs>
          <w:tab w:val="clear" w:pos="1134"/>
          <w:tab w:val="left" w:pos="709" w:leader="none"/>
        </w:tabs>
        <w:bidi w:val="0"/>
        <w:spacing w:before="0" w:after="0"/>
        <w:ind w:hanging="283" w:left="709"/>
        <w:jc w:val="left"/>
        <w:rPr/>
      </w:pPr>
      <w:r>
        <w:rPr/>
        <w:t xml:space="preserve">Plaintiffs requested a two-bedroom, first-floor accommodation and related housing relief because Jane Kay Cortez required mobility and cognitive accommodations, could not climb stairs, needed Benjamin Jay Barber as her live-in caregiver and remote worker, could not reasonably share a bedroom with him because of privacy concerns, and required ongoing assistance with ADLs and IADLs, while the household also needed room for a scooter and service animal. HACC later stated that plaintiffs could use the one-bedroom voucher for a two-bedroom ground-floor unit within the affordability range, which supports the narrower allegation that HACC recognized the ground-floor component while leaving the two-bedroom voucher increase as the remaining denied accommodation. The HACC policy materials imported into the workspace also state that a couple with one child will ordinarily be issued a two-bedroom voucher. </w:t>
      </w:r>
    </w:p>
    <w:p>
      <w:pPr>
        <w:pStyle w:val="BodyText"/>
        <w:numPr>
          <w:ilvl w:val="0"/>
          <w:numId w:val="7"/>
        </w:numPr>
        <w:tabs>
          <w:tab w:val="clear" w:pos="1134"/>
          <w:tab w:val="left" w:pos="709" w:leader="none"/>
        </w:tabs>
        <w:bidi w:val="0"/>
        <w:spacing w:before="0" w:after="0"/>
        <w:ind w:hanging="283" w:left="709"/>
        <w:jc w:val="left"/>
        <w:rPr/>
      </w:pPr>
      <w:r>
        <w:rPr/>
        <w:t xml:space="preserve">Plaintiffs further allege that Julio Regal Florez-Cortez required an accessible means of requesting a hearing because he could not write in any language and therefore could not use a hearing-request procedure conditioned on written submission. Plaintiffs further rely on HACC policy materials stating that transfer requests may be accepted as another written or oral request. </w:t>
      </w:r>
    </w:p>
    <w:p>
      <w:pPr>
        <w:pStyle w:val="BodyText"/>
        <w:numPr>
          <w:ilvl w:val="0"/>
          <w:numId w:val="7"/>
        </w:numPr>
        <w:tabs>
          <w:tab w:val="clear" w:pos="1134"/>
          <w:tab w:val="left" w:pos="709" w:leader="none"/>
        </w:tabs>
        <w:bidi w:val="0"/>
        <w:spacing w:before="0" w:after="0"/>
        <w:ind w:hanging="283" w:left="709"/>
        <w:jc w:val="left"/>
        <w:rPr/>
      </w:pPr>
      <w:r>
        <w:rPr/>
        <w:t xml:space="preserve">HACC acknowledged in writing that the voucher could be reissued as a two-bedroom if the accommodation were approved, but had already reversed a two-bedroom issuance and replaced it with a one-bedroom issuance it claimed had been sent in error. Plaintiffs further rely on provider verification completed by March 24, 2026 stating that Jane Kay Cortez met the fair-housing disability definition, that her dog Sarah alleviated disability symptoms, and that the accommodation request was disability-related and necessary for equal housing access, with request text describing a two-bedroom first-floor unit because Jane could not climb stairs and needed caregiver privacy and ADL/IADL support from Benjamin Barber. Plaintiffs further rely on HACC's later denial of the two-bedroom increase while expressly allowing use of the one-bedroom voucher for a two-bedroom ground-floor unit within the affordability range. Plaintiffs therefore allege that first-floor placement was partially recognized, but the requested two-bedroom voucher was still withheld. </w:t>
      </w:r>
    </w:p>
    <w:p>
      <w:pPr>
        <w:pStyle w:val="BodyText"/>
        <w:numPr>
          <w:ilvl w:val="0"/>
          <w:numId w:val="7"/>
        </w:numPr>
        <w:tabs>
          <w:tab w:val="clear" w:pos="1134"/>
          <w:tab w:val="left" w:pos="709" w:leader="none"/>
        </w:tabs>
        <w:bidi w:val="0"/>
        <w:spacing w:before="0" w:after="0"/>
        <w:ind w:hanging="283" w:left="709"/>
        <w:jc w:val="left"/>
        <w:rPr/>
      </w:pPr>
      <w:r>
        <w:rPr/>
        <w:t xml:space="preserve">Plaintiffs allege that defendants failed to provide a prompt, interactive, and lawful accommodation process; initially denied the accommodation multiple times; only partially recognized the request by later allowing use of a one-bedroom voucher for a two-bedroom ground-floor unit rather than granting the requested two-bedroom increase; and still denied or delayed the remaining accommodation needed for Jane's stair, privacy, and caregiver-support needs. </w:t>
      </w:r>
    </w:p>
    <w:p>
      <w:pPr>
        <w:pStyle w:val="BodyText"/>
        <w:numPr>
          <w:ilvl w:val="0"/>
          <w:numId w:val="7"/>
        </w:numPr>
        <w:tabs>
          <w:tab w:val="clear" w:pos="1134"/>
          <w:tab w:val="left" w:pos="709" w:leader="none"/>
        </w:tabs>
        <w:bidi w:val="0"/>
        <w:spacing w:before="0" w:after="0"/>
        <w:ind w:hanging="283" w:left="709"/>
        <w:jc w:val="left"/>
        <w:rPr/>
      </w:pPr>
      <w:r>
        <w:rPr/>
        <w:t xml:space="preserve">Plaintiffs further allege that Quantum refused to process the Blossom application and refused to accommodate the household's service animal, thereby participating in disability-based housing discrimination under the Fair Housing Act. </w:t>
      </w:r>
    </w:p>
    <w:p>
      <w:pPr>
        <w:pStyle w:val="BodyText"/>
        <w:numPr>
          <w:ilvl w:val="0"/>
          <w:numId w:val="7"/>
        </w:numPr>
        <w:tabs>
          <w:tab w:val="clear" w:pos="1134"/>
          <w:tab w:val="left" w:pos="709" w:leader="none"/>
        </w:tabs>
        <w:bidi w:val="0"/>
        <w:ind w:hanging="283" w:left="709"/>
        <w:jc w:val="left"/>
        <w:rPr/>
      </w:pPr>
      <w:r>
        <w:rPr/>
        <w:t xml:space="preserve">These acts violated the Fair Housing Act, and as to HACC also violated Section 504 and Title II. </w:t>
      </w:r>
    </w:p>
    <w:p>
      <w:pPr>
        <w:pStyle w:val="BodyText"/>
        <w:bidi w:val="0"/>
        <w:spacing w:before="0" w:after="283"/>
        <w:jc w:val="left"/>
        <w:rPr/>
      </w:pPr>
      <w:r>
        <w:rPr/>
        <w:t>COUNT II FAIR HOUSING RETALIATION AND INTERFERENCE Against HACC and Quantum</w:t>
      </w:r>
    </w:p>
    <w:p>
      <w:pPr>
        <w:pStyle w:val="BodyText"/>
        <w:numPr>
          <w:ilvl w:val="0"/>
          <w:numId w:val="8"/>
        </w:numPr>
        <w:tabs>
          <w:tab w:val="clear" w:pos="1134"/>
          <w:tab w:val="left" w:pos="709" w:leader="none"/>
        </w:tabs>
        <w:bidi w:val="0"/>
        <w:spacing w:before="0" w:after="0"/>
        <w:ind w:hanging="283" w:left="709"/>
        <w:jc w:val="left"/>
        <w:rPr/>
      </w:pPr>
      <w:r>
        <w:rPr/>
        <w:t xml:space="preserve">Plaintiffs reallege the preceding paragraphs. </w:t>
      </w:r>
    </w:p>
    <w:p>
      <w:pPr>
        <w:pStyle w:val="BodyText"/>
        <w:numPr>
          <w:ilvl w:val="0"/>
          <w:numId w:val="8"/>
        </w:numPr>
        <w:tabs>
          <w:tab w:val="clear" w:pos="1134"/>
          <w:tab w:val="left" w:pos="709" w:leader="none"/>
        </w:tabs>
        <w:bidi w:val="0"/>
        <w:spacing w:before="0" w:after="0"/>
        <w:ind w:hanging="283" w:left="709"/>
        <w:jc w:val="left"/>
        <w:rPr/>
      </w:pPr>
      <w:r>
        <w:rPr/>
        <w:t xml:space="preserve">Plaintiffs engaged in protected activity by complaining to HACC and Quantum about race discrimination, disability discrimination, service-animal issues, unlawful housing administration, retaliation, and violations of fair-housing rights, including the February 26, March 2, and March 9, 2026 emails preserved in the Gmail sent-mail records and directed to Kati Tilton, Ashley Ferron, and </w:t>
      </w:r>
      <w:r>
        <w:rPr>
          <w:rStyle w:val="SourceText"/>
        </w:rPr>
        <w:t>charity@magikcorp.com</w:t>
      </w:r>
      <w:r>
        <w:rPr/>
        <w:t xml:space="preserve">, which plaintiffs allege was associated with Quantum or the Blossom-side process. Exhibit R. Plaintiffs further allege from the completed intake session that related complaints also reached county counsel. </w:t>
      </w:r>
    </w:p>
    <w:p>
      <w:pPr>
        <w:pStyle w:val="BodyText"/>
        <w:numPr>
          <w:ilvl w:val="0"/>
          <w:numId w:val="8"/>
        </w:numPr>
        <w:tabs>
          <w:tab w:val="clear" w:pos="1134"/>
          <w:tab w:val="left" w:pos="709" w:leader="none"/>
        </w:tabs>
        <w:bidi w:val="0"/>
        <w:spacing w:before="0" w:after="0"/>
        <w:ind w:hanging="283" w:left="709"/>
        <w:jc w:val="left"/>
        <w:rPr/>
      </w:pPr>
      <w:r>
        <w:rPr/>
        <w:t xml:space="preserve">Defendants knew of those complaints. </w:t>
      </w:r>
    </w:p>
    <w:p>
      <w:pPr>
        <w:pStyle w:val="BodyText"/>
        <w:numPr>
          <w:ilvl w:val="0"/>
          <w:numId w:val="8"/>
        </w:numPr>
        <w:tabs>
          <w:tab w:val="clear" w:pos="1134"/>
          <w:tab w:val="left" w:pos="709" w:leader="none"/>
        </w:tabs>
        <w:bidi w:val="0"/>
        <w:spacing w:before="0" w:after="0"/>
        <w:ind w:hanging="283" w:left="709"/>
        <w:jc w:val="left"/>
        <w:rPr/>
      </w:pPr>
      <w:r>
        <w:rPr/>
        <w:t xml:space="preserve">After those complaints, defendants escalated adverse conduct by issuing or maintaining notices to vacate, delaying voucher issuance, reversing a two-bedroom voucher, demanding excessive documentation, refusing to process the Blossom application, and blocking or burdening relocation out of HACC-controlled housing. </w:t>
      </w:r>
    </w:p>
    <w:p>
      <w:pPr>
        <w:pStyle w:val="BodyText"/>
        <w:numPr>
          <w:ilvl w:val="0"/>
          <w:numId w:val="8"/>
        </w:numPr>
        <w:tabs>
          <w:tab w:val="clear" w:pos="1134"/>
          <w:tab w:val="left" w:pos="709" w:leader="none"/>
        </w:tabs>
        <w:bidi w:val="0"/>
        <w:spacing w:before="0" w:after="0"/>
        <w:ind w:hanging="283" w:left="709"/>
        <w:jc w:val="left"/>
        <w:rPr/>
      </w:pPr>
      <w:r>
        <w:rPr/>
        <w:t xml:space="preserve">Plaintiffs further allege, based on the completed intake session, that HACC personnel explicitly stated that Benjamin Jay Barber's threatened lawsuits were a reason for giving a 30-day notice to vacate, and that county counsel was later informed that plaintiffs contended the action was unlawful. </w:t>
      </w:r>
    </w:p>
    <w:p>
      <w:pPr>
        <w:pStyle w:val="BodyText"/>
        <w:numPr>
          <w:ilvl w:val="0"/>
          <w:numId w:val="8"/>
        </w:numPr>
        <w:tabs>
          <w:tab w:val="clear" w:pos="1134"/>
          <w:tab w:val="left" w:pos="709" w:leader="none"/>
        </w:tabs>
        <w:bidi w:val="0"/>
        <w:ind w:hanging="283" w:left="709"/>
        <w:jc w:val="left"/>
        <w:rPr/>
      </w:pPr>
      <w:r>
        <w:rPr/>
        <w:t xml:space="preserve">These acts violated the Fair Housing Act's anti-retaliation and anti-interference protections. </w:t>
      </w:r>
    </w:p>
    <w:p>
      <w:pPr>
        <w:pStyle w:val="BodyText"/>
        <w:bidi w:val="0"/>
        <w:spacing w:before="0" w:after="283"/>
        <w:jc w:val="left"/>
        <w:rPr/>
      </w:pPr>
      <w:r>
        <w:rPr/>
        <w:t>COUNT III FIRST AMENDMENT RETALIATION Against HACC under 42 U.S.C. section 1983</w:t>
      </w:r>
    </w:p>
    <w:p>
      <w:pPr>
        <w:pStyle w:val="BodyText"/>
        <w:numPr>
          <w:ilvl w:val="0"/>
          <w:numId w:val="9"/>
        </w:numPr>
        <w:tabs>
          <w:tab w:val="clear" w:pos="1134"/>
          <w:tab w:val="left" w:pos="709" w:leader="none"/>
        </w:tabs>
        <w:bidi w:val="0"/>
        <w:spacing w:before="0" w:after="0"/>
        <w:ind w:hanging="283" w:left="709"/>
        <w:jc w:val="left"/>
        <w:rPr/>
      </w:pPr>
      <w:r>
        <w:rPr/>
        <w:t xml:space="preserve">Plaintiffs reallege the preceding paragraphs. </w:t>
      </w:r>
    </w:p>
    <w:p>
      <w:pPr>
        <w:pStyle w:val="BodyText"/>
        <w:numPr>
          <w:ilvl w:val="0"/>
          <w:numId w:val="9"/>
        </w:numPr>
        <w:tabs>
          <w:tab w:val="clear" w:pos="1134"/>
          <w:tab w:val="left" w:pos="709" w:leader="none"/>
        </w:tabs>
        <w:bidi w:val="0"/>
        <w:spacing w:before="0" w:after="0"/>
        <w:ind w:hanging="283" w:left="709"/>
        <w:jc w:val="left"/>
        <w:rPr/>
      </w:pPr>
      <w:r>
        <w:rPr/>
        <w:t xml:space="preserve">Plaintiffs engaged in protected speech and petitioning activity by complaining to HACC, Quantum, and county legal staff about race discrimination, disability discrimination, housing steering, service-animal issues, threatened eviction, and violations of fair-housing and civil-rights law, including written emails on February 26, March 2, and March 9, 2026 preserved in the Gmail sent-mail records, and by stating an intent to sue under the Civil Rights Act. Exhibit R. </w:t>
      </w:r>
    </w:p>
    <w:p>
      <w:pPr>
        <w:pStyle w:val="BodyText"/>
        <w:numPr>
          <w:ilvl w:val="0"/>
          <w:numId w:val="9"/>
        </w:numPr>
        <w:tabs>
          <w:tab w:val="clear" w:pos="1134"/>
          <w:tab w:val="left" w:pos="709" w:leader="none"/>
        </w:tabs>
        <w:bidi w:val="0"/>
        <w:spacing w:before="0" w:after="0"/>
        <w:ind w:hanging="283" w:left="709"/>
        <w:jc w:val="left"/>
        <w:rPr/>
      </w:pPr>
      <w:r>
        <w:rPr/>
        <w:t xml:space="preserve">HACC acted under color of state law and knew of that protected speech and petitioning activity. </w:t>
      </w:r>
    </w:p>
    <w:p>
      <w:pPr>
        <w:pStyle w:val="BodyText"/>
        <w:numPr>
          <w:ilvl w:val="0"/>
          <w:numId w:val="9"/>
        </w:numPr>
        <w:tabs>
          <w:tab w:val="clear" w:pos="1134"/>
          <w:tab w:val="left" w:pos="709" w:leader="none"/>
        </w:tabs>
        <w:bidi w:val="0"/>
        <w:spacing w:before="0" w:after="0"/>
        <w:ind w:hanging="283" w:left="709"/>
        <w:jc w:val="left"/>
        <w:rPr/>
      </w:pPr>
      <w:r>
        <w:rPr/>
        <w:t xml:space="preserve">After that protected speech, HACC issued or maintained notices to vacate, escalated documentation demands, delayed voucher issuance, reversed a two-bedroom voucher, and burdened or denied accommodation and hearing access in ways that would chill a person of ordinary firmness from further complaints or petitions. </w:t>
      </w:r>
    </w:p>
    <w:p>
      <w:pPr>
        <w:pStyle w:val="BodyText"/>
        <w:numPr>
          <w:ilvl w:val="0"/>
          <w:numId w:val="9"/>
        </w:numPr>
        <w:tabs>
          <w:tab w:val="clear" w:pos="1134"/>
          <w:tab w:val="left" w:pos="709" w:leader="none"/>
        </w:tabs>
        <w:bidi w:val="0"/>
        <w:spacing w:before="0" w:after="0"/>
        <w:ind w:hanging="283" w:left="709"/>
        <w:jc w:val="left"/>
        <w:rPr/>
      </w:pPr>
      <w:r>
        <w:rPr/>
        <w:t xml:space="preserve">Plaintiffs allege that their protected speech and petitioning activity was a substantial or motivating factor in HACC's adverse actions. </w:t>
      </w:r>
    </w:p>
    <w:p>
      <w:pPr>
        <w:pStyle w:val="BodyText"/>
        <w:numPr>
          <w:ilvl w:val="0"/>
          <w:numId w:val="9"/>
        </w:numPr>
        <w:tabs>
          <w:tab w:val="clear" w:pos="1134"/>
          <w:tab w:val="left" w:pos="709" w:leader="none"/>
        </w:tabs>
        <w:bidi w:val="0"/>
        <w:spacing w:before="0" w:after="0"/>
        <w:ind w:hanging="283" w:left="709"/>
        <w:jc w:val="left"/>
        <w:rPr/>
      </w:pPr>
      <w:r>
        <w:rPr/>
        <w:t xml:space="preserve">These acts violated the First Amendment, actionable under 42 U.S.C. section 1983. </w:t>
      </w:r>
    </w:p>
    <w:p>
      <w:pPr>
        <w:pStyle w:val="BodyText"/>
        <w:numPr>
          <w:ilvl w:val="0"/>
          <w:numId w:val="9"/>
        </w:numPr>
        <w:tabs>
          <w:tab w:val="clear" w:pos="1134"/>
          <w:tab w:val="left" w:pos="709" w:leader="none"/>
        </w:tabs>
        <w:bidi w:val="0"/>
        <w:ind w:hanging="283" w:left="709"/>
        <w:jc w:val="left"/>
        <w:rPr/>
      </w:pPr>
      <w:r>
        <w:rPr/>
        <w:t xml:space="preserve">Plaintiffs are entitled to declaratory relief, injunctive relief, compensatory damages, attorney fees where authorized, and all other available remedies on this count. </w:t>
      </w:r>
    </w:p>
    <w:p>
      <w:pPr>
        <w:pStyle w:val="BodyText"/>
        <w:bidi w:val="0"/>
        <w:spacing w:before="0" w:after="283"/>
        <w:jc w:val="left"/>
        <w:rPr/>
      </w:pPr>
      <w:r>
        <w:rPr/>
        <w:t>COUNT IV RACE DISCRIMINATION IN CONTRACTING Against Quantum under 42 U.S.C. section 1981</w:t>
      </w:r>
    </w:p>
    <w:p>
      <w:pPr>
        <w:pStyle w:val="BodyText"/>
        <w:numPr>
          <w:ilvl w:val="0"/>
          <w:numId w:val="10"/>
        </w:numPr>
        <w:tabs>
          <w:tab w:val="clear" w:pos="1134"/>
          <w:tab w:val="left" w:pos="709" w:leader="none"/>
        </w:tabs>
        <w:bidi w:val="0"/>
        <w:spacing w:before="0" w:after="0"/>
        <w:ind w:hanging="283" w:left="709"/>
        <w:jc w:val="left"/>
        <w:rPr/>
      </w:pPr>
      <w:r>
        <w:rPr/>
        <w:t xml:space="preserve">Plaintiffs reallege the preceding paragraphs. </w:t>
      </w:r>
    </w:p>
    <w:p>
      <w:pPr>
        <w:pStyle w:val="BodyText"/>
        <w:numPr>
          <w:ilvl w:val="0"/>
          <w:numId w:val="10"/>
        </w:numPr>
        <w:tabs>
          <w:tab w:val="clear" w:pos="1134"/>
          <w:tab w:val="left" w:pos="709" w:leader="none"/>
        </w:tabs>
        <w:bidi w:val="0"/>
        <w:spacing w:before="0" w:after="0"/>
        <w:ind w:hanging="283" w:left="709"/>
        <w:jc w:val="left"/>
        <w:rPr/>
      </w:pPr>
      <w:r>
        <w:rPr/>
        <w:t xml:space="preserve">Plaintiffs sought to make and enforce a housing-related contract and voucher-assisted tenancy through the Blossom Apartments application and placement process. </w:t>
      </w:r>
    </w:p>
    <w:p>
      <w:pPr>
        <w:pStyle w:val="BodyText"/>
        <w:numPr>
          <w:ilvl w:val="0"/>
          <w:numId w:val="10"/>
        </w:numPr>
        <w:tabs>
          <w:tab w:val="clear" w:pos="1134"/>
          <w:tab w:val="left" w:pos="709" w:leader="none"/>
        </w:tabs>
        <w:bidi w:val="0"/>
        <w:spacing w:before="0" w:after="0"/>
        <w:ind w:hanging="283" w:left="709"/>
        <w:jc w:val="left"/>
        <w:rPr/>
      </w:pPr>
      <w:r>
        <w:rPr/>
        <w:t xml:space="preserve">Quantum controlled or materially participated in the intake, application, and placement process for that housing opportunity. </w:t>
      </w:r>
    </w:p>
    <w:p>
      <w:pPr>
        <w:pStyle w:val="BodyText"/>
        <w:numPr>
          <w:ilvl w:val="0"/>
          <w:numId w:val="10"/>
        </w:numPr>
        <w:tabs>
          <w:tab w:val="clear" w:pos="1134"/>
          <w:tab w:val="left" w:pos="709" w:leader="none"/>
        </w:tabs>
        <w:bidi w:val="0"/>
        <w:spacing w:before="0" w:after="0"/>
        <w:ind w:hanging="283" w:left="709"/>
        <w:jc w:val="left"/>
        <w:rPr/>
      </w:pPr>
      <w:r>
        <w:rPr/>
        <w:t xml:space="preserve">Plaintiffs allege that they submitted a paper Blossom application in December 2025, that Quantum accepted it in person, and that plaintiffs notified HACC the same day about the submission and service-animal issues, but that no timely approval, denial, ineligibility determination, or lawful written deficiency notice was ever issued. Plaintiffs further allege that they were later told Quantum had never turned the application in to HACC. </w:t>
      </w:r>
    </w:p>
    <w:p>
      <w:pPr>
        <w:pStyle w:val="BodyText"/>
        <w:numPr>
          <w:ilvl w:val="0"/>
          <w:numId w:val="10"/>
        </w:numPr>
        <w:tabs>
          <w:tab w:val="clear" w:pos="1134"/>
          <w:tab w:val="left" w:pos="709" w:leader="none"/>
        </w:tabs>
        <w:bidi w:val="0"/>
        <w:spacing w:before="0" w:after="0"/>
        <w:ind w:hanging="283" w:left="709"/>
        <w:jc w:val="left"/>
        <w:rPr/>
      </w:pPr>
      <w:r>
        <w:rPr/>
        <w:t xml:space="preserve">Plaintiffs complained in writing, including in Gmail-preserved emails dated February 26, March 2, and March 9, 2026 to Kati Tilton, Ashley Ferron, and </w:t>
      </w:r>
      <w:r>
        <w:rPr>
          <w:rStyle w:val="SourceText"/>
        </w:rPr>
        <w:t>charity@magikcorp.com</w:t>
      </w:r>
      <w:r>
        <w:rPr/>
        <w:t xml:space="preserve">, which plaintiffs allege was associated with Quantum or the Blossom-side process, that Blossom had refused to process their application for two months and had engaged in race discrimination. Exhibit R. Plaintiffs further allege that other displaced households were moved into Blossom while plaintiffs' application was never processed at all, and that plaintiffs spoke with a Black family who had been interviewed for Blossom even though plaintiffs' application did not move forward. </w:t>
      </w:r>
    </w:p>
    <w:p>
      <w:pPr>
        <w:pStyle w:val="BodyText"/>
        <w:numPr>
          <w:ilvl w:val="0"/>
          <w:numId w:val="10"/>
        </w:numPr>
        <w:tabs>
          <w:tab w:val="clear" w:pos="1134"/>
          <w:tab w:val="left" w:pos="709" w:leader="none"/>
        </w:tabs>
        <w:bidi w:val="0"/>
        <w:spacing w:before="0" w:after="0"/>
        <w:ind w:hanging="283" w:left="709"/>
        <w:jc w:val="left"/>
        <w:rPr/>
      </w:pPr>
      <w:r>
        <w:rPr/>
        <w:t xml:space="preserve">Plaintiffs further circulated third-party former-employee review material concerning Quantum that referenced reported retaliation after fair-housing complaints, use of "woke" terminology, and DEI-focused culture. Plaintiffs rely on that material as context for why they believed race discrimination was occurring and for the fact that they communicated those concerns, not as a direct admission by Quantum. Exhibit Q. </w:t>
      </w:r>
    </w:p>
    <w:p>
      <w:pPr>
        <w:pStyle w:val="BodyText"/>
        <w:numPr>
          <w:ilvl w:val="0"/>
          <w:numId w:val="10"/>
        </w:numPr>
        <w:tabs>
          <w:tab w:val="clear" w:pos="1134"/>
          <w:tab w:val="left" w:pos="709" w:leader="none"/>
        </w:tabs>
        <w:bidi w:val="0"/>
        <w:spacing w:before="0" w:after="0"/>
        <w:ind w:hanging="283" w:left="709"/>
        <w:jc w:val="left"/>
        <w:rPr/>
      </w:pPr>
      <w:r>
        <w:rPr/>
        <w:t xml:space="preserve">Plaintiffs further allege that official HACC and Clackamas County SHS, RLRA, H4S, and related policy materials expressly direct housing-program actors to lead with racial equity, center BIPOC households in program design, implement racial-equity practices across SHS functions, and monitor racialized outcomes, while the county's published civil-rights materials simultaneously state that these programs must comply with nondiscrimination law. Plaintiffs allege that Quantum acted as a participant in a county-linked housing-access and contracting pipeline shaped by those official policies, landlord-partnership arrangements, and county-administered voucher or relocation processes. </w:t>
      </w:r>
    </w:p>
    <w:p>
      <w:pPr>
        <w:pStyle w:val="BodyText"/>
        <w:numPr>
          <w:ilvl w:val="0"/>
          <w:numId w:val="10"/>
        </w:numPr>
        <w:tabs>
          <w:tab w:val="clear" w:pos="1134"/>
          <w:tab w:val="left" w:pos="709" w:leader="none"/>
        </w:tabs>
        <w:bidi w:val="0"/>
        <w:spacing w:before="0" w:after="0"/>
        <w:ind w:hanging="283" w:left="709"/>
        <w:jc w:val="left"/>
        <w:rPr/>
      </w:pPr>
      <w:r>
        <w:rPr/>
        <w:t xml:space="preserve">Plaintiffs allege that Quantum refused to process or honor plaintiffs' housing application and opportunity on unequal racial terms, thereby impairing plaintiffs' right to make and enforce a housing-related contract. Plaintiffs rely on the county policy materials and former-employee review material as motive, notice, and context evidence supporting intentional race discrimination; plaintiffs do not rely on those materials alone as a substitute for proving that Quantum intentionally impaired plaintiffs' contractual housing opportunity because of race. </w:t>
      </w:r>
    </w:p>
    <w:p>
      <w:pPr>
        <w:pStyle w:val="BodyText"/>
        <w:numPr>
          <w:ilvl w:val="0"/>
          <w:numId w:val="10"/>
        </w:numPr>
        <w:tabs>
          <w:tab w:val="clear" w:pos="1134"/>
          <w:tab w:val="left" w:pos="709" w:leader="none"/>
        </w:tabs>
        <w:bidi w:val="0"/>
        <w:ind w:hanging="283" w:left="709"/>
        <w:jc w:val="left"/>
        <w:rPr/>
      </w:pPr>
      <w:r>
        <w:rPr/>
        <w:t xml:space="preserve">These acts violated 42 U.S.C. section 1981. </w:t>
      </w:r>
    </w:p>
    <w:p>
      <w:pPr>
        <w:pStyle w:val="BodyText"/>
        <w:bidi w:val="0"/>
        <w:spacing w:before="0" w:after="283"/>
        <w:jc w:val="left"/>
        <w:rPr/>
      </w:pPr>
      <w:r>
        <w:rPr/>
        <w:t>COUNT V PROCEDURAL DUE PROCESS AND FEDERAL HEARING VIOLATIONS Against HACC</w:t>
      </w:r>
    </w:p>
    <w:p>
      <w:pPr>
        <w:pStyle w:val="BodyText"/>
        <w:numPr>
          <w:ilvl w:val="0"/>
          <w:numId w:val="11"/>
        </w:numPr>
        <w:tabs>
          <w:tab w:val="clear" w:pos="1134"/>
          <w:tab w:val="left" w:pos="709" w:leader="none"/>
        </w:tabs>
        <w:bidi w:val="0"/>
        <w:spacing w:before="0" w:after="0"/>
        <w:ind w:hanging="283" w:left="709"/>
        <w:jc w:val="left"/>
        <w:rPr/>
      </w:pPr>
      <w:r>
        <w:rPr/>
        <w:t xml:space="preserve">Plaintiffs reallege the preceding paragraphs. </w:t>
      </w:r>
    </w:p>
    <w:p>
      <w:pPr>
        <w:pStyle w:val="BodyText"/>
        <w:numPr>
          <w:ilvl w:val="0"/>
          <w:numId w:val="11"/>
        </w:numPr>
        <w:tabs>
          <w:tab w:val="clear" w:pos="1134"/>
          <w:tab w:val="left" w:pos="709" w:leader="none"/>
        </w:tabs>
        <w:bidi w:val="0"/>
        <w:spacing w:before="0" w:after="0"/>
        <w:ind w:hanging="283" w:left="709"/>
        <w:jc w:val="left"/>
        <w:rPr/>
      </w:pPr>
      <w:r>
        <w:rPr/>
        <w:t xml:space="preserve">HACC acted under color of state law when administering public-housing, displacement, TPV, PBV, HCV, grievance, and hearing processes. </w:t>
      </w:r>
    </w:p>
    <w:p>
      <w:pPr>
        <w:pStyle w:val="BodyText"/>
        <w:numPr>
          <w:ilvl w:val="0"/>
          <w:numId w:val="11"/>
        </w:numPr>
        <w:tabs>
          <w:tab w:val="clear" w:pos="1134"/>
          <w:tab w:val="left" w:pos="709" w:leader="none"/>
        </w:tabs>
        <w:bidi w:val="0"/>
        <w:spacing w:before="0" w:after="0"/>
        <w:ind w:hanging="283" w:left="709"/>
        <w:jc w:val="left"/>
        <w:rPr/>
      </w:pPr>
      <w:r>
        <w:rPr/>
        <w:t xml:space="preserve">Plaintiffs had protected interests in continued housing benefits, lawful displacement procedures, and the notice and hearing protections attached to HACC-administered housing assistance. </w:t>
      </w:r>
    </w:p>
    <w:p>
      <w:pPr>
        <w:pStyle w:val="BodyText"/>
        <w:numPr>
          <w:ilvl w:val="0"/>
          <w:numId w:val="11"/>
        </w:numPr>
        <w:tabs>
          <w:tab w:val="clear" w:pos="1134"/>
          <w:tab w:val="left" w:pos="709" w:leader="none"/>
        </w:tabs>
        <w:bidi w:val="0"/>
        <w:spacing w:before="0" w:after="0"/>
        <w:ind w:hanging="283" w:left="709"/>
        <w:jc w:val="left"/>
        <w:rPr/>
      </w:pPr>
      <w:r>
        <w:rPr/>
        <w:t xml:space="preserve">HACC issued or maintained adverse notices and housing-administration decisions affecting plaintiffs' rights, obligations, welfare, or status without providing the clear, timely, and meaningful hearing process required by federal law, including the February 13, 2026 termination notice addressed to Julio Regal Florez-Cortez. </w:t>
      </w:r>
    </w:p>
    <w:p>
      <w:pPr>
        <w:pStyle w:val="BodyText"/>
        <w:numPr>
          <w:ilvl w:val="0"/>
          <w:numId w:val="11"/>
        </w:numPr>
        <w:tabs>
          <w:tab w:val="clear" w:pos="1134"/>
          <w:tab w:val="left" w:pos="709" w:leader="none"/>
        </w:tabs>
        <w:bidi w:val="0"/>
        <w:spacing w:before="0" w:after="0"/>
        <w:ind w:hanging="283" w:left="709"/>
        <w:jc w:val="left"/>
        <w:rPr/>
      </w:pPr>
      <w:r>
        <w:rPr/>
        <w:t xml:space="preserve">Plaintiffs allege that HACC conditioned Julio Regal Florez-Cortez's access to a hearing on a written request even though he was incapable of writing in any language and had specifically requested a hearing orally. Plaintiffs further rely on HACC policy materials stating that transfer requests may be accepted as another written or oral request. </w:t>
      </w:r>
    </w:p>
    <w:p>
      <w:pPr>
        <w:pStyle w:val="BodyText"/>
        <w:numPr>
          <w:ilvl w:val="0"/>
          <w:numId w:val="11"/>
        </w:numPr>
        <w:tabs>
          <w:tab w:val="clear" w:pos="1134"/>
          <w:tab w:val="left" w:pos="709" w:leader="none"/>
        </w:tabs>
        <w:bidi w:val="0"/>
        <w:spacing w:before="0" w:after="0"/>
        <w:ind w:hanging="283" w:left="709"/>
        <w:jc w:val="left"/>
        <w:rPr/>
      </w:pPr>
      <w:r>
        <w:rPr/>
        <w:t xml:space="preserve">Plaintiffs allege that no meaningful hearing or appeal was scheduled before the threatened loss of housing and that HACC failed to provide sufficient notice, document access, hearing access, accommodation in the hearing-request process, or a timely decision process. </w:t>
      </w:r>
    </w:p>
    <w:p>
      <w:pPr>
        <w:pStyle w:val="BodyText"/>
        <w:numPr>
          <w:ilvl w:val="0"/>
          <w:numId w:val="11"/>
        </w:numPr>
        <w:tabs>
          <w:tab w:val="clear" w:pos="1134"/>
          <w:tab w:val="left" w:pos="709" w:leader="none"/>
        </w:tabs>
        <w:bidi w:val="0"/>
        <w:ind w:hanging="283" w:left="709"/>
        <w:jc w:val="left"/>
        <w:rPr/>
      </w:pPr>
      <w:r>
        <w:rPr/>
        <w:t xml:space="preserve">These acts violated the Fourteenth Amendment, actionable under 42 U.S.C. section 1983, together with federal housing-program hearing protections. </w:t>
      </w:r>
    </w:p>
    <w:p>
      <w:pPr>
        <w:pStyle w:val="BodyText"/>
        <w:bidi w:val="0"/>
        <w:spacing w:before="0" w:after="283"/>
        <w:jc w:val="left"/>
        <w:rPr/>
      </w:pPr>
      <w:r>
        <w:rPr/>
        <w:t>COUNT VI SUPPLEMENTAL OREGON HOUSING DISCRIMINATION CLAIMS Against HACC and Quantum</w:t>
      </w:r>
    </w:p>
    <w:p>
      <w:pPr>
        <w:pStyle w:val="BodyText"/>
        <w:numPr>
          <w:ilvl w:val="0"/>
          <w:numId w:val="12"/>
        </w:numPr>
        <w:tabs>
          <w:tab w:val="clear" w:pos="1134"/>
          <w:tab w:val="left" w:pos="709" w:leader="none"/>
        </w:tabs>
        <w:bidi w:val="0"/>
        <w:spacing w:before="0" w:after="0"/>
        <w:ind w:hanging="283" w:left="709"/>
        <w:jc w:val="left"/>
        <w:rPr/>
      </w:pPr>
      <w:r>
        <w:rPr/>
        <w:t xml:space="preserve">Plaintiffs reallege the preceding paragraphs. </w:t>
      </w:r>
    </w:p>
    <w:p>
      <w:pPr>
        <w:pStyle w:val="BodyText"/>
        <w:numPr>
          <w:ilvl w:val="0"/>
          <w:numId w:val="12"/>
        </w:numPr>
        <w:tabs>
          <w:tab w:val="clear" w:pos="1134"/>
          <w:tab w:val="left" w:pos="709" w:leader="none"/>
        </w:tabs>
        <w:bidi w:val="0"/>
        <w:spacing w:before="0" w:after="0"/>
        <w:ind w:hanging="283" w:left="709"/>
        <w:jc w:val="left"/>
        <w:rPr/>
      </w:pPr>
      <w:r>
        <w:rPr/>
        <w:t xml:space="preserve">Defendants discriminated in housing-related terms, services, processing, and access on the basis of disability and source of income by refusing or delaying accommodation, failing to process the Blossom application, obstructing voucher-backed housing access, and imposing unreasonable or selectively administered intake barriers. </w:t>
      </w:r>
    </w:p>
    <w:p>
      <w:pPr>
        <w:pStyle w:val="BodyText"/>
        <w:numPr>
          <w:ilvl w:val="0"/>
          <w:numId w:val="12"/>
        </w:numPr>
        <w:tabs>
          <w:tab w:val="clear" w:pos="1134"/>
          <w:tab w:val="left" w:pos="709" w:leader="none"/>
        </w:tabs>
        <w:bidi w:val="0"/>
        <w:spacing w:before="0" w:after="0"/>
        <w:ind w:hanging="283" w:left="709"/>
        <w:jc w:val="left"/>
        <w:rPr/>
      </w:pPr>
      <w:r>
        <w:rPr/>
        <w:t xml:space="preserve">Plaintiffs further allege that Quantum participated in the refusal to process a voucher-linked application and in service-animal or accommodation-related discrimination at Blossom. </w:t>
      </w:r>
    </w:p>
    <w:p>
      <w:pPr>
        <w:pStyle w:val="BodyText"/>
        <w:numPr>
          <w:ilvl w:val="0"/>
          <w:numId w:val="12"/>
        </w:numPr>
        <w:tabs>
          <w:tab w:val="clear" w:pos="1134"/>
          <w:tab w:val="left" w:pos="709" w:leader="none"/>
        </w:tabs>
        <w:bidi w:val="0"/>
        <w:ind w:hanging="283" w:left="709"/>
        <w:jc w:val="left"/>
        <w:rPr/>
      </w:pPr>
      <w:r>
        <w:rPr/>
        <w:t xml:space="preserve">These acts violated Oregon housing discrimination law. </w:t>
      </w:r>
    </w:p>
    <w:p>
      <w:pPr>
        <w:pStyle w:val="BodyText"/>
        <w:bidi w:val="0"/>
        <w:spacing w:before="0" w:after="283"/>
        <w:jc w:val="left"/>
        <w:rPr/>
      </w:pPr>
      <w:r>
        <w:rPr/>
        <w:t>COUNT VII SUPPLEMENTAL OREGON NOTICE, LEASE, AND PROGRAM CLAIMS Against HACC</w:t>
      </w:r>
    </w:p>
    <w:p>
      <w:pPr>
        <w:pStyle w:val="BodyText"/>
        <w:numPr>
          <w:ilvl w:val="0"/>
          <w:numId w:val="13"/>
        </w:numPr>
        <w:tabs>
          <w:tab w:val="clear" w:pos="1134"/>
          <w:tab w:val="left" w:pos="709" w:leader="none"/>
        </w:tabs>
        <w:bidi w:val="0"/>
        <w:spacing w:before="0" w:after="0"/>
        <w:ind w:hanging="283" w:left="709"/>
        <w:jc w:val="left"/>
        <w:rPr/>
      </w:pPr>
      <w:r>
        <w:rPr/>
        <w:t xml:space="preserve">Plaintiffs reallege the preceding paragraphs. </w:t>
      </w:r>
    </w:p>
    <w:p>
      <w:pPr>
        <w:pStyle w:val="BodyText"/>
        <w:numPr>
          <w:ilvl w:val="0"/>
          <w:numId w:val="13"/>
        </w:numPr>
        <w:tabs>
          <w:tab w:val="clear" w:pos="1134"/>
          <w:tab w:val="left" w:pos="709" w:leader="none"/>
        </w:tabs>
        <w:bidi w:val="0"/>
        <w:spacing w:before="0" w:after="0"/>
        <w:ind w:hanging="283" w:left="709"/>
        <w:jc w:val="left"/>
        <w:rPr/>
      </w:pPr>
      <w:r>
        <w:rPr/>
        <w:t xml:space="preserve">HACC issued or maintained termination and displacement notices while also controlling the relocation and voucher process needed to avoid unlawful housing loss. </w:t>
      </w:r>
    </w:p>
    <w:p>
      <w:pPr>
        <w:pStyle w:val="BodyText"/>
        <w:numPr>
          <w:ilvl w:val="0"/>
          <w:numId w:val="13"/>
        </w:numPr>
        <w:tabs>
          <w:tab w:val="clear" w:pos="1134"/>
          <w:tab w:val="left" w:pos="709" w:leader="none"/>
        </w:tabs>
        <w:bidi w:val="0"/>
        <w:spacing w:before="0" w:after="0"/>
        <w:ind w:hanging="283" w:left="709"/>
        <w:jc w:val="left"/>
        <w:rPr/>
      </w:pPr>
      <w:r>
        <w:rPr/>
        <w:t xml:space="preserve">Plaintiffs further allege that HACC destabilized the household through unlawful lease-administration and household-composition handling despite prior requests for bifurcation, restraining-order-related protections, and relocation assistance, and that HACC effectively evicted Julio Regal Florez-Cortez instead of lawfully handling the requested bifurcation process. </w:t>
      </w:r>
    </w:p>
    <w:p>
      <w:pPr>
        <w:pStyle w:val="BodyText"/>
        <w:numPr>
          <w:ilvl w:val="0"/>
          <w:numId w:val="13"/>
        </w:numPr>
        <w:tabs>
          <w:tab w:val="clear" w:pos="1134"/>
          <w:tab w:val="left" w:pos="709" w:leader="none"/>
        </w:tabs>
        <w:bidi w:val="0"/>
        <w:ind w:hanging="283" w:left="709"/>
        <w:jc w:val="left"/>
        <w:rPr/>
      </w:pPr>
      <w:r>
        <w:rPr/>
        <w:t xml:space="preserve">These acts violated Oregon notice, lease, and program requirements governing the tenancy and displacement process. </w:t>
      </w:r>
    </w:p>
    <w:p>
      <w:pPr>
        <w:pStyle w:val="BodyText"/>
        <w:bidi w:val="0"/>
        <w:spacing w:before="0" w:after="283"/>
        <w:jc w:val="left"/>
        <w:rPr/>
      </w:pPr>
      <w:r>
        <w:rPr/>
        <w:t>PRAYER FOR RELIEF</w:t>
      </w:r>
    </w:p>
    <w:p>
      <w:pPr>
        <w:pStyle w:val="BodyText"/>
        <w:bidi w:val="0"/>
        <w:spacing w:before="0" w:after="283"/>
        <w:jc w:val="left"/>
        <w:rPr/>
      </w:pPr>
      <w:r>
        <w:rPr/>
        <w:t>WHEREFORE, Plaintiffs request judgment against defendants as follows: A. Temporary, preliminary, and permanent injunctive relief preventing eviction, lockout, or loss of housing assistance while these claims are resolved. B. Declaratory relief that defendants' handling of the voucher, accommodation, grievance, hearing, application, lease, retaliation, and race-based housing-access issues was unlawful. C. Declaratory relief that the preserved February 26, March 2, and March 9, 2026 discrimination complaints, the county-linked housing pipeline, and the cited SHS, RLRA, H4S, and county civil-rights policy materials may be considered as notice, motive, and program-structure evidence supporting plaintiffs' retaliation and race-contracting claims. D. Injunctive relief requiring prompt processing of a two-bedroom accommodation, lawful voucher administration, lawful and nondiscriminatory processing of any Blossom or successor housing opportunity, and meaningful hearing access. E. Compensatory damages for housing instability, lost work time, emotional distress, and relocation-related losses. F. Punitive damages on the Fair Housing Act retaliation and interference claims, and on the 42 U.S.C. section 1981 claim to the extent permitted by law. G. Costs, fees, and any further relief authorized by law. H. Pre-judgment and post-judgment interest as permitted by law. I. Such other and further relief as the Court deems just and proper.</w:t>
      </w:r>
    </w:p>
    <w:p>
      <w:pPr>
        <w:pStyle w:val="BodyText"/>
        <w:bidi w:val="0"/>
        <w:spacing w:before="0" w:after="283"/>
        <w:jc w:val="left"/>
        <w:rPr/>
      </w:pPr>
      <w:r>
        <w:rPr/>
        <w:t>JURY DEMAND</w:t>
      </w:r>
    </w:p>
    <w:p>
      <w:pPr>
        <w:pStyle w:val="BodyText"/>
        <w:bidi w:val="0"/>
        <w:spacing w:before="0" w:after="283"/>
        <w:jc w:val="left"/>
        <w:rPr/>
      </w:pPr>
      <w:r>
        <w:rPr/>
        <w:t>Plaintiffs demand a trial by jury on all issues so triable.</w:t>
      </w:r>
    </w:p>
    <w:p>
      <w:pPr>
        <w:pStyle w:val="BodyText"/>
        <w:bidi w:val="0"/>
        <w:spacing w:before="0" w:after="283"/>
        <w:jc w:val="left"/>
        <w:rPr/>
      </w:pPr>
      <w:r>
        <w:rPr/>
        <w:t>SIGNATURE BLOCK</w:t>
      </w:r>
    </w:p>
    <w:p>
      <w:pPr>
        <w:pStyle w:val="BodyText"/>
        <w:bidi w:val="0"/>
        <w:spacing w:before="0" w:after="283"/>
        <w:jc w:val="left"/>
        <w:rPr/>
      </w:pPr>
      <w:r>
        <w:rPr/>
        <w:t xml:space="preserve">Dated: </w:t>
      </w:r>
      <w:r>
        <w:rPr>
          <w:rStyle w:val="Emphasis"/>
        </w:rPr>
        <w:t>__</w:t>
      </w:r>
      <w:r>
        <w:rPr/>
        <w:t>______</w:t>
      </w:r>
    </w:p>
    <w:p>
      <w:pPr>
        <w:pStyle w:val="BodyText"/>
        <w:bidi w:val="0"/>
        <w:spacing w:before="0" w:after="283"/>
        <w:jc w:val="left"/>
        <w:rPr/>
      </w:pPr>
      <w:r>
        <w:rPr/>
        <w:t>Respectfully submitted,</w:t>
      </w:r>
    </w:p>
    <w:p>
      <w:pPr>
        <w:pStyle w:val="BodyText"/>
        <w:bidi w:val="0"/>
        <w:spacing w:before="0" w:after="283"/>
        <w:jc w:val="left"/>
        <w:rPr/>
      </w:pPr>
      <w:r>
        <w:rPr/>
        <w:t>Benjamin Jay Barber, pro se 10043 SE 32nd Ave Milwaukie, OR 97222</w:t>
      </w:r>
    </w:p>
    <w:p>
      <w:pPr>
        <w:pStyle w:val="BodyText"/>
        <w:bidi w:val="0"/>
        <w:spacing w:before="0" w:after="283"/>
        <w:jc w:val="left"/>
        <w:rPr/>
      </w:pPr>
      <w:r>
        <w:rPr/>
        <w:t>Jane Kay Cortez, pro se 10043 SE 32nd Ave Milwaukie, OR 97222</w:t>
      </w:r>
    </w:p>
    <w:p>
      <w:pPr>
        <w:pStyle w:val="BodyText"/>
        <w:bidi w:val="0"/>
        <w:spacing w:before="0" w:after="283"/>
        <w:jc w:val="left"/>
        <w:rPr/>
      </w:pPr>
      <w:r>
        <w:rPr/>
        <w:t>Julio Regal Florez-Cortez, pro se 10043 SE 32nd Ave Milwaukie, OR 97222</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Times New Roman"/>
    <w:charset w:val="01"/>
    <w:family w:val="auto"/>
    <w:pitch w:val="default"/>
  </w:font>
  <w:font w:name="Noto Sans">
    <w:charset w:val="01"/>
    <w:family w:val="auto"/>
    <w:pitch w:val="variable"/>
  </w:font>
  <w:font w:name="Liberation Mono">
    <w:altName w:val="Courier New"/>
    <w:charset w:val="01"/>
    <w:family w:val="modern"/>
    <w:pitch w:val="fixed"/>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Georgia;Times New Roman;serif" w:hAnsi="Georgia;Times New Roman;serif" w:eastAsia="Georgia;Times New Roman;serif" w:cs="Georgia;Times New Roman;serif"/>
      <w:color w:val="auto"/>
      <w:sz w:val="24"/>
      <w:szCs w:val="24"/>
      <w:lang w:val="en-US" w:eastAsia="zh-CN" w:bidi="hi-IN"/>
    </w:rPr>
  </w:style>
  <w:style w:type="paragraph" w:styleId="Heading1">
    <w:name w:val="Heading 1"/>
    <w:basedOn w:val="Heading"/>
    <w:next w:val="BodyText"/>
    <w:qFormat/>
    <w:pPr>
      <w:keepNext w:val="true"/>
    </w:pPr>
    <w:rPr>
      <w:rFonts w:ascii="Noto Sans" w:hAnsi="Noto Sans"/>
      <w:b/>
      <w:bCs/>
      <w:sz w:val="48"/>
      <w:szCs w:val="44"/>
    </w:rPr>
  </w:style>
  <w:style w:type="paragraph" w:styleId="Heading2">
    <w:name w:val="Heading 2"/>
    <w:basedOn w:val="Heading"/>
    <w:next w:val="BodyText"/>
    <w:qFormat/>
    <w:pPr>
      <w:keepNext w:val="true"/>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111111"/>
      <w:u w:val="none"/>
      <w:effect w:val="none"/>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FollowedHyperlink">
    <w:name w:val="FollowedHyperlink"/>
    <w:rPr>
      <w:strike w:val="false"/>
      <w:dstrike w:val="false"/>
      <w:color w:val="111111"/>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ages>2</Pages>
  <Words>4236</Words>
  <Characters>26028</Characters>
  <CharactersWithSpaces>30136</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Complaint</dc:title>
</cp:coreProperties>
</file>

<file path=docProps/custom.xml><?xml version="1.0" encoding="utf-8"?>
<Properties xmlns="http://schemas.openxmlformats.org/officeDocument/2006/custom-properties" xmlns:vt="http://schemas.openxmlformats.org/officeDocument/2006/docPropsVTypes"/>
</file>