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FD9B1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The University of Hong Kong</w:t>
      </w:r>
    </w:p>
    <w:p w14:paraId="57332BB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Faculty of Education</w:t>
      </w:r>
    </w:p>
    <w:p w14:paraId="61205F59">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MEDD8602 Practicum in Counselling and Group Guidance</w:t>
      </w:r>
    </w:p>
    <w:p w14:paraId="31F6B3B2">
      <w:pPr>
        <w:ind w:left="0"/>
        <w:contextualSpacing/>
        <w:jc w:val="center"/>
        <w:rPr>
          <w:rFonts w:ascii="Times New Roman" w:hAnsi="Times New Roman" w:eastAsia="Cambria" w:cs="Times New Roman"/>
          <w:b/>
          <w:color w:val="000000"/>
          <w:sz w:val="24"/>
          <w:szCs w:val="24"/>
          <w:lang w:val="en-US" w:eastAsia="en-US" w:bidi="ar-SA"/>
        </w:rPr>
      </w:pPr>
    </w:p>
    <w:p w14:paraId="60588FC0">
      <w:pPr>
        <w:widowControl/>
        <w:autoSpaceDE w:val="0"/>
        <w:autoSpaceDN w:val="0"/>
        <w:adjustRightInd w:val="0"/>
        <w:jc w:val="center"/>
        <w:rPr>
          <w:rFonts w:ascii="Times New Roman" w:hAnsi="Times New Roman" w:eastAsia="PMingLiU" w:cs="Times New Roman"/>
          <w:b/>
          <w:bCs/>
          <w:color w:val="000000"/>
          <w:kern w:val="0"/>
          <w:sz w:val="24"/>
          <w:szCs w:val="24"/>
          <w:lang w:eastAsia="zh-TW"/>
        </w:rPr>
      </w:pPr>
      <w:r>
        <w:rPr>
          <w:rFonts w:hint="eastAsia" w:ascii="Times New Roman" w:hAnsi="Times New Roman" w:eastAsia="PMingLiU" w:cs="Times New Roman"/>
          <w:b/>
          <w:bCs/>
          <w:color w:val="000000"/>
          <w:kern w:val="0"/>
          <w:sz w:val="24"/>
          <w:szCs w:val="24"/>
          <w:lang w:eastAsia="zh-TW"/>
        </w:rPr>
        <w:t xml:space="preserve">Original Proposal </w:t>
      </w:r>
      <w:r>
        <w:rPr>
          <w:rFonts w:ascii="Times New Roman" w:hAnsi="Times New Roman" w:eastAsia="PMingLiU" w:cs="Times New Roman"/>
          <w:b/>
          <w:bCs/>
          <w:color w:val="000000"/>
          <w:kern w:val="0"/>
          <w:sz w:val="24"/>
          <w:szCs w:val="24"/>
          <w:lang w:eastAsia="zh-TW"/>
        </w:rPr>
        <w:t>(Group Guidance Programme Plan Outline)</w:t>
      </w:r>
    </w:p>
    <w:p w14:paraId="408F9BA8">
      <w:pPr>
        <w:widowControl/>
        <w:autoSpaceDE w:val="0"/>
        <w:autoSpaceDN w:val="0"/>
        <w:adjustRightInd w:val="0"/>
        <w:jc w:val="left"/>
        <w:rPr>
          <w:rFonts w:ascii="Times New Roman" w:hAnsi="Times New Roman" w:eastAsia="PMingLiU" w:cs="Times New Roman"/>
          <w:b/>
          <w:bCs/>
          <w:color w:val="000000"/>
          <w:kern w:val="0"/>
          <w:sz w:val="24"/>
          <w:szCs w:val="24"/>
          <w:lang w:eastAsia="zh-TW"/>
        </w:rPr>
      </w:pPr>
    </w:p>
    <w:p w14:paraId="60534CE1">
      <w:pPr>
        <w:widowControl/>
        <w:autoSpaceDE w:val="0"/>
        <w:autoSpaceDN w:val="0"/>
        <w:adjustRightInd w:val="0"/>
        <w:jc w:val="left"/>
        <w:rPr>
          <w:rFonts w:ascii="Times New Roman" w:hAnsi="Times New Roman" w:eastAsia="PMingLiU" w:cs="Times New Roman"/>
          <w:color w:val="000000"/>
          <w:kern w:val="0"/>
          <w:sz w:val="24"/>
          <w:szCs w:val="24"/>
          <w:lang w:eastAsia="zh-TW"/>
        </w:rPr>
      </w:pPr>
      <w:r>
        <w:rPr>
          <w:rFonts w:ascii="Times New Roman" w:hAnsi="Times New Roman" w:eastAsia="PMingLiU" w:cs="Times New Roman"/>
          <w:color w:val="000000"/>
          <w:kern w:val="0"/>
          <w:sz w:val="24"/>
          <w:szCs w:val="24"/>
          <w:lang w:eastAsia="zh-TW"/>
        </w:rPr>
        <w:t>Student:  __</w:t>
      </w:r>
      <w:r>
        <w:rPr>
          <w:rFonts w:hint="eastAsia" w:ascii="Times New Roman" w:hAnsi="Times New Roman" w:eastAsia="PMingLiU" w:cs="Times New Roman"/>
          <w:color w:val="000000"/>
          <w:kern w:val="0"/>
          <w:sz w:val="24"/>
          <w:szCs w:val="24"/>
          <w:lang w:val="en-US" w:eastAsia="zh-CN"/>
        </w:rPr>
        <w:t>L</w:t>
      </w:r>
      <w:r>
        <w:rPr>
          <w:rFonts w:hint="default" w:ascii="Times New Roman" w:hAnsi="Times New Roman" w:eastAsia="PMingLiU" w:cs="Times New Roman"/>
          <w:color w:val="000000"/>
          <w:kern w:val="0"/>
          <w:sz w:val="24"/>
          <w:szCs w:val="24"/>
          <w:lang w:val="en-US" w:eastAsia="zh-CN"/>
        </w:rPr>
        <w:t>uo Yujia</w:t>
      </w:r>
      <w:r>
        <w:rPr>
          <w:rFonts w:ascii="Times New Roman" w:hAnsi="Times New Roman" w:eastAsia="PMingLiU" w:cs="Times New Roman"/>
          <w:color w:val="000000"/>
          <w:kern w:val="0"/>
          <w:sz w:val="24"/>
          <w:szCs w:val="24"/>
          <w:lang w:eastAsia="zh-TW"/>
        </w:rPr>
        <w:t xml:space="preserve">____            </w:t>
      </w:r>
      <w:r>
        <w:rPr>
          <w:rFonts w:hint="default" w:ascii="Times New Roman" w:hAnsi="Times New Roman" w:eastAsia="PMingLiU" w:cs="Times New Roman"/>
          <w:color w:val="000000"/>
          <w:kern w:val="0"/>
          <w:sz w:val="24"/>
          <w:szCs w:val="24"/>
          <w:lang w:val="en-US" w:eastAsia="zh-TW"/>
        </w:rPr>
        <w:t xml:space="preserve">  </w:t>
      </w:r>
      <w:r>
        <w:rPr>
          <w:rFonts w:hint="eastAsia" w:ascii="Times New Roman" w:hAnsi="Times New Roman" w:eastAsia="PMingLiU" w:cs="Times New Roman"/>
          <w:color w:val="000000"/>
          <w:kern w:val="0"/>
          <w:sz w:val="24"/>
          <w:szCs w:val="24"/>
          <w:lang w:val="en-US" w:eastAsia="zh-CN"/>
        </w:rPr>
        <w:t xml:space="preserve"> </w:t>
      </w:r>
      <w:r>
        <w:rPr>
          <w:rFonts w:ascii="Times New Roman" w:hAnsi="Times New Roman" w:eastAsia="PMingLiU" w:cs="Times New Roman"/>
          <w:color w:val="000000"/>
          <w:kern w:val="0"/>
          <w:sz w:val="24"/>
          <w:szCs w:val="24"/>
          <w:lang w:eastAsia="zh-TW"/>
        </w:rPr>
        <w:t xml:space="preserve">  </w:t>
      </w:r>
      <w:r>
        <w:rPr>
          <w:rFonts w:hint="default" w:ascii="Times New Roman" w:hAnsi="Times New Roman" w:eastAsia="PMingLiU" w:cs="Times New Roman"/>
          <w:color w:val="000000"/>
          <w:kern w:val="0"/>
          <w:sz w:val="24"/>
          <w:szCs w:val="24"/>
          <w:lang w:val="en-US" w:eastAsia="zh-TW"/>
        </w:rPr>
        <w:t xml:space="preserve">   </w:t>
      </w:r>
      <w:r>
        <w:rPr>
          <w:rFonts w:ascii="Times New Roman" w:hAnsi="Times New Roman" w:eastAsia="PMingLiU" w:cs="Times New Roman"/>
          <w:color w:val="000000"/>
          <w:kern w:val="0"/>
          <w:sz w:val="24"/>
          <w:szCs w:val="24"/>
          <w:lang w:eastAsia="zh-TW"/>
        </w:rPr>
        <w:t>Practicum Supervisor: __</w:t>
      </w:r>
      <w:r>
        <w:rPr>
          <w:rFonts w:hint="eastAsia" w:ascii="Times New Roman" w:hAnsi="Times New Roman" w:eastAsia="PMingLiU" w:cs="Times New Roman"/>
          <w:color w:val="000000"/>
          <w:kern w:val="0"/>
          <w:sz w:val="24"/>
          <w:szCs w:val="24"/>
          <w:lang w:eastAsia="zh-TW"/>
        </w:rPr>
        <w:t>Mr. Keith Pang</w:t>
      </w:r>
      <w:r>
        <w:rPr>
          <w:rFonts w:ascii="Times New Roman" w:hAnsi="Times New Roman" w:eastAsia="PMingLiU" w:cs="Times New Roman"/>
          <w:color w:val="000000"/>
          <w:kern w:val="0"/>
          <w:sz w:val="24"/>
          <w:szCs w:val="24"/>
          <w:lang w:eastAsia="zh-TW"/>
        </w:rPr>
        <w:t>______</w:t>
      </w:r>
    </w:p>
    <w:p w14:paraId="76B92D33">
      <w:pPr>
        <w:autoSpaceDE w:val="0"/>
        <w:autoSpaceDN w:val="0"/>
        <w:adjustRightInd w:val="0"/>
        <w:rPr>
          <w:rFonts w:ascii="Times New Roman" w:hAnsi="Times New Roman" w:eastAsia="PMingLiU" w:cs="Times New Roman"/>
          <w:color w:val="000000"/>
          <w:sz w:val="24"/>
          <w:szCs w:val="24"/>
          <w:lang w:val="en-US" w:eastAsia="zh-TW" w:bidi="ar-SA"/>
        </w:rPr>
      </w:pPr>
    </w:p>
    <w:p w14:paraId="3907F916">
      <w:pPr>
        <w:autoSpaceDE w:val="0"/>
        <w:autoSpaceDN w:val="0"/>
        <w:adjustRightInd w:val="0"/>
        <w:rPr>
          <w:rFonts w:ascii="Times New Roman" w:hAnsi="Times New Roman" w:eastAsia="PMingLiU" w:cs="Times New Roman"/>
          <w:color w:val="000000"/>
          <w:sz w:val="24"/>
          <w:szCs w:val="24"/>
          <w:u w:val="single"/>
          <w:lang w:val="en-US" w:eastAsia="zh-TW" w:bidi="ar-SA"/>
        </w:rPr>
      </w:pPr>
      <w:r>
        <w:rPr>
          <w:rFonts w:ascii="Times New Roman" w:hAnsi="Times New Roman" w:eastAsia="PMingLiU" w:cs="Times New Roman"/>
          <w:color w:val="000000"/>
          <w:sz w:val="24"/>
          <w:szCs w:val="24"/>
          <w:lang w:val="en-US" w:eastAsia="zh-TW" w:bidi="ar-SA"/>
        </w:rPr>
        <w:t>Date: ___</w:t>
      </w:r>
      <w:r>
        <w:rPr>
          <w:rFonts w:hint="default" w:ascii="Times New Roman" w:hAnsi="Times New Roman" w:eastAsia="PMingLiU" w:cs="Times New Roman"/>
          <w:color w:val="000000"/>
          <w:sz w:val="24"/>
          <w:szCs w:val="24"/>
          <w:lang w:val="en-US" w:eastAsia="zh-TW" w:bidi="ar-SA"/>
        </w:rPr>
        <w:t>2026.5.25</w:t>
      </w:r>
      <w:r>
        <w:rPr>
          <w:rFonts w:ascii="Times New Roman" w:hAnsi="Times New Roman" w:eastAsia="PMingLiU" w:cs="Times New Roman"/>
          <w:color w:val="000000"/>
          <w:sz w:val="24"/>
          <w:szCs w:val="24"/>
          <w:lang w:val="en-US" w:eastAsia="zh-TW" w:bidi="ar-SA"/>
        </w:rPr>
        <w:t xml:space="preserve">_______________          </w:t>
      </w:r>
      <w:r>
        <w:rPr>
          <w:rFonts w:hint="default" w:ascii="Times New Roman" w:hAnsi="Times New Roman" w:eastAsia="PMingLiU" w:cs="Times New Roman"/>
          <w:color w:val="000000"/>
          <w:sz w:val="24"/>
          <w:szCs w:val="24"/>
          <w:lang w:val="en-US" w:eastAsia="zh-TW" w:bidi="ar-SA"/>
        </w:rPr>
        <w:t xml:space="preserve">  </w:t>
      </w:r>
      <w:r>
        <w:rPr>
          <w:rFonts w:ascii="Times New Roman" w:hAnsi="Times New Roman" w:eastAsia="PMingLiU" w:cs="Times New Roman"/>
          <w:color w:val="000000"/>
          <w:sz w:val="24"/>
          <w:szCs w:val="24"/>
          <w:lang w:val="en-US" w:eastAsia="zh-TW" w:bidi="ar-SA"/>
        </w:rPr>
        <w:t xml:space="preserve">Previously Presented? </w:t>
      </w:r>
      <w:r>
        <w:rPr>
          <w:rFonts w:ascii="Times New Roman" w:hAnsi="Times New Roman" w:eastAsia="PMingLiU" w:cs="Times New Roman"/>
          <w:color w:val="000000"/>
          <w:sz w:val="24"/>
          <w:szCs w:val="24"/>
          <w:u w:val="single"/>
          <w:lang w:val="en-US" w:eastAsia="zh-TW" w:bidi="ar-SA"/>
        </w:rPr>
        <w:t>Yes / No</w:t>
      </w:r>
    </w:p>
    <w:p w14:paraId="01EB88B4">
      <w:pPr>
        <w:autoSpaceDE w:val="0"/>
        <w:autoSpaceDN w:val="0"/>
        <w:adjustRightInd w:val="0"/>
        <w:rPr>
          <w:rFonts w:ascii="Times New Roman" w:hAnsi="Times New Roman" w:eastAsia="PMingLiU" w:cs="Times New Roman"/>
          <w:color w:val="000000"/>
          <w:sz w:val="24"/>
          <w:szCs w:val="24"/>
          <w:lang w:val="en-US" w:eastAsia="zh-TW" w:bidi="ar-SA"/>
        </w:rPr>
      </w:pPr>
    </w:p>
    <w:p w14:paraId="43E80E5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What is the rationale for designing the group guidance programme? </w:t>
      </w:r>
    </w:p>
    <w:p w14:paraId="41DFA559">
      <w:pPr>
        <w:keepNext w:val="0"/>
        <w:keepLines w:val="0"/>
        <w:pageBreakBefore w:val="0"/>
        <w:widowControl/>
        <w:numPr>
          <w:numId w:val="0"/>
        </w:numPr>
        <w:kinsoku/>
        <w:wordWrap/>
        <w:overflowPunct/>
        <w:topLinePunct w:val="0"/>
        <w:autoSpaceDE w:val="0"/>
        <w:autoSpaceDN w:val="0"/>
        <w:bidi w:val="0"/>
        <w:adjustRightInd w:val="0"/>
        <w:snapToGrid/>
        <w:spacing w:line="480" w:lineRule="auto"/>
        <w:ind w:left="360" w:leftChars="0"/>
        <w:textAlignment w:val="auto"/>
        <w:rPr>
          <w:rFonts w:hint="default" w:ascii="Times New Roman" w:hAnsi="Times New Roman" w:eastAsia="PMingLiU" w:cs="Times New Roman"/>
          <w:color w:val="000000"/>
          <w:kern w:val="0"/>
          <w:sz w:val="24"/>
          <w:szCs w:val="24"/>
          <w:lang w:eastAsia="zh-TW"/>
        </w:rPr>
      </w:pPr>
      <w:r>
        <w:rPr>
          <w:rFonts w:hint="default" w:ascii="Times New Roman" w:hAnsi="Times New Roman" w:eastAsia="PMingLiU" w:cs="Times New Roman"/>
          <w:color w:val="000000"/>
          <w:kern w:val="0"/>
          <w:sz w:val="24"/>
          <w:szCs w:val="24"/>
          <w:lang w:eastAsia="zh-TW"/>
        </w:rPr>
        <w:t>Many Chinese young people in the emerging-adulthood stage (Arnett, 2000) feel lost about their future career and life direction. Literature links this to parental overinvolvement and psychological control (Wang, 2023; Zhao &amp; Li, 2022; Wei et al., 2022) compounded by broader social uncertainty (Yu et al., 2026).</w:t>
      </w:r>
    </w:p>
    <w:p w14:paraId="33EA6AD9">
      <w:pPr>
        <w:keepNext w:val="0"/>
        <w:keepLines w:val="0"/>
        <w:pageBreakBefore w:val="0"/>
        <w:widowControl/>
        <w:numPr>
          <w:numId w:val="0"/>
        </w:numPr>
        <w:kinsoku/>
        <w:wordWrap/>
        <w:overflowPunct/>
        <w:topLinePunct w:val="0"/>
        <w:autoSpaceDE w:val="0"/>
        <w:autoSpaceDN w:val="0"/>
        <w:bidi w:val="0"/>
        <w:adjustRightInd w:val="0"/>
        <w:snapToGrid/>
        <w:spacing w:line="480" w:lineRule="auto"/>
        <w:textAlignment w:val="auto"/>
        <w:rPr>
          <w:rFonts w:hint="default" w:ascii="Times New Roman" w:hAnsi="Times New Roman" w:eastAsia="PMingLiU" w:cs="Times New Roman"/>
          <w:color w:val="000000"/>
          <w:kern w:val="0"/>
          <w:sz w:val="24"/>
          <w:szCs w:val="24"/>
          <w:lang w:eastAsia="zh-TW"/>
        </w:rPr>
      </w:pPr>
      <w:r>
        <w:rPr>
          <w:rFonts w:hint="default" w:ascii="Times New Roman" w:hAnsi="Times New Roman" w:eastAsia="PMingLiU" w:cs="Times New Roman"/>
          <w:color w:val="000000"/>
          <w:kern w:val="0"/>
          <w:sz w:val="24"/>
          <w:szCs w:val="24"/>
          <w:lang w:eastAsia="zh-TW"/>
        </w:rPr>
        <w:t xml:space="preserve">When examined more closely, </w:t>
      </w:r>
      <w:r>
        <w:rPr>
          <w:rFonts w:hint="default" w:ascii="Times New Roman" w:hAnsi="Times New Roman" w:eastAsia="PMingLiU" w:cs="Times New Roman"/>
          <w:color w:val="000000"/>
          <w:kern w:val="0"/>
          <w:sz w:val="24"/>
          <w:szCs w:val="24"/>
          <w:lang w:val="en-US" w:eastAsia="zh-TW"/>
        </w:rPr>
        <w:t>it founds the</w:t>
      </w:r>
      <w:r>
        <w:rPr>
          <w:rFonts w:hint="default" w:ascii="Times New Roman" w:hAnsi="Times New Roman" w:eastAsia="PMingLiU" w:cs="Times New Roman"/>
          <w:color w:val="000000"/>
          <w:kern w:val="0"/>
          <w:sz w:val="24"/>
          <w:szCs w:val="24"/>
          <w:lang w:eastAsia="zh-TW"/>
        </w:rPr>
        <w:t xml:space="preserve"> common pattern</w:t>
      </w:r>
      <w:r>
        <w:rPr>
          <w:rFonts w:hint="default" w:ascii="Times New Roman" w:hAnsi="Times New Roman" w:eastAsia="PMingLiU" w:cs="Times New Roman"/>
          <w:color w:val="000000"/>
          <w:kern w:val="0"/>
          <w:sz w:val="24"/>
          <w:szCs w:val="24"/>
          <w:lang w:val="en-US" w:eastAsia="zh-TW"/>
        </w:rPr>
        <w:t xml:space="preserve"> that </w:t>
      </w:r>
      <w:r>
        <w:rPr>
          <w:rFonts w:hint="default" w:ascii="Times New Roman" w:hAnsi="Times New Roman" w:eastAsia="PMingLiU" w:cs="Times New Roman"/>
          <w:color w:val="000000"/>
          <w:kern w:val="0"/>
          <w:sz w:val="24"/>
          <w:szCs w:val="24"/>
          <w:lang w:eastAsia="zh-TW"/>
        </w:rPr>
        <w:t>they have not yet developed a clear sense of who they are (their interests, values, strengths remain unclear), they cannot translate whatever self-knowledge they do have into a direction, and they see their past experiences as fragmented rather than forming any coherent story. In Career Construction Theory terms (Savickas, 2005, 2013), this is precisely a breakdown across the three tasks of career construction</w:t>
      </w:r>
      <w:r>
        <w:rPr>
          <w:rFonts w:hint="default" w:ascii="Times New Roman" w:hAnsi="Times New Roman" w:eastAsia="PMingLiU" w:cs="Times New Roman"/>
          <w:color w:val="000000"/>
          <w:kern w:val="0"/>
          <w:sz w:val="24"/>
          <w:szCs w:val="24"/>
          <w:lang w:val="en-US" w:eastAsia="zh-TW"/>
        </w:rPr>
        <w:t xml:space="preserve">: </w:t>
      </w:r>
      <w:r>
        <w:rPr>
          <w:rFonts w:hint="default" w:ascii="Times New Roman" w:hAnsi="Times New Roman" w:eastAsia="PMingLiU" w:cs="Times New Roman"/>
          <w:color w:val="000000"/>
          <w:kern w:val="0"/>
          <w:sz w:val="24"/>
          <w:szCs w:val="24"/>
          <w:lang w:eastAsia="zh-TW"/>
        </w:rPr>
        <w:t>organizing the self, imposing direction, and making meaning</w:t>
      </w:r>
      <w:r>
        <w:rPr>
          <w:rFonts w:hint="default" w:ascii="Times New Roman" w:hAnsi="Times New Roman" w:eastAsia="PMingLiU" w:cs="Times New Roman"/>
          <w:color w:val="000000"/>
          <w:kern w:val="0"/>
          <w:sz w:val="24"/>
          <w:szCs w:val="24"/>
          <w:lang w:val="en-US" w:eastAsia="zh-TW"/>
        </w:rPr>
        <w:t xml:space="preserve">, </w:t>
      </w:r>
      <w:r>
        <w:rPr>
          <w:rFonts w:hint="default" w:ascii="Times New Roman" w:hAnsi="Times New Roman" w:eastAsia="PMingLiU" w:cs="Times New Roman"/>
          <w:color w:val="000000"/>
          <w:kern w:val="0"/>
          <w:sz w:val="24"/>
          <w:szCs w:val="24"/>
          <w:lang w:eastAsia="zh-TW"/>
        </w:rPr>
        <w:t>with the adaptability resources</w:t>
      </w:r>
      <w:r>
        <w:rPr>
          <w:rFonts w:hint="default" w:ascii="Times New Roman" w:hAnsi="Times New Roman" w:eastAsia="PMingLiU" w:cs="Times New Roman"/>
          <w:color w:val="000000"/>
          <w:kern w:val="0"/>
          <w:sz w:val="24"/>
          <w:szCs w:val="24"/>
          <w:lang w:val="en-US" w:eastAsia="zh-TW"/>
        </w:rPr>
        <w:t xml:space="preserve"> (</w:t>
      </w:r>
      <w:r>
        <w:rPr>
          <w:rFonts w:hint="default" w:ascii="Times New Roman" w:hAnsi="Times New Roman" w:eastAsia="PMingLiU" w:cs="Times New Roman"/>
          <w:color w:val="000000"/>
          <w:kern w:val="0"/>
          <w:sz w:val="24"/>
          <w:szCs w:val="24"/>
          <w:lang w:eastAsia="zh-TW"/>
        </w:rPr>
        <w:t>Concern, Control, Curiosity, Confidence; Savickas &amp; Porfeli, 2012) notably weakened.</w:t>
      </w:r>
    </w:p>
    <w:p w14:paraId="4834D7B1">
      <w:pPr>
        <w:keepNext w:val="0"/>
        <w:keepLines w:val="0"/>
        <w:pageBreakBefore w:val="0"/>
        <w:widowControl/>
        <w:numPr>
          <w:numId w:val="0"/>
        </w:numPr>
        <w:kinsoku/>
        <w:wordWrap/>
        <w:overflowPunct/>
        <w:topLinePunct w:val="0"/>
        <w:autoSpaceDE w:val="0"/>
        <w:autoSpaceDN w:val="0"/>
        <w:bidi w:val="0"/>
        <w:adjustRightInd w:val="0"/>
        <w:snapToGrid/>
        <w:spacing w:line="480" w:lineRule="auto"/>
        <w:textAlignment w:val="auto"/>
        <w:rPr>
          <w:rFonts w:hint="default" w:ascii="Times New Roman" w:hAnsi="Times New Roman" w:eastAsia="PMingLiU" w:cs="Times New Roman"/>
          <w:color w:val="000000"/>
          <w:kern w:val="0"/>
          <w:sz w:val="24"/>
          <w:szCs w:val="24"/>
          <w:lang w:eastAsia="zh-TW"/>
        </w:rPr>
      </w:pPr>
      <w:r>
        <w:rPr>
          <w:rFonts w:hint="default" w:ascii="Times New Roman" w:hAnsi="Times New Roman" w:eastAsia="PMingLiU" w:cs="Times New Roman"/>
          <w:color w:val="000000"/>
          <w:kern w:val="0"/>
          <w:sz w:val="24"/>
          <w:szCs w:val="24"/>
          <w:lang w:eastAsia="zh-TW"/>
        </w:rPr>
        <w:t>This is why CCT serves as the primary framework: it does not simply offer career information or match personality to jobs, but provides a process for building the self-knowledge that is currently missing, deriving direction from it, and weaving meaning along the way. In practice, this process is operationalised through Amundson's (2018) Active Engagement model, which allows sessions to follow members' energy rather than a fixed sequence. Meta-analytic evidence (Rudolph et al., 2017) confirms that career adaptability can be effectively enhanced through structured group intervention.</w:t>
      </w:r>
    </w:p>
    <w:p w14:paraId="1131BFFF">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eastAsia="PMingLiU" w:cs="Times New Roman Bold"/>
          <w:b/>
          <w:bCs/>
          <w:color w:val="000000"/>
          <w:sz w:val="24"/>
          <w:szCs w:val="24"/>
          <w:lang w:val="en-US" w:eastAsia="zh-TW" w:bidi="ar-SA"/>
        </w:rPr>
      </w:pPr>
      <w:bookmarkStart w:id="0" w:name="_GoBack"/>
      <w:bookmarkEnd w:id="0"/>
      <w:r>
        <w:rPr>
          <w:rFonts w:hint="default" w:ascii="Times New Roman Bold" w:hAnsi="Times New Roman Bold" w:eastAsia="PMingLiU" w:cs="Times New Roman Bold"/>
          <w:b/>
          <w:bCs/>
          <w:color w:val="000000"/>
          <w:sz w:val="24"/>
          <w:szCs w:val="24"/>
          <w:lang w:val="en-US" w:eastAsia="zh-TW" w:bidi="ar-SA"/>
        </w:rPr>
        <w:t>Purpose: What are the goals and objectives of the guidance programme?</w:t>
      </w:r>
    </w:p>
    <w:p w14:paraId="7BF8B2B3">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Overall goal: To facilitate participants’ career construction process and enhance their career adaptability.</w:t>
      </w:r>
    </w:p>
    <w:p w14:paraId="6A419EF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Specific objectives: By the end of the programme, participants will be able to:</w:t>
      </w:r>
    </w:p>
    <w:p w14:paraId="1F584A2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Articulate their interests, strengths, and values.</w:t>
      </w:r>
    </w:p>
    <w:p w14:paraId="50FC7919">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Integrate their self-knowledge to identify at least one possible direction.</w:t>
      </w:r>
    </w:p>
    <w:p w14:paraId="2CD4A52B">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Identify barriers that obstruct their career construction and supports available to them.</w:t>
      </w:r>
    </w:p>
    <w:p w14:paraId="090C36E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Practise expressing their thoughts and needs to a significant other using the NVC framework.</w:t>
      </w:r>
    </w:p>
    <w:p w14:paraId="6D65DB40">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Commit to at least one concrete action step.</w:t>
      </w:r>
    </w:p>
    <w:p w14:paraId="77990E7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Describe briefly the contents and activities of the group guidance programme. </w:t>
      </w:r>
    </w:p>
    <w:p w14:paraId="12C602AC">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The programme consists of nine group sessions structured around CCT’s three career construction tasks.</w:t>
      </w:r>
    </w:p>
    <w:p w14:paraId="2C00CC2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 organize phase (Sessions 1–4), members build self-knowledge through structured exploration of interests (e.g., RIASEC discussion, flow-moment recall), strengths (e.g., peer feedback, skills inventory), and values (e.g., Values Card Sort with source-auditing). These sessions primarily target concern and curiosity.</w:t>
      </w:r>
    </w:p>
    <w:p w14:paraId="718C81B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 impose direction phase (Sessions 5–8), members integrate their discoveries to identify possible directions, analyse internal and external barriers, practise expressing their needs to significant others using NVC role-play, and commit to a concrete, values-aligned action step. These sessions develop Control and Confidence.</w:t>
      </w:r>
    </w:p>
    <w:p w14:paraId="1761586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 make meaning phase (Session 9), members review their full Career Construction Map, write a letter to their future selves, and close with a brief ceremony, integrating the journey into a coherent personal narrative.</w:t>
      </w:r>
    </w:p>
    <w:p w14:paraId="4517DFBC">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Throughout, a shared Miro collaborative canvas accumulates each member’s exploration visually, and discussion is not confined to a single theme per session, consistent with Amundson’s Active Engagement principle.</w:t>
      </w:r>
    </w:p>
    <w:p w14:paraId="73DAE39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many sessions will there be? What is the timeline of the group guidance programme? </w:t>
      </w:r>
    </w:p>
    <w:p w14:paraId="548DE7D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Sessions: 9 group sessions × 2 hours = 18 hours total.</w:t>
      </w:r>
    </w:p>
    <w:p w14:paraId="49F18CBE">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Frequency: 2–3 times per week.</w:t>
      </w:r>
    </w:p>
    <w:p w14:paraId="06AD8A5B">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Timeline: Early to late June 2026 (approximately 3–4 weeks).</w:t>
      </w:r>
    </w:p>
    <w:p w14:paraId="510DC87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Format: Online via Zoom plus a Miro collaborative canvas.</w:t>
      </w:r>
    </w:p>
    <w:p w14:paraId="7373341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counselling: Scheduled after Sessions 5–6.</w:t>
      </w:r>
    </w:p>
    <w:p w14:paraId="7CC91C1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The detailed schedule will be finalised based on members’ availability after recruitment.</w:t>
      </w:r>
    </w:p>
    <w:p w14:paraId="4A48CBC5">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will you ensure that the objectives are measurable and attainable within the specified timeline? </w:t>
      </w:r>
    </w:p>
    <w:p w14:paraId="38048C30">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objective has a visible indicator of achievement within the sessions. For example, self-knowledge articulation is evidenced by interests patterns, and strengths list on each member’s Miro canvas; communication skills will be observed in the role-play performance; and committed action includes publicly stating a specific step in Session 8.</w:t>
      </w:r>
    </w:p>
    <w:p w14:paraId="2FFA9203">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addition, these objectives are attainable because: Progressive design follows CCT’s natural sequence and self-knowledge is built before direction and action; they are modest, which are not “make a final career decision” but “know yourself better, see a direction, take one step;” and content is flexible, which is not based on screening questionnaire and needs check-in firstly, but also adjust in later sessions if predesigned content does not fit.</w:t>
      </w:r>
    </w:p>
    <w:p w14:paraId="7E14915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strategies will be used to evaluate how well the stated objectives of the group are met? </w:t>
      </w:r>
    </w:p>
    <w:p w14:paraId="38C134A5">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 and post- self-clarity scaling questions (see appendix A).</w:t>
      </w:r>
    </w:p>
    <w:p w14:paraId="623F58A8">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Tracking the progression of each member's Miro canvas across sessions.</w:t>
      </w:r>
    </w:p>
    <w:p w14:paraId="60D9B1F7">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Facilitator’s observation notes.</w:t>
      </w:r>
    </w:p>
    <w:p w14:paraId="0772E129">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member’s reflection and action plan presented in Session 9.</w:t>
      </w:r>
    </w:p>
    <w:p w14:paraId="3B875552">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progress noted during the individual counselling sessions.</w:t>
      </w:r>
    </w:p>
    <w:p w14:paraId="013D3EB7">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recruitment or selection procedures will be used in forming the group?</w:t>
      </w:r>
    </w:p>
    <w:p w14:paraId="0E2A79C3">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Members are recruited through the facilitator’s personal network: alumni connections, less-close classmates, friends-of-friends, and similar contacts. Recruitment messages describe the topic in everyday language, for example: “Not sure what to do after graduation? Stuck between further study and starting work, between staying or going back home? If you would like to explore yourself in a safe small group, here is some information.” To avoid dual relationships, the facilitator does not recruit close friends, roommates, or anyone with a power or interest relationship to the facilitator.</w:t>
      </w:r>
    </w:p>
    <w:p w14:paraId="151B2820">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Interested individuals will be selected through a short online screening questionnaire about basic information, open questions, and exclusion criteria screening (see appendix B).</w:t>
      </w:r>
    </w:p>
    <w:p w14:paraId="5C40F4FB">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cs="Times New Roman Bold"/>
          <w:b/>
          <w:bCs/>
        </w:rPr>
      </w:pPr>
      <w:r>
        <w:rPr>
          <w:rFonts w:hint="default" w:ascii="Times New Roman Bold" w:hAnsi="Times New Roman Bold" w:eastAsia="PMingLiU" w:cs="Times New Roman Bold"/>
          <w:b/>
          <w:bCs/>
          <w:color w:val="000000"/>
          <w:sz w:val="24"/>
          <w:szCs w:val="24"/>
          <w:lang w:val="en-US" w:eastAsia="zh-TW" w:bidi="ar-SA"/>
        </w:rPr>
        <w:t>How are the members going to be prepared for the group experience?</w:t>
      </w:r>
    </w:p>
    <w:p w14:paraId="2C4E64A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Pre-test (baseline data): Members complete the self-clarity scaling questions before the programme starts.</w:t>
      </w:r>
    </w:p>
    <w:p w14:paraId="62458618">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Informed consent: Members sign a consent form covering the group’s purpose and structure, confidentiality and its limits, recording policy, and the right to withdraw.</w:t>
      </w:r>
    </w:p>
    <w:p w14:paraId="451A67EF">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Information sheet covering the schedule, brief instructions of Zoom and Miro, and the group rules.</w:t>
      </w:r>
    </w:p>
    <w:p w14:paraId="693C4FE4">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Needs check-in such as “Why are you here? What do you hope to take away from this group?”</w:t>
      </w:r>
    </w:p>
    <w:p w14:paraId="36993ED9">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4D0E047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w:t>
      </w:r>
      <w:r>
        <w:rPr>
          <w:rFonts w:hint="default" w:ascii="Times New Roman Bold" w:hAnsi="Times New Roman Bold" w:eastAsia="PMingLiU" w:cs="Times New Roman Bold"/>
          <w:b/>
          <w:bCs/>
          <w:color w:val="000000"/>
          <w:kern w:val="0"/>
          <w:sz w:val="24"/>
          <w:szCs w:val="24"/>
          <w:lang w:val="en-US" w:eastAsia="zh-TW"/>
        </w:rPr>
        <w:t>ndix A</w:t>
      </w:r>
      <w:r>
        <w:rPr>
          <w:rFonts w:hint="default" w:ascii="Times New Roman" w:hAnsi="Times New Roman" w:eastAsia="PMingLiU" w:cs="Times New Roman"/>
          <w:color w:val="000000"/>
          <w:kern w:val="0"/>
          <w:sz w:val="24"/>
          <w:szCs w:val="24"/>
          <w:lang w:val="en-US" w:eastAsia="zh-TW"/>
        </w:rPr>
        <w:t xml:space="preserve"> Self-Clarity Scaling Questions</w:t>
      </w:r>
    </w:p>
    <w:p w14:paraId="06BF70D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Instruction: Please rate according to your current real feelings.</w:t>
      </w:r>
    </w:p>
    <w:p w14:paraId="68B4871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Rating: 1 = Completely unaware/unclear → 10 = Very aware/very clear</w:t>
      </w:r>
    </w:p>
    <w:p w14:paraId="4406D1E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interests (what activities give me energy): ___/10</w:t>
      </w:r>
    </w:p>
    <w:p w14:paraId="0BD3DEA1">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strengths (what I am good at): ___/10</w:t>
      </w:r>
    </w:p>
    <w:p w14:paraId="182DCC2C">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values (what is truly important to me): ___/10</w:t>
      </w:r>
    </w:p>
    <w:p w14:paraId="3B28CFF7">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clarity on the future direction (how well I know where to go): ___/10</w:t>
      </w:r>
    </w:p>
    <w:p w14:paraId="380F32A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confidence in “what to do next”: ___/10</w:t>
      </w:r>
    </w:p>
    <w:p w14:paraId="47B9CCCA">
      <w:pPr>
        <w:keepNext w:val="0"/>
        <w:keepLines w:val="0"/>
        <w:pageBreakBefore w:val="0"/>
        <w:widowControl/>
        <w:kinsoku/>
        <w:wordWrap/>
        <w:overflowPunct/>
        <w:topLinePunct w:val="0"/>
        <w:autoSpaceDE w:val="0"/>
        <w:autoSpaceDN w:val="0"/>
        <w:bidi w:val="0"/>
        <w:adjustRightInd w:val="0"/>
        <w:snapToGrid/>
        <w:spacing w:line="480" w:lineRule="auto"/>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214B43C9">
      <w:pPr>
        <w:keepNext w:val="0"/>
        <w:keepLines w:val="0"/>
        <w:pageBreakBefore w:val="0"/>
        <w:widowControl/>
        <w:numPr>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B</w:t>
      </w:r>
      <w:r>
        <w:rPr>
          <w:rFonts w:hint="default" w:ascii="Times New Roman" w:hAnsi="Times New Roman" w:eastAsia="PMingLiU" w:cs="Times New Roman"/>
          <w:color w:val="000000"/>
          <w:kern w:val="0"/>
          <w:sz w:val="24"/>
          <w:szCs w:val="24"/>
          <w:lang w:val="en-US" w:eastAsia="zh-TW"/>
        </w:rPr>
        <w:t xml:space="preserve"> Online Screening Questionnaire</w:t>
      </w:r>
    </w:p>
    <w:p w14:paraId="1DB0B846">
      <w:pPr>
        <w:keepNext w:val="0"/>
        <w:keepLines w:val="0"/>
        <w:pageBreakBefore w:val="0"/>
        <w:widowControl/>
        <w:numPr>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Basic information:</w:t>
      </w:r>
    </w:p>
    <w:p w14:paraId="61750CA3">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want others to call you?”</w:t>
      </w:r>
    </w:p>
    <w:p w14:paraId="37FEAB4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“How old are you?”</w:t>
      </w:r>
    </w:p>
    <w:p w14:paraId="0326012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stage are you currently in? A student? Just graduated? Already in employment?”</w:t>
      </w:r>
    </w:p>
    <w:p w14:paraId="3EC4BF7A">
      <w:pPr>
        <w:keepNext w:val="0"/>
        <w:keepLines w:val="0"/>
        <w:pageBreakBefore w:val="0"/>
        <w:widowControl/>
        <w:numPr>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Open questions: </w:t>
      </w:r>
    </w:p>
    <w:p w14:paraId="0C1443D2">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“Please briefly describe how you currently feel about your future career or life direction.”</w:t>
      </w:r>
    </w:p>
    <w:p w14:paraId="5160D114">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most hope to gain from this group?”</w:t>
      </w:r>
    </w:p>
    <w:p w14:paraId="77A57CF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“Are you willing to share your ideas in the group and listen to others?”</w:t>
      </w:r>
    </w:p>
    <w:p w14:paraId="1D31B061">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“Whether currently undergoing psychiatric treatment or in a severe psychological crisis?”</w:t>
      </w:r>
    </w:p>
    <w:p w14:paraId="169CAC68">
      <w:pPr>
        <w:keepNext w:val="0"/>
        <w:keepLines w:val="0"/>
        <w:pageBreakBefore w:val="0"/>
        <w:widowControl/>
        <w:numPr>
          <w:numId w:val="0"/>
        </w:numPr>
        <w:kinsoku/>
        <w:wordWrap/>
        <w:overflowPunct/>
        <w:topLinePunct w:val="0"/>
        <w:autoSpaceDE w:val="0"/>
        <w:autoSpaceDN w:val="0"/>
        <w:bidi w:val="0"/>
        <w:adjustRightInd w:val="0"/>
        <w:snapToGrid/>
        <w:spacing w:line="480" w:lineRule="auto"/>
        <w:ind w:left="360" w:leftChars="0"/>
        <w:textAlignment w:val="auto"/>
        <w:rPr>
          <w:rFonts w:hint="default" w:ascii="Times New Roman Bold" w:hAnsi="Times New Roman Bold" w:cs="Times New Roman Bold"/>
          <w:b/>
          <w:bCs/>
        </w:rPr>
      </w:pPr>
    </w:p>
    <w:sectPr>
      <w:pgSz w:w="11906" w:h="16838"/>
      <w:pgMar w:top="1151" w:right="862" w:bottom="1440" w:left="115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MingLiU">
    <w:altName w:val="宋体-繁"/>
    <w:panose1 w:val="02020500000000000000"/>
    <w:charset w:val="88"/>
    <w:family w:val="roman"/>
    <w:pitch w:val="default"/>
    <w:sig w:usb0="00000000" w:usb1="00000000" w:usb2="00000016" w:usb3="00000000" w:csb0="00100001" w:csb1="00000000"/>
  </w:font>
  <w:font w:name="Cambria">
    <w:altName w:val="苹方-简"/>
    <w:panose1 w:val="02040503050406030204"/>
    <w:charset w:val="00"/>
    <w:family w:val="roman"/>
    <w:pitch w:val="default"/>
    <w:sig w:usb0="00000000" w:usb1="00000000" w:usb2="00000000" w:usb3="00000000" w:csb0="0000019F" w:csb1="00000000"/>
  </w:font>
  <w:font w:name="宋体-繁">
    <w:panose1 w:val="02010600040101010101"/>
    <w:charset w:val="86"/>
    <w:family w:val="auto"/>
    <w:pitch w:val="default"/>
    <w:sig w:usb0="00000287" w:usb1="080F0000" w:usb2="00000000" w:usb3="00000000" w:csb0="0004009F" w:csb1="DFD70000"/>
  </w:font>
  <w:font w:name="苹方-简">
    <w:panose1 w:val="020B0400000000000000"/>
    <w:charset w:val="86"/>
    <w:family w:val="auto"/>
    <w:pitch w:val="default"/>
    <w:sig w:usb0="A00002FF" w:usb1="7ACFFDFB" w:usb2="00000017" w:usb3="00000000" w:csb0="00040001" w:csb1="00000000"/>
  </w:font>
  <w:font w:name="Helvetica">
    <w:panose1 w:val="00000000000000000000"/>
    <w:charset w:val="00"/>
    <w:family w:val="auto"/>
    <w:pitch w:val="default"/>
    <w:sig w:usb0="E00002FF" w:usb1="5000785B" w:usb2="00000000" w:usb3="00000000" w:csb0="2000019F" w:csb1="4F010000"/>
  </w:font>
  <w:font w:name="宋体-简">
    <w:panose1 w:val="02010800040101010101"/>
    <w:charset w:val="86"/>
    <w:family w:val="auto"/>
    <w:pitch w:val="default"/>
    <w:sig w:usb0="00000001" w:usb1="080F0000" w:usb2="00000000" w:usb3="00000000" w:csb0="00040000" w:csb1="00000000"/>
  </w:font>
  <w:font w:name="Times New Roman Bold">
    <w:panose1 w:val="02020503050405090304"/>
    <w:charset w:val="00"/>
    <w:family w:val="auto"/>
    <w:pitch w:val="default"/>
    <w:sig w:usb0="E0000AFF" w:usb1="0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7BDEDB"/>
    <w:multiLevelType w:val="singleLevel"/>
    <w:tmpl w:val="F67BDEDB"/>
    <w:lvl w:ilvl="0" w:tentative="0">
      <w:start w:val="1"/>
      <w:numFmt w:val="bullet"/>
      <w:lvlText w:val=""/>
      <w:lvlJc w:val="left"/>
      <w:pPr>
        <w:ind w:left="420" w:hanging="420"/>
      </w:pPr>
      <w:rPr>
        <w:rFonts w:hint="default" w:ascii="Wingdings" w:hAnsi="Wingdings"/>
      </w:rPr>
    </w:lvl>
  </w:abstractNum>
  <w:abstractNum w:abstractNumId="1">
    <w:nsid w:val="FBD6ABC0"/>
    <w:multiLevelType w:val="singleLevel"/>
    <w:tmpl w:val="FBD6ABC0"/>
    <w:lvl w:ilvl="0" w:tentative="0">
      <w:start w:val="1"/>
      <w:numFmt w:val="bullet"/>
      <w:lvlText w:val=""/>
      <w:lvlJc w:val="left"/>
      <w:pPr>
        <w:tabs>
          <w:tab w:val="left" w:pos="420"/>
        </w:tabs>
        <w:ind w:left="840" w:hanging="420"/>
      </w:pPr>
      <w:rPr>
        <w:rFonts w:hint="default" w:ascii="Wingdings" w:hAnsi="Wingdings"/>
      </w:rPr>
    </w:lvl>
  </w:abstractNum>
  <w:abstractNum w:abstractNumId="2">
    <w:nsid w:val="FD7F2D22"/>
    <w:multiLevelType w:val="multilevel"/>
    <w:tmpl w:val="FD7F2D2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FDA2200"/>
    <w:multiLevelType w:val="multilevel"/>
    <w:tmpl w:val="1FDA220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1F542E4"/>
    <w:multiLevelType w:val="multilevel"/>
    <w:tmpl w:val="71F542E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7F3F6EE2"/>
    <w:multiLevelType w:val="singleLevel"/>
    <w:tmpl w:val="7F3F6EE2"/>
    <w:lvl w:ilvl="0" w:tentative="0">
      <w:start w:val="1"/>
      <w:numFmt w:val="bullet"/>
      <w:lvlText w:val=""/>
      <w:lvlJc w:val="left"/>
      <w:pPr>
        <w:ind w:left="420" w:hanging="420"/>
      </w:pPr>
      <w:rPr>
        <w:rFonts w:hint="default" w:ascii="Wingdings" w:hAnsi="Wingdings"/>
      </w:rPr>
    </w:lvl>
  </w:abstractNum>
  <w:num w:numId="1">
    <w:abstractNumId w:val="3"/>
  </w:num>
  <w:num w:numId="2">
    <w:abstractNumId w:val="1"/>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7D776C1"/>
    <w:rsid w:val="6DFED518"/>
    <w:rsid w:val="75F7B300"/>
    <w:rsid w:val="79FA888E"/>
    <w:rsid w:val="A3E746ED"/>
    <w:rsid w:val="EF7F0B86"/>
    <w:rsid w:val="EFDEB8C5"/>
    <w:rsid w:val="F5A5E2AD"/>
    <w:rsid w:val="F7D776C1"/>
    <w:rsid w:val="FFBE03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21</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2026-05-25T14:08:00Z</dcterms:created>
  <dc:creator>-Iris</dc:creator>
  <cp:lastModifiedBy>-Iris</cp:lastModifiedBy>
  <dcterms:modified xsi:type="dcterms:W3CDTF">2026-05-25T22:28:52Z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3BF5CA58F8D31F0B5EE7136AA43E5336_41</vt:lpwstr>
  </property>
</Properties>
</file>