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Critical Revision Log</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Revision ID</w:t>
            </w:r>
          </w:p>
        </w:tc>
        <w:tc>
          <w:tcPr>
            <w:tcW w:type="dxa" w:w="960"/>
          </w:tcPr>
          <w:p>
            <w:r>
              <w:rPr>
                <w:b/>
              </w:rPr>
              <w:t>Date</w:t>
            </w:r>
          </w:p>
        </w:tc>
        <w:tc>
          <w:tcPr>
            <w:tcW w:type="dxa" w:w="960"/>
          </w:tcPr>
          <w:p>
            <w:r>
              <w:rPr>
                <w:b/>
              </w:rPr>
              <w:t>Related version</w:t>
            </w:r>
          </w:p>
        </w:tc>
        <w:tc>
          <w:tcPr>
            <w:tcW w:type="dxa" w:w="960"/>
          </w:tcPr>
          <w:p>
            <w:r>
              <w:rPr>
                <w:b/>
              </w:rPr>
              <w:t>Priority</w:t>
            </w:r>
          </w:p>
        </w:tc>
        <w:tc>
          <w:tcPr>
            <w:tcW w:type="dxa" w:w="960"/>
          </w:tcPr>
          <w:p>
            <w:r>
              <w:rPr>
                <w:b/>
              </w:rPr>
              <w:t>Problem</w:t>
            </w:r>
          </w:p>
        </w:tc>
        <w:tc>
          <w:tcPr>
            <w:tcW w:type="dxa" w:w="960"/>
          </w:tcPr>
          <w:p>
            <w:r>
              <w:rPr>
                <w:b/>
              </w:rPr>
              <w:t>Cause</w:t>
            </w:r>
          </w:p>
        </w:tc>
        <w:tc>
          <w:tcPr>
            <w:tcW w:type="dxa" w:w="960"/>
          </w:tcPr>
          <w:p>
            <w:r>
              <w:rPr>
                <w:b/>
              </w:rPr>
              <w:t>Fix</w:t>
            </w:r>
          </w:p>
        </w:tc>
        <w:tc>
          <w:tcPr>
            <w:tcW w:type="dxa" w:w="960"/>
          </w:tcPr>
          <w:p>
            <w:r>
              <w:rPr>
                <w:b/>
              </w:rPr>
              <w:t>Affected files</w:t>
            </w:r>
          </w:p>
        </w:tc>
        <w:tc>
          <w:tcPr>
            <w:tcW w:type="dxa" w:w="960"/>
          </w:tcPr>
          <w:p>
            <w:r>
              <w:rPr>
                <w:b/>
              </w:rPr>
              <w:t>Prevention rule</w:t>
            </w:r>
          </w:p>
        </w:tc>
      </w:tr>
      <w:tr>
        <w:tc>
          <w:tcPr>
            <w:tcW w:type="dxa" w:w="960"/>
          </w:tcPr>
          <w:p>
            <w:r>
              <w:t>CR-0001</w:t>
            </w:r>
          </w:p>
        </w:tc>
        <w:tc>
          <w:tcPr>
            <w:tcW w:type="dxa" w:w="960"/>
          </w:tcPr>
          <w:p>
            <w:r>
              <w:t>2026-05-20</w:t>
            </w:r>
          </w:p>
        </w:tc>
        <w:tc>
          <w:tcPr>
            <w:tcW w:type="dxa" w:w="960"/>
          </w:tcPr>
          <w:p>
            <w:r>
              <w:t>0.1.0</w:t>
            </w:r>
          </w:p>
        </w:tc>
        <w:tc>
          <w:tcPr>
            <w:tcW w:type="dxa" w:w="960"/>
          </w:tcPr>
          <w:p>
            <w:r>
              <w:t>High</w:t>
            </w:r>
          </w:p>
        </w:tc>
        <w:tc>
          <w:tcPr>
            <w:tcW w:type="dxa" w:w="960"/>
          </w:tcPr>
          <w:p>
            <w:r>
              <w:t>The source-document root contained legacy documents that did not match the approved clean layout</w:t>
            </w:r>
          </w:p>
        </w:tc>
        <w:tc>
          <w:tcPr>
            <w:tcW w:type="dxa" w:w="960"/>
          </w:tcPr>
          <w:p>
            <w:r>
              <w:t>Early foundation documents were stored directly in `SourceDocument` root before the full documentation tree was defined</w:t>
            </w:r>
          </w:p>
        </w:tc>
        <w:tc>
          <w:tcPr>
            <w:tcW w:type="dxa" w:w="960"/>
          </w:tcPr>
          <w:p>
            <w:r>
              <w:t>Migrate the content into the new documented substructure, keep the master doc as the source of truth, and remove the legacy root files from the final layout</w:t>
            </w:r>
          </w:p>
        </w:tc>
        <w:tc>
          <w:tcPr>
            <w:tcW w:type="dxa" w:w="960"/>
          </w:tcPr>
          <w:p>
            <w:r>
              <w:t>`DevelopingData/DocumentationData/SourceDocument/`</w:t>
            </w:r>
          </w:p>
        </w:tc>
        <w:tc>
          <w:tcPr>
            <w:tcW w:type="dxa" w:w="960"/>
          </w:tcPr>
          <w:p>
            <w:r>
              <w:t>Keep the source-document root limited to the approved master files only</w:t>
            </w:r>
          </w:p>
        </w:tc>
      </w:tr>
      <w:tr>
        <w:tc>
          <w:tcPr>
            <w:tcW w:type="dxa" w:w="960"/>
          </w:tcPr>
          <w:p>
            <w:r>
              <w:t>CR-0002</w:t>
            </w:r>
          </w:p>
        </w:tc>
        <w:tc>
          <w:tcPr>
            <w:tcW w:type="dxa" w:w="960"/>
          </w:tcPr>
          <w:p>
            <w:r>
              <w:t>2026-05-20</w:t>
            </w:r>
          </w:p>
        </w:tc>
        <w:tc>
          <w:tcPr>
            <w:tcW w:type="dxa" w:w="960"/>
          </w:tcPr>
          <w:p>
            <w:r>
              <w:t>0.3.1</w:t>
            </w:r>
          </w:p>
        </w:tc>
        <w:tc>
          <w:tcPr>
            <w:tcW w:type="dxa" w:w="960"/>
          </w:tcPr>
          <w:p>
            <w:r>
              <w:t>High</w:t>
            </w:r>
          </w:p>
        </w:tc>
        <w:tc>
          <w:tcPr>
            <w:tcW w:type="dxa" w:w="960"/>
          </w:tcPr>
          <w:p>
            <w:r>
              <w:t>Live segment finalization could reject speech incorrectly and translation context could duplicate accepted segments</w:t>
            </w:r>
          </w:p>
        </w:tc>
        <w:tc>
          <w:tcPr>
            <w:tcW w:type="dxa" w:w="960"/>
          </w:tcPr>
          <w:p>
            <w:r>
              <w:t>Endpoint silence was not forwarded into the VAD decision path, and the translation context was extended without clearing the current snapshot first</w:t>
            </w:r>
          </w:p>
        </w:tc>
        <w:tc>
          <w:tcPr>
            <w:tcW w:type="dxa" w:w="960"/>
          </w:tcPr>
          <w:p>
            <w:r>
              <w:t>Pass measured endpoint silence into the segment gate, clear the translation context before seeding the current window, add ASR and translation fallback loading, and block replay while microphone capture is active</w:t>
            </w:r>
          </w:p>
        </w:tc>
        <w:tc>
          <w:tcPr>
            <w:tcW w:type="dxa" w:w="960"/>
          </w:tcPr>
          <w:p>
            <w:r>
              <w:t>`EngineData/LauncherApp/live_pipeline.py`, `EngineData/TranscriptEngine/asr_model_loader.py`, `EngineData/TranslateEngine/translation_engine.py`, `EngineData/LauncherApp/app_main.py`</w:t>
            </w:r>
          </w:p>
        </w:tc>
        <w:tc>
          <w:tcPr>
            <w:tcW w:type="dxa" w:w="960"/>
          </w:tcPr>
          <w:p>
            <w:r>
              <w:t>Always validate endpoint metrics and context handling with smoke tests before calling the live pipeline 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