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34D11">
      <w:pPr>
        <w:spacing w:before="480" w:after="160"/>
        <w:jc w:val="center"/>
        <w:rPr>
          <w:color w:val="auto"/>
        </w:rPr>
      </w:pPr>
      <w:r>
        <w:rPr>
          <w:rFonts w:ascii="Arial" w:hAnsi="Arial" w:eastAsia="Arial" w:cs="Arial"/>
          <w:b/>
          <w:bCs/>
          <w:color w:val="auto"/>
          <w:sz w:val="64"/>
          <w:szCs w:val="64"/>
        </w:rPr>
        <w:t>LegalSaathi</w:t>
      </w:r>
    </w:p>
    <w:p w14:paraId="697304EF">
      <w:pPr>
        <w:spacing w:before="0" w:after="120"/>
        <w:jc w:val="center"/>
        <w:rPr>
          <w:color w:val="auto"/>
        </w:rPr>
      </w:pPr>
      <w:r>
        <w:rPr>
          <w:rFonts w:ascii="Arial" w:hAnsi="Arial" w:eastAsia="Arial" w:cs="Arial"/>
          <w:b/>
          <w:bCs/>
          <w:color w:val="auto"/>
          <w:sz w:val="32"/>
          <w:szCs w:val="32"/>
        </w:rPr>
        <w:t>Product Requirements Document (PRD)</w:t>
      </w:r>
    </w:p>
    <w:p w14:paraId="3A4E2519">
      <w:pPr>
        <w:spacing w:before="0" w:after="80"/>
        <w:jc w:val="center"/>
        <w:rPr>
          <w:color w:val="auto"/>
        </w:rPr>
      </w:pPr>
      <w:r>
        <w:rPr>
          <w:rFonts w:ascii="Arial" w:hAnsi="Arial" w:eastAsia="Arial" w:cs="Arial"/>
          <w:i/>
          <w:iCs/>
          <w:color w:val="auto"/>
          <w:sz w:val="26"/>
          <w:szCs w:val="26"/>
        </w:rPr>
        <w:t>AI-Powered Legal Aid Agent for Rural India</w:t>
      </w:r>
    </w:p>
    <w:p w14:paraId="0FA541B3">
      <w:pPr>
        <w:spacing w:before="0" w:after="80"/>
        <w:jc w:val="center"/>
        <w:rPr>
          <w:color w:val="auto"/>
        </w:rPr>
      </w:pPr>
      <w:r>
        <w:rPr>
          <w:rFonts w:ascii="Arial" w:hAnsi="Arial" w:eastAsia="Arial" w:cs="Arial"/>
          <w:color w:val="auto"/>
          <w:sz w:val="20"/>
          <w:szCs w:val="20"/>
        </w:rPr>
        <w:t>HiDevs × Mastra Hackathon 2026  |  Open Innovation Challenge</w:t>
      </w:r>
    </w:p>
    <w:p w14:paraId="6574EEEE">
      <w:pPr>
        <w:spacing w:before="0" w:after="480"/>
        <w:jc w:val="center"/>
        <w:rPr>
          <w:color w:val="auto"/>
        </w:rPr>
      </w:pPr>
      <w:r>
        <w:rPr>
          <w:rFonts w:ascii="Arial" w:hAnsi="Arial" w:eastAsia="Arial" w:cs="Arial"/>
          <w:color w:val="auto"/>
          <w:sz w:val="20"/>
          <w:szCs w:val="20"/>
        </w:rPr>
        <w:t>Mastra  ·  Qdrant  ·  Enkrypt AI  ·  TypeScript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6A886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3099275A">
            <w:pPr>
              <w:rPr>
                <w:b/>
                <w:bCs/>
                <w:color w:val="auto"/>
              </w:rPr>
            </w:pPr>
            <w:r>
              <w:rPr>
                <w:rFonts w:ascii="Arial" w:hAnsi="Arial" w:eastAsia="Arial" w:cs="Arial"/>
                <w:b/>
                <w:bCs/>
                <w:color w:val="auto"/>
                <w:sz w:val="20"/>
                <w:szCs w:val="20"/>
              </w:rPr>
              <w:t>Document Type</w:t>
            </w:r>
          </w:p>
        </w:tc>
        <w:tc>
          <w:tcPr>
            <w:tcW w:w="6560"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50" w:type="dxa"/>
              <w:bottom w:w="100" w:type="dxa"/>
              <w:right w:w="150" w:type="dxa"/>
            </w:tcMar>
          </w:tcPr>
          <w:p w14:paraId="30263A06">
            <w:pPr>
              <w:rPr>
                <w:color w:val="auto"/>
              </w:rPr>
            </w:pPr>
            <w:r>
              <w:rPr>
                <w:rFonts w:ascii="Arial" w:hAnsi="Arial" w:eastAsia="Arial" w:cs="Arial"/>
                <w:color w:val="auto"/>
                <w:sz w:val="20"/>
                <w:szCs w:val="20"/>
              </w:rPr>
              <w:t>Product Requirements Document (PRD)</w:t>
            </w:r>
          </w:p>
        </w:tc>
      </w:tr>
      <w:tr w14:paraId="24017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3FF"/>
            <w:tcMar>
              <w:top w:w="100" w:type="dxa"/>
              <w:left w:w="150" w:type="dxa"/>
              <w:bottom w:w="100" w:type="dxa"/>
              <w:right w:w="150" w:type="dxa"/>
            </w:tcMar>
          </w:tcPr>
          <w:p w14:paraId="1EDA1D89">
            <w:pPr>
              <w:rPr>
                <w:b/>
                <w:bCs/>
                <w:color w:val="auto"/>
              </w:rPr>
            </w:pPr>
            <w:r>
              <w:rPr>
                <w:rFonts w:ascii="Arial" w:hAnsi="Arial" w:eastAsia="Arial" w:cs="Arial"/>
                <w:b/>
                <w:bCs/>
                <w:color w:val="auto"/>
                <w:sz w:val="20"/>
                <w:szCs w:val="20"/>
              </w:rPr>
              <w:t>Product</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ED3486C">
            <w:pPr>
              <w:rPr>
                <w:color w:val="auto"/>
              </w:rPr>
            </w:pPr>
            <w:r>
              <w:rPr>
                <w:rFonts w:ascii="Arial" w:hAnsi="Arial" w:eastAsia="Arial" w:cs="Arial"/>
                <w:color w:val="auto"/>
                <w:sz w:val="20"/>
                <w:szCs w:val="20"/>
              </w:rPr>
              <w:t>LegalSaathi — AI Legal Aid Agent</w:t>
            </w:r>
          </w:p>
        </w:tc>
      </w:tr>
      <w:tr w14:paraId="6C58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34B6984">
            <w:pPr>
              <w:rPr>
                <w:b/>
                <w:bCs/>
                <w:color w:val="auto"/>
              </w:rPr>
            </w:pPr>
            <w:r>
              <w:rPr>
                <w:rFonts w:ascii="Arial" w:hAnsi="Arial" w:eastAsia="Arial" w:cs="Arial"/>
                <w:b/>
                <w:bCs/>
                <w:color w:val="auto"/>
                <w:sz w:val="20"/>
                <w:szCs w:val="20"/>
              </w:rPr>
              <w:t>Hackathon</w:t>
            </w:r>
          </w:p>
        </w:tc>
        <w:tc>
          <w:tcPr>
            <w:tcW w:w="6560"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50" w:type="dxa"/>
              <w:bottom w:w="100" w:type="dxa"/>
              <w:right w:w="150" w:type="dxa"/>
            </w:tcMar>
          </w:tcPr>
          <w:p w14:paraId="7D8E1D46">
            <w:pPr>
              <w:rPr>
                <w:color w:val="auto"/>
              </w:rPr>
            </w:pPr>
            <w:r>
              <w:rPr>
                <w:rFonts w:ascii="Arial" w:hAnsi="Arial" w:eastAsia="Arial" w:cs="Arial"/>
                <w:color w:val="auto"/>
                <w:sz w:val="20"/>
                <w:szCs w:val="20"/>
              </w:rPr>
              <w:t>HiDevs × Mastra Hackathon 2026</w:t>
            </w:r>
          </w:p>
        </w:tc>
      </w:tr>
      <w:tr w14:paraId="3D87F7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3FF"/>
            <w:tcMar>
              <w:top w:w="100" w:type="dxa"/>
              <w:left w:w="150" w:type="dxa"/>
              <w:bottom w:w="100" w:type="dxa"/>
              <w:right w:w="150" w:type="dxa"/>
            </w:tcMar>
          </w:tcPr>
          <w:p w14:paraId="569E4D56">
            <w:pPr>
              <w:rPr>
                <w:b/>
                <w:bCs/>
                <w:color w:val="auto"/>
              </w:rPr>
            </w:pPr>
            <w:r>
              <w:rPr>
                <w:rFonts w:ascii="Arial" w:hAnsi="Arial" w:eastAsia="Arial" w:cs="Arial"/>
                <w:b/>
                <w:bCs/>
                <w:color w:val="auto"/>
                <w:sz w:val="20"/>
                <w:szCs w:val="20"/>
              </w:rPr>
              <w:t>Challenge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31BA5D6">
            <w:pPr>
              <w:rPr>
                <w:color w:val="auto"/>
              </w:rPr>
            </w:pPr>
            <w:r>
              <w:rPr>
                <w:rFonts w:ascii="Arial" w:hAnsi="Arial" w:eastAsia="Arial" w:cs="Arial"/>
                <w:color w:val="auto"/>
                <w:sz w:val="20"/>
                <w:szCs w:val="20"/>
              </w:rPr>
              <w:t>Open Innovation — Legal &amp; Compliance Domain</w:t>
            </w:r>
          </w:p>
        </w:tc>
      </w:tr>
      <w:tr w14:paraId="72A371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1583B345">
            <w:pPr>
              <w:rPr>
                <w:rFonts w:hint="default"/>
                <w:b/>
                <w:bCs/>
                <w:color w:val="auto"/>
                <w:lang w:val="en-US"/>
              </w:rPr>
            </w:pPr>
            <w:r>
              <w:rPr>
                <w:rFonts w:hint="default" w:cs="Arial"/>
                <w:b/>
                <w:bCs/>
                <w:color w:val="auto"/>
                <w:sz w:val="20"/>
                <w:szCs w:val="20"/>
                <w:lang w:val="en-US"/>
              </w:rPr>
              <w:t>Team Name</w:t>
            </w:r>
          </w:p>
        </w:tc>
        <w:tc>
          <w:tcPr>
            <w:tcW w:w="6560"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50" w:type="dxa"/>
              <w:bottom w:w="100" w:type="dxa"/>
              <w:right w:w="150" w:type="dxa"/>
            </w:tcMar>
          </w:tcPr>
          <w:p w14:paraId="395F1F62">
            <w:pPr>
              <w:rPr>
                <w:rFonts w:hint="default"/>
                <w:color w:val="auto"/>
                <w:lang w:val="en-US"/>
              </w:rPr>
            </w:pPr>
            <w:r>
              <w:rPr>
                <w:rFonts w:hint="default"/>
                <w:color w:val="auto"/>
                <w:lang w:val="en-US"/>
              </w:rPr>
              <w:t>NovaX</w:t>
            </w:r>
          </w:p>
        </w:tc>
      </w:tr>
      <w:tr w14:paraId="61EC8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3FF"/>
            <w:tcMar>
              <w:top w:w="100" w:type="dxa"/>
              <w:left w:w="150" w:type="dxa"/>
              <w:bottom w:w="100" w:type="dxa"/>
              <w:right w:w="150" w:type="dxa"/>
            </w:tcMar>
          </w:tcPr>
          <w:p w14:paraId="74C68A7A">
            <w:pPr>
              <w:rPr>
                <w:rFonts w:hint="default"/>
                <w:b/>
                <w:bCs/>
                <w:color w:val="auto"/>
                <w:lang w:val="en-US"/>
              </w:rPr>
            </w:pPr>
            <w:r>
              <w:rPr>
                <w:rFonts w:hint="default" w:cs="Arial"/>
                <w:b/>
                <w:bCs/>
                <w:color w:val="auto"/>
                <w:sz w:val="20"/>
                <w:szCs w:val="20"/>
                <w:lang w:val="en-US"/>
              </w:rPr>
              <w:t>Team Memers</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C200EB4">
            <w:pPr>
              <w:rPr>
                <w:rFonts w:hint="default"/>
                <w:color w:val="auto"/>
                <w:lang w:val="en-US"/>
              </w:rPr>
            </w:pPr>
            <w:r>
              <w:rPr>
                <w:rFonts w:hint="default"/>
                <w:color w:val="auto"/>
                <w:lang w:val="en-US"/>
              </w:rPr>
              <w:t>Halona Ann Siju &amp; Mannitha J</w:t>
            </w:r>
          </w:p>
        </w:tc>
      </w:tr>
    </w:tbl>
    <w:p w14:paraId="014A5791">
      <w:pPr>
        <w:spacing w:before="60" w:after="60"/>
        <w:rPr>
          <w:color w:val="auto"/>
        </w:rPr>
      </w:pPr>
    </w:p>
    <w:p w14:paraId="1AA3F36D">
      <w:pPr>
        <w:spacing w:before="200" w:after="0"/>
        <w:rPr>
          <w:color w:val="auto"/>
        </w:rPr>
      </w:pPr>
      <w:r>
        <w:rPr>
          <w:color w:val="auto"/>
        </w:rPr>
        <w:br w:type="page"/>
      </w:r>
      <w:bookmarkStart w:id="0" w:name="_GoBack"/>
      <w:bookmarkEnd w:id="0"/>
    </w:p>
    <w:p w14:paraId="2C8DB45D">
      <w:pPr>
        <w:pStyle w:val="2"/>
        <w:spacing w:before="400" w:after="200"/>
        <w:jc w:val="both"/>
        <w:rPr>
          <w:color w:val="auto"/>
        </w:rPr>
      </w:pPr>
      <w:r>
        <w:rPr>
          <w:rFonts w:ascii="Arial" w:hAnsi="Arial" w:eastAsia="Arial" w:cs="Arial"/>
          <w:b/>
          <w:bCs/>
          <w:color w:val="auto"/>
          <w:sz w:val="34"/>
          <w:szCs w:val="34"/>
        </w:rPr>
        <w:t>1. Executive Summary</w:t>
      </w:r>
    </w:p>
    <w:p w14:paraId="549D4BC9">
      <w:pPr>
        <w:spacing w:before="80" w:after="100"/>
        <w:jc w:val="both"/>
        <w:rPr>
          <w:color w:val="auto"/>
        </w:rPr>
      </w:pPr>
      <w:r>
        <w:rPr>
          <w:rFonts w:ascii="Arial" w:hAnsi="Arial" w:eastAsia="Arial" w:cs="Arial"/>
          <w:color w:val="auto"/>
          <w:sz w:val="22"/>
          <w:szCs w:val="22"/>
        </w:rPr>
        <w:t>LegalSaathi is a production-grade AI agent designed to provide accessible, accurate, and safe legal guidance to rural Indians in their native language. Built on Mastra for agent orchestration, Qdrant for semantic legal document retrieval, and Enkrypt AI for hallucination detection and safety guardrails, LegalSaathi enables rural citizens to understand their legal rights, check government scheme eligibility, and generate legal documents — all through a conversational interface available on Web, WhatsApp, and voice in 10+ Indian languages.</w:t>
      </w:r>
    </w:p>
    <w:p w14:paraId="51374101">
      <w:pPr>
        <w:spacing w:before="80" w:after="100"/>
        <w:jc w:val="both"/>
        <w:rPr>
          <w:rFonts w:ascii="Arial" w:hAnsi="Arial" w:eastAsia="Arial" w:cs="Arial"/>
          <w:color w:val="auto"/>
          <w:sz w:val="22"/>
          <w:szCs w:val="22"/>
        </w:rPr>
      </w:pPr>
      <w:r>
        <w:rPr>
          <w:rFonts w:ascii="Arial" w:hAnsi="Arial" w:eastAsia="Arial" w:cs="Arial"/>
          <w:color w:val="auto"/>
          <w:sz w:val="22"/>
          <w:szCs w:val="22"/>
        </w:rPr>
        <w:t>The product addresses a silent crisis: over 330 million rural Indians have no affordable access to legal help. LegalSaathi bridges this gap by putting a full legal team in every rural citizen's pocket — in their language, at zero cost, available 24/7.</w:t>
      </w:r>
    </w:p>
    <w:p w14:paraId="590E3122">
      <w:pPr>
        <w:spacing w:before="80" w:after="100"/>
        <w:jc w:val="both"/>
        <w:rPr>
          <w:rFonts w:ascii="Arial" w:hAnsi="Arial" w:eastAsia="Arial" w:cs="Arial"/>
          <w:color w:val="auto"/>
          <w:sz w:val="22"/>
          <w:szCs w:val="22"/>
        </w:rPr>
      </w:pPr>
    </w:p>
    <w:p w14:paraId="6EB9C2B8">
      <w:pPr>
        <w:pStyle w:val="2"/>
        <w:numPr>
          <w:ilvl w:val="0"/>
          <w:numId w:val="1"/>
        </w:numPr>
        <w:spacing w:before="400" w:after="200"/>
        <w:jc w:val="both"/>
        <w:rPr>
          <w:rFonts w:ascii="Arial" w:hAnsi="Arial" w:eastAsia="Arial" w:cs="Arial"/>
          <w:b/>
          <w:bCs/>
          <w:color w:val="auto"/>
          <w:sz w:val="34"/>
          <w:szCs w:val="34"/>
        </w:rPr>
      </w:pPr>
      <w:r>
        <w:rPr>
          <w:rFonts w:ascii="Arial" w:hAnsi="Arial" w:eastAsia="Arial" w:cs="Arial"/>
          <w:b/>
          <w:bCs/>
          <w:color w:val="auto"/>
          <w:sz w:val="34"/>
          <w:szCs w:val="34"/>
        </w:rPr>
        <w:t>Problem Statement</w:t>
      </w:r>
    </w:p>
    <w:p w14:paraId="6A5A491B">
      <w:pPr>
        <w:pStyle w:val="2"/>
        <w:numPr>
          <w:numId w:val="0"/>
        </w:numPr>
        <w:spacing w:before="400" w:after="200"/>
        <w:jc w:val="both"/>
        <w:rPr>
          <w:color w:val="auto"/>
        </w:rPr>
      </w:pPr>
      <w:r>
        <w:rPr>
          <w:rFonts w:ascii="Arial" w:hAnsi="Arial" w:eastAsia="Arial" w:cs="Arial"/>
          <w:b/>
          <w:bCs/>
          <w:color w:val="auto"/>
          <w:sz w:val="26"/>
          <w:szCs w:val="26"/>
        </w:rPr>
        <w:t>2.1 The Crisis</w:t>
      </w:r>
    </w:p>
    <w:p w14:paraId="7BC5CD78">
      <w:pPr>
        <w:spacing w:before="80" w:after="100"/>
        <w:jc w:val="both"/>
        <w:rPr>
          <w:color w:val="auto"/>
        </w:rPr>
      </w:pPr>
      <w:r>
        <w:rPr>
          <w:rFonts w:ascii="Arial" w:hAnsi="Arial" w:eastAsia="Arial" w:cs="Arial"/>
          <w:color w:val="auto"/>
          <w:sz w:val="22"/>
          <w:szCs w:val="22"/>
        </w:rPr>
        <w:t>India's rural population faces a systematic denial of legal access. The consequences are severe and widespread:</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6860"/>
      </w:tblGrid>
      <w:tr w14:paraId="2BAD2F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7C33C9A">
            <w:pPr>
              <w:jc w:val="both"/>
              <w:rPr>
                <w:color w:val="auto"/>
              </w:rPr>
            </w:pPr>
            <w:r>
              <w:rPr>
                <w:rFonts w:ascii="Arial" w:hAnsi="Arial" w:eastAsia="Arial" w:cs="Arial"/>
                <w:b/>
                <w:bCs/>
                <w:color w:val="auto"/>
                <w:sz w:val="20"/>
                <w:szCs w:val="20"/>
              </w:rPr>
              <w:t>Affected Population</w:t>
            </w:r>
          </w:p>
        </w:tc>
        <w:tc>
          <w:tcPr>
            <w:tcW w:w="6860"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50" w:type="dxa"/>
              <w:bottom w:w="100" w:type="dxa"/>
              <w:right w:w="150" w:type="dxa"/>
            </w:tcMar>
          </w:tcPr>
          <w:p w14:paraId="4261380D">
            <w:pPr>
              <w:jc w:val="both"/>
              <w:rPr>
                <w:color w:val="auto"/>
              </w:rPr>
            </w:pPr>
            <w:r>
              <w:rPr>
                <w:rFonts w:ascii="Arial" w:hAnsi="Arial" w:eastAsia="Arial" w:cs="Arial"/>
                <w:color w:val="auto"/>
                <w:sz w:val="20"/>
                <w:szCs w:val="20"/>
              </w:rPr>
              <w:t>330M+ rural Indians with no access to affordable legal help</w:t>
            </w:r>
          </w:p>
        </w:tc>
      </w:tr>
      <w:tr w14:paraId="2F2E6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100" w:type="dxa"/>
              <w:left w:w="150" w:type="dxa"/>
              <w:bottom w:w="100" w:type="dxa"/>
              <w:right w:w="150" w:type="dxa"/>
            </w:tcMar>
          </w:tcPr>
          <w:p w14:paraId="665A81C9">
            <w:pPr>
              <w:jc w:val="both"/>
              <w:rPr>
                <w:color w:val="auto"/>
              </w:rPr>
            </w:pPr>
            <w:r>
              <w:rPr>
                <w:rFonts w:ascii="Arial" w:hAnsi="Arial" w:eastAsia="Arial" w:cs="Arial"/>
                <w:b/>
                <w:bCs/>
                <w:color w:val="auto"/>
                <w:sz w:val="20"/>
                <w:szCs w:val="20"/>
              </w:rPr>
              <w:t>Cost Barrier</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36965CB">
            <w:pPr>
              <w:jc w:val="both"/>
              <w:rPr>
                <w:color w:val="auto"/>
              </w:rPr>
            </w:pPr>
            <w:r>
              <w:rPr>
                <w:rFonts w:ascii="Arial" w:hAnsi="Arial" w:eastAsia="Arial" w:cs="Arial"/>
                <w:color w:val="auto"/>
                <w:sz w:val="20"/>
                <w:szCs w:val="20"/>
              </w:rPr>
              <w:t>A single legal consultation costs Rs. 500–2,000 — unaffordable for daily wage earners earning Rs. 300–500/day</w:t>
            </w:r>
          </w:p>
        </w:tc>
      </w:tr>
      <w:tr w14:paraId="7A5C2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1AA622B6">
            <w:pPr>
              <w:jc w:val="both"/>
              <w:rPr>
                <w:color w:val="auto"/>
              </w:rPr>
            </w:pPr>
            <w:r>
              <w:rPr>
                <w:rFonts w:ascii="Arial" w:hAnsi="Arial" w:eastAsia="Arial" w:cs="Arial"/>
                <w:b/>
                <w:bCs/>
                <w:color w:val="auto"/>
                <w:sz w:val="20"/>
                <w:szCs w:val="20"/>
              </w:rPr>
              <w:t>Language Barrier</w:t>
            </w:r>
          </w:p>
        </w:tc>
        <w:tc>
          <w:tcPr>
            <w:tcW w:w="6860"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50" w:type="dxa"/>
              <w:bottom w:w="100" w:type="dxa"/>
              <w:right w:w="150" w:type="dxa"/>
            </w:tcMar>
          </w:tcPr>
          <w:p w14:paraId="1A6A0BC2">
            <w:pPr>
              <w:jc w:val="both"/>
              <w:rPr>
                <w:color w:val="auto"/>
              </w:rPr>
            </w:pPr>
            <w:r>
              <w:rPr>
                <w:rFonts w:ascii="Arial" w:hAnsi="Arial" w:eastAsia="Arial" w:cs="Arial"/>
                <w:color w:val="auto"/>
                <w:sz w:val="20"/>
                <w:szCs w:val="20"/>
              </w:rPr>
              <w:t>Legal information exists only in English or complex Hindi legalese — inaccessible to 70%+ of rural citizens</w:t>
            </w:r>
          </w:p>
        </w:tc>
      </w:tr>
      <w:tr w14:paraId="33EC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5F3FF"/>
            <w:tcMar>
              <w:top w:w="100" w:type="dxa"/>
              <w:left w:w="150" w:type="dxa"/>
              <w:bottom w:w="100" w:type="dxa"/>
              <w:right w:w="150" w:type="dxa"/>
            </w:tcMar>
          </w:tcPr>
          <w:p w14:paraId="33DF288D">
            <w:pPr>
              <w:jc w:val="both"/>
              <w:rPr>
                <w:color w:val="auto"/>
              </w:rPr>
            </w:pPr>
            <w:r>
              <w:rPr>
                <w:rFonts w:ascii="Arial" w:hAnsi="Arial" w:eastAsia="Arial" w:cs="Arial"/>
                <w:b/>
                <w:bCs/>
                <w:color w:val="auto"/>
                <w:sz w:val="20"/>
                <w:szCs w:val="20"/>
              </w:rPr>
              <w:t>Awareness Gap</w:t>
            </w:r>
          </w:p>
        </w:tc>
        <w:tc>
          <w:tcPr>
            <w:tcW w:w="68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425EED5">
            <w:pPr>
              <w:jc w:val="both"/>
              <w:rPr>
                <w:color w:val="auto"/>
              </w:rPr>
            </w:pPr>
            <w:r>
              <w:rPr>
                <w:rFonts w:ascii="Arial" w:hAnsi="Arial" w:eastAsia="Arial" w:cs="Arial"/>
                <w:color w:val="auto"/>
                <w:sz w:val="20"/>
                <w:szCs w:val="20"/>
              </w:rPr>
              <w:t>Citizens unaware of rights under PM-KISAN, MGNREGA, RTI Act, land acquisition laws</w:t>
            </w:r>
          </w:p>
        </w:tc>
      </w:tr>
      <w:tr w14:paraId="19F8B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060BB97E">
            <w:pPr>
              <w:jc w:val="both"/>
              <w:rPr>
                <w:color w:val="auto"/>
              </w:rPr>
            </w:pPr>
            <w:r>
              <w:rPr>
                <w:rFonts w:ascii="Arial" w:hAnsi="Arial" w:eastAsia="Arial" w:cs="Arial"/>
                <w:b/>
                <w:bCs/>
                <w:color w:val="auto"/>
                <w:sz w:val="20"/>
                <w:szCs w:val="20"/>
              </w:rPr>
              <w:t>Consequence</w:t>
            </w:r>
          </w:p>
        </w:tc>
        <w:tc>
          <w:tcPr>
            <w:tcW w:w="6860"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50" w:type="dxa"/>
              <w:bottom w:w="100" w:type="dxa"/>
              <w:right w:w="150" w:type="dxa"/>
            </w:tcMar>
          </w:tcPr>
          <w:p w14:paraId="3AD98CFB">
            <w:pPr>
              <w:jc w:val="both"/>
              <w:rPr>
                <w:color w:val="auto"/>
              </w:rPr>
            </w:pPr>
            <w:r>
              <w:rPr>
                <w:rFonts w:ascii="Arial" w:hAnsi="Arial" w:eastAsia="Arial" w:cs="Arial"/>
                <w:color w:val="auto"/>
                <w:sz w:val="20"/>
                <w:szCs w:val="20"/>
              </w:rPr>
              <w:t>Land loss, wrongful imprisonment, denial of scheme benefits, inability to file RTI applications</w:t>
            </w:r>
          </w:p>
        </w:tc>
      </w:tr>
    </w:tbl>
    <w:p w14:paraId="55071A2B">
      <w:pPr>
        <w:pStyle w:val="3"/>
        <w:spacing w:before="280" w:after="140"/>
        <w:jc w:val="both"/>
        <w:rPr>
          <w:color w:val="auto"/>
        </w:rPr>
      </w:pPr>
      <w:r>
        <w:rPr>
          <w:rFonts w:ascii="Arial" w:hAnsi="Arial" w:eastAsia="Arial" w:cs="Arial"/>
          <w:b/>
          <w:bCs/>
          <w:color w:val="auto"/>
          <w:sz w:val="26"/>
          <w:szCs w:val="26"/>
        </w:rPr>
        <w:t>2.2 Root Causes</w:t>
      </w:r>
    </w:p>
    <w:p w14:paraId="48D9EE08">
      <w:pPr>
        <w:pStyle w:val="16"/>
        <w:numPr>
          <w:ilvl w:val="0"/>
          <w:numId w:val="2"/>
        </w:numPr>
        <w:spacing w:before="60" w:after="60"/>
        <w:jc w:val="both"/>
        <w:rPr>
          <w:color w:val="auto"/>
        </w:rPr>
      </w:pPr>
      <w:r>
        <w:rPr>
          <w:rFonts w:ascii="Arial" w:hAnsi="Arial" w:eastAsia="Arial" w:cs="Arial"/>
          <w:b w:val="0"/>
          <w:bCs w:val="0"/>
          <w:color w:val="auto"/>
          <w:sz w:val="22"/>
          <w:szCs w:val="22"/>
        </w:rPr>
        <w:t>No vernacular legal content — all authoritative legal sources are in English</w:t>
      </w:r>
    </w:p>
    <w:p w14:paraId="7B6DBAB6">
      <w:pPr>
        <w:pStyle w:val="16"/>
        <w:numPr>
          <w:ilvl w:val="0"/>
          <w:numId w:val="2"/>
        </w:numPr>
        <w:spacing w:before="60" w:after="60"/>
        <w:jc w:val="both"/>
        <w:rPr>
          <w:color w:val="auto"/>
        </w:rPr>
      </w:pPr>
      <w:r>
        <w:rPr>
          <w:rFonts w:ascii="Arial" w:hAnsi="Arial" w:eastAsia="Arial" w:cs="Arial"/>
          <w:b w:val="0"/>
          <w:bCs w:val="0"/>
          <w:color w:val="auto"/>
          <w:sz w:val="22"/>
          <w:szCs w:val="22"/>
        </w:rPr>
        <w:t>Geographic barrier — lawyers are concentrated in urban district headquarters</w:t>
      </w:r>
    </w:p>
    <w:p w14:paraId="7E3BCA0C">
      <w:pPr>
        <w:pStyle w:val="16"/>
        <w:numPr>
          <w:ilvl w:val="0"/>
          <w:numId w:val="2"/>
        </w:numPr>
        <w:spacing w:before="60" w:after="60"/>
        <w:jc w:val="both"/>
        <w:rPr>
          <w:color w:val="auto"/>
        </w:rPr>
      </w:pPr>
      <w:r>
        <w:rPr>
          <w:rFonts w:ascii="Arial" w:hAnsi="Arial" w:eastAsia="Arial" w:cs="Arial"/>
          <w:b w:val="0"/>
          <w:bCs w:val="0"/>
          <w:color w:val="auto"/>
          <w:sz w:val="22"/>
          <w:szCs w:val="22"/>
        </w:rPr>
        <w:t>Economic barrier — legal fees exceed daily income for most rural households</w:t>
      </w:r>
    </w:p>
    <w:p w14:paraId="7EFE1975">
      <w:pPr>
        <w:pStyle w:val="16"/>
        <w:numPr>
          <w:ilvl w:val="0"/>
          <w:numId w:val="2"/>
        </w:numPr>
        <w:spacing w:before="60" w:after="60"/>
        <w:jc w:val="both"/>
        <w:rPr>
          <w:color w:val="auto"/>
        </w:rPr>
      </w:pPr>
      <w:r>
        <w:rPr>
          <w:rFonts w:ascii="Arial" w:hAnsi="Arial" w:eastAsia="Arial" w:cs="Arial"/>
          <w:b w:val="0"/>
          <w:bCs w:val="0"/>
          <w:color w:val="auto"/>
          <w:sz w:val="22"/>
          <w:szCs w:val="22"/>
        </w:rPr>
        <w:t>Digital literacy gap — existing legal tech platforms require English proficiency</w:t>
      </w:r>
    </w:p>
    <w:p w14:paraId="3E876D4F">
      <w:pPr>
        <w:pStyle w:val="16"/>
        <w:numPr>
          <w:ilvl w:val="0"/>
          <w:numId w:val="2"/>
        </w:numPr>
        <w:spacing w:before="60" w:after="60"/>
        <w:jc w:val="both"/>
        <w:rPr>
          <w:color w:val="auto"/>
        </w:rPr>
      </w:pPr>
      <w:r>
        <w:rPr>
          <w:rFonts w:ascii="Arial" w:hAnsi="Arial" w:eastAsia="Arial" w:cs="Arial"/>
          <w:b w:val="0"/>
          <w:bCs w:val="0"/>
          <w:color w:val="auto"/>
          <w:sz w:val="22"/>
          <w:szCs w:val="22"/>
        </w:rPr>
        <w:t>Trust gap — rural citizens distrust formal legal systems due to past exploitation</w:t>
      </w:r>
    </w:p>
    <w:p w14:paraId="55093E58">
      <w:pPr>
        <w:pStyle w:val="3"/>
        <w:spacing w:before="280" w:after="140"/>
        <w:jc w:val="both"/>
        <w:rPr>
          <w:color w:val="auto"/>
        </w:rPr>
      </w:pPr>
      <w:r>
        <w:rPr>
          <w:rFonts w:ascii="Arial" w:hAnsi="Arial" w:eastAsia="Arial" w:cs="Arial"/>
          <w:b/>
          <w:bCs/>
          <w:color w:val="auto"/>
          <w:sz w:val="26"/>
          <w:szCs w:val="26"/>
        </w:rPr>
        <w:t>2.3 Why Existing Solutions Fail</w:t>
      </w:r>
    </w:p>
    <w:p w14:paraId="4F7B2496">
      <w:pPr>
        <w:spacing w:before="80" w:after="100"/>
        <w:jc w:val="both"/>
        <w:rPr>
          <w:color w:val="auto"/>
        </w:rPr>
      </w:pPr>
      <w:r>
        <w:rPr>
          <w:rFonts w:ascii="Arial" w:hAnsi="Arial" w:eastAsia="Arial" w:cs="Arial"/>
          <w:color w:val="auto"/>
          <w:sz w:val="22"/>
          <w:szCs w:val="22"/>
        </w:rPr>
        <w:t>Current alternatives — Google Search, legal helplines, government portals — fail because they require English literacy, do not understand natural language queries in regional languages, provide generic information rather than personalized guidance, and lack safety mechanisms to prevent dangerous legal misinformation.</w:t>
      </w:r>
    </w:p>
    <w:p w14:paraId="2A8D6527">
      <w:pPr>
        <w:pStyle w:val="2"/>
        <w:spacing w:before="400" w:after="200"/>
        <w:jc w:val="both"/>
        <w:rPr>
          <w:color w:val="auto"/>
        </w:rPr>
      </w:pPr>
      <w:r>
        <w:rPr>
          <w:rFonts w:ascii="Arial" w:hAnsi="Arial" w:eastAsia="Arial" w:cs="Arial"/>
          <w:b/>
          <w:bCs/>
          <w:color w:val="auto"/>
          <w:sz w:val="34"/>
          <w:szCs w:val="34"/>
        </w:rPr>
        <w:t>3. Goals and Success Metrics</w:t>
      </w:r>
    </w:p>
    <w:p w14:paraId="24CB2D23">
      <w:pPr>
        <w:pStyle w:val="3"/>
        <w:spacing w:before="280" w:after="140"/>
        <w:jc w:val="both"/>
        <w:rPr>
          <w:color w:val="auto"/>
        </w:rPr>
      </w:pPr>
      <w:r>
        <w:rPr>
          <w:rFonts w:ascii="Arial" w:hAnsi="Arial" w:eastAsia="Arial" w:cs="Arial"/>
          <w:b/>
          <w:bCs/>
          <w:color w:val="auto"/>
          <w:sz w:val="26"/>
          <w:szCs w:val="26"/>
        </w:rPr>
        <w:t>3.1 Primary Goal</w:t>
      </w:r>
    </w:p>
    <w:p w14:paraId="791AA1AB">
      <w:pPr>
        <w:spacing w:before="80" w:after="100"/>
        <w:jc w:val="both"/>
        <w:rPr>
          <w:color w:val="auto"/>
        </w:rPr>
      </w:pPr>
      <w:r>
        <w:rPr>
          <w:rFonts w:ascii="Arial" w:hAnsi="Arial" w:eastAsia="Arial" w:cs="Arial"/>
          <w:color w:val="auto"/>
          <w:sz w:val="22"/>
          <w:szCs w:val="22"/>
        </w:rPr>
        <w:t>Provide accurate, safe, cited legal guidance to rural Indians in 10+ Indian languages through an AI agent that genuinely understands their situation and gives them actionable next steps.</w:t>
      </w:r>
    </w:p>
    <w:p w14:paraId="28D730B9">
      <w:pPr>
        <w:pStyle w:val="3"/>
        <w:spacing w:before="280" w:after="140"/>
        <w:jc w:val="both"/>
        <w:rPr>
          <w:color w:val="auto"/>
        </w:rPr>
      </w:pPr>
      <w:r>
        <w:rPr>
          <w:rFonts w:ascii="Arial" w:hAnsi="Arial" w:eastAsia="Arial" w:cs="Arial"/>
          <w:b/>
          <w:bCs/>
          <w:color w:val="auto"/>
          <w:sz w:val="26"/>
          <w:szCs w:val="26"/>
        </w:rPr>
        <w:t>3.2 Success Metrics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2000"/>
        <w:gridCol w:w="4360"/>
      </w:tblGrid>
      <w:tr w14:paraId="43BB6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000000" w:sz="12" w:space="0"/>
              <w:left w:val="nil"/>
              <w:bottom w:val="single" w:color="000000" w:sz="4" w:space="0"/>
              <w:right w:val="nil"/>
              <w:tl2br w:val="nil"/>
            </w:tcBorders>
            <w:shd w:val="clear" w:color="auto" w:fill="FFFFFF"/>
            <w:tcMar>
              <w:top w:w="100" w:type="dxa"/>
              <w:left w:w="150" w:type="dxa"/>
              <w:bottom w:w="100" w:type="dxa"/>
              <w:right w:w="150" w:type="dxa"/>
            </w:tcMar>
          </w:tcPr>
          <w:p w14:paraId="7435606A">
            <w:pPr>
              <w:jc w:val="both"/>
              <w:rPr>
                <w:b/>
                <w:bCs w:val="0"/>
                <w:color w:val="000000"/>
              </w:rPr>
            </w:pPr>
            <w:r>
              <w:rPr>
                <w:rFonts w:ascii="Arial" w:hAnsi="Arial" w:eastAsia="Arial" w:cs="Arial"/>
                <w:b/>
                <w:bCs w:val="0"/>
                <w:color w:val="000000"/>
                <w:sz w:val="20"/>
                <w:szCs w:val="20"/>
              </w:rPr>
              <w:t>Metric</w:t>
            </w:r>
          </w:p>
        </w:tc>
        <w:tc>
          <w:tcPr>
            <w:tcW w:w="2000" w:type="dxa"/>
            <w:tcBorders>
              <w:top w:val="single" w:color="000000" w:sz="12" w:space="0"/>
              <w:left w:val="nil"/>
              <w:bottom w:val="single" w:color="000000" w:sz="4" w:space="0"/>
              <w:right w:val="nil"/>
            </w:tcBorders>
            <w:shd w:val="clear" w:color="auto" w:fill="FFFFFF"/>
            <w:tcMar>
              <w:top w:w="100" w:type="dxa"/>
              <w:left w:w="150" w:type="dxa"/>
              <w:bottom w:w="100" w:type="dxa"/>
              <w:right w:w="150" w:type="dxa"/>
            </w:tcMar>
          </w:tcPr>
          <w:p w14:paraId="58495EF5">
            <w:pPr>
              <w:jc w:val="both"/>
              <w:rPr>
                <w:b/>
                <w:bCs w:val="0"/>
                <w:color w:val="000000"/>
              </w:rPr>
            </w:pPr>
            <w:r>
              <w:rPr>
                <w:rFonts w:ascii="Arial" w:hAnsi="Arial" w:eastAsia="Arial" w:cs="Arial"/>
                <w:b/>
                <w:bCs w:val="0"/>
                <w:color w:val="000000"/>
                <w:sz w:val="20"/>
                <w:szCs w:val="20"/>
              </w:rPr>
              <w:t>Target</w:t>
            </w:r>
          </w:p>
        </w:tc>
        <w:tc>
          <w:tcPr>
            <w:tcW w:w="4360" w:type="dxa"/>
            <w:tcBorders>
              <w:top w:val="single" w:color="000000" w:sz="12" w:space="0"/>
              <w:left w:val="nil"/>
              <w:bottom w:val="single" w:color="000000" w:sz="4" w:space="0"/>
              <w:right w:val="nil"/>
            </w:tcBorders>
            <w:shd w:val="clear" w:color="auto" w:fill="FFFFFF"/>
            <w:tcMar>
              <w:top w:w="100" w:type="dxa"/>
              <w:left w:w="150" w:type="dxa"/>
              <w:bottom w:w="100" w:type="dxa"/>
              <w:right w:w="150" w:type="dxa"/>
            </w:tcMar>
          </w:tcPr>
          <w:p w14:paraId="4A8B09A8">
            <w:pPr>
              <w:jc w:val="both"/>
              <w:rPr>
                <w:b/>
                <w:bCs w:val="0"/>
                <w:color w:val="000000"/>
              </w:rPr>
            </w:pPr>
            <w:r>
              <w:rPr>
                <w:rFonts w:ascii="Arial" w:hAnsi="Arial" w:eastAsia="Arial" w:cs="Arial"/>
                <w:b/>
                <w:bCs w:val="0"/>
                <w:color w:val="000000"/>
                <w:sz w:val="20"/>
                <w:szCs w:val="20"/>
              </w:rPr>
              <w:t>Measurement Method</w:t>
            </w:r>
          </w:p>
        </w:tc>
      </w:tr>
      <w:tr w14:paraId="61CB6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293AC5C">
            <w:pPr>
              <w:jc w:val="both"/>
              <w:rPr>
                <w:color w:val="auto"/>
              </w:rPr>
            </w:pPr>
            <w:r>
              <w:rPr>
                <w:rFonts w:ascii="Arial" w:hAnsi="Arial" w:eastAsia="Arial" w:cs="Arial"/>
                <w:b/>
                <w:bCs/>
                <w:color w:val="auto"/>
                <w:sz w:val="20"/>
                <w:szCs w:val="20"/>
              </w:rPr>
              <w:t>Query Resolution Rate</w:t>
            </w:r>
          </w:p>
        </w:tc>
        <w:tc>
          <w:tcPr>
            <w:tcW w:w="20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6D3A8D2">
            <w:pPr>
              <w:jc w:val="both"/>
              <w:rPr>
                <w:color w:val="auto"/>
              </w:rPr>
            </w:pPr>
            <w:r>
              <w:rPr>
                <w:rFonts w:ascii="Arial" w:hAnsi="Arial" w:eastAsia="Arial" w:cs="Arial"/>
                <w:b w:val="0"/>
                <w:bCs w:val="0"/>
                <w:color w:val="auto"/>
                <w:sz w:val="20"/>
                <w:szCs w:val="20"/>
              </w:rPr>
              <w:t>&gt;85%</w:t>
            </w:r>
          </w:p>
        </w:tc>
        <w:tc>
          <w:tcPr>
            <w:tcW w:w="4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C568B29">
            <w:pPr>
              <w:jc w:val="both"/>
              <w:rPr>
                <w:color w:val="auto"/>
              </w:rPr>
            </w:pPr>
            <w:r>
              <w:rPr>
                <w:rFonts w:ascii="Arial" w:hAnsi="Arial" w:eastAsia="Arial" w:cs="Arial"/>
                <w:b w:val="0"/>
                <w:bCs w:val="0"/>
                <w:color w:val="auto"/>
                <w:sz w:val="20"/>
                <w:szCs w:val="20"/>
              </w:rPr>
              <w:t>% of queries answered without DLSA redirect</w:t>
            </w:r>
          </w:p>
        </w:tc>
      </w:tr>
      <w:tr w14:paraId="75E5D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4EF84AF">
            <w:pPr>
              <w:jc w:val="both"/>
              <w:rPr>
                <w:color w:val="auto"/>
              </w:rPr>
            </w:pPr>
            <w:r>
              <w:rPr>
                <w:rFonts w:ascii="Arial" w:hAnsi="Arial" w:eastAsia="Arial" w:cs="Arial"/>
                <w:b/>
                <w:bCs/>
                <w:color w:val="auto"/>
                <w:sz w:val="20"/>
                <w:szCs w:val="20"/>
              </w:rPr>
              <w:t>Hallucination Rate</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ACEC950">
            <w:pPr>
              <w:jc w:val="both"/>
              <w:rPr>
                <w:color w:val="auto"/>
              </w:rPr>
            </w:pPr>
            <w:r>
              <w:rPr>
                <w:rFonts w:ascii="Arial" w:hAnsi="Arial" w:eastAsia="Arial" w:cs="Arial"/>
                <w:b w:val="0"/>
                <w:bCs w:val="0"/>
                <w:color w:val="auto"/>
                <w:sz w:val="20"/>
                <w:szCs w:val="20"/>
              </w:rPr>
              <w:t>&lt;5%</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1393401">
            <w:pPr>
              <w:jc w:val="both"/>
              <w:rPr>
                <w:color w:val="auto"/>
              </w:rPr>
            </w:pPr>
            <w:r>
              <w:rPr>
                <w:rFonts w:ascii="Arial" w:hAnsi="Arial" w:eastAsia="Arial" w:cs="Arial"/>
                <w:b w:val="0"/>
                <w:bCs w:val="0"/>
                <w:color w:val="auto"/>
                <w:sz w:val="20"/>
                <w:szCs w:val="20"/>
              </w:rPr>
              <w:t>Enkrypt AI confidence score logs</w:t>
            </w:r>
          </w:p>
        </w:tc>
      </w:tr>
      <w:tr w14:paraId="6F1E9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03B71824">
            <w:pPr>
              <w:jc w:val="both"/>
              <w:rPr>
                <w:color w:val="auto"/>
              </w:rPr>
            </w:pPr>
            <w:r>
              <w:rPr>
                <w:rFonts w:ascii="Arial" w:hAnsi="Arial" w:eastAsia="Arial" w:cs="Arial"/>
                <w:b/>
                <w:bCs/>
                <w:color w:val="auto"/>
                <w:sz w:val="20"/>
                <w:szCs w:val="20"/>
              </w:rPr>
              <w:t>Response Time</w:t>
            </w:r>
          </w:p>
        </w:tc>
        <w:tc>
          <w:tcPr>
            <w:tcW w:w="20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34A7AFA7">
            <w:pPr>
              <w:jc w:val="both"/>
              <w:rPr>
                <w:color w:val="auto"/>
              </w:rPr>
            </w:pPr>
            <w:r>
              <w:rPr>
                <w:rFonts w:ascii="Arial" w:hAnsi="Arial" w:eastAsia="Arial" w:cs="Arial"/>
                <w:b w:val="0"/>
                <w:bCs w:val="0"/>
                <w:color w:val="auto"/>
                <w:sz w:val="20"/>
                <w:szCs w:val="20"/>
              </w:rPr>
              <w:t>&lt;3 seconds</w:t>
            </w:r>
          </w:p>
        </w:tc>
        <w:tc>
          <w:tcPr>
            <w:tcW w:w="4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7A7E03B">
            <w:pPr>
              <w:jc w:val="both"/>
              <w:rPr>
                <w:color w:val="auto"/>
              </w:rPr>
            </w:pPr>
            <w:r>
              <w:rPr>
                <w:rFonts w:ascii="Arial" w:hAnsi="Arial" w:eastAsia="Arial" w:cs="Arial"/>
                <w:b w:val="0"/>
                <w:bCs w:val="0"/>
                <w:color w:val="auto"/>
                <w:sz w:val="20"/>
                <w:szCs w:val="20"/>
              </w:rPr>
              <w:t>End-to-end API latency monitoring</w:t>
            </w:r>
          </w:p>
        </w:tc>
      </w:tr>
      <w:tr w14:paraId="4B7CE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9D68954">
            <w:pPr>
              <w:jc w:val="both"/>
              <w:rPr>
                <w:color w:val="auto"/>
              </w:rPr>
            </w:pPr>
            <w:r>
              <w:rPr>
                <w:rFonts w:ascii="Arial" w:hAnsi="Arial" w:eastAsia="Arial" w:cs="Arial"/>
                <w:b/>
                <w:bCs/>
                <w:color w:val="auto"/>
                <w:sz w:val="20"/>
                <w:szCs w:val="20"/>
              </w:rPr>
              <w:t>Languages Supported</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2D414CE">
            <w:pPr>
              <w:jc w:val="both"/>
              <w:rPr>
                <w:color w:val="auto"/>
              </w:rPr>
            </w:pPr>
            <w:r>
              <w:rPr>
                <w:rFonts w:ascii="Arial" w:hAnsi="Arial" w:eastAsia="Arial" w:cs="Arial"/>
                <w:b w:val="0"/>
                <w:bCs w:val="0"/>
                <w:color w:val="auto"/>
                <w:sz w:val="20"/>
                <w:szCs w:val="20"/>
              </w:rPr>
              <w:t>10+</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8B12972">
            <w:pPr>
              <w:jc w:val="both"/>
              <w:rPr>
                <w:color w:val="auto"/>
              </w:rPr>
            </w:pPr>
            <w:r>
              <w:rPr>
                <w:rFonts w:ascii="Arial" w:hAnsi="Arial" w:eastAsia="Arial" w:cs="Arial"/>
                <w:b w:val="0"/>
                <w:bCs w:val="0"/>
                <w:color w:val="auto"/>
                <w:sz w:val="20"/>
                <w:szCs w:val="20"/>
              </w:rPr>
              <w:t>IndicTrans2 language coverage</w:t>
            </w:r>
          </w:p>
        </w:tc>
      </w:tr>
      <w:tr w14:paraId="622107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EC0E55E">
            <w:pPr>
              <w:jc w:val="both"/>
              <w:rPr>
                <w:color w:val="auto"/>
              </w:rPr>
            </w:pPr>
            <w:r>
              <w:rPr>
                <w:rFonts w:ascii="Arial" w:hAnsi="Arial" w:eastAsia="Arial" w:cs="Arial"/>
                <w:b/>
                <w:bCs/>
                <w:color w:val="auto"/>
                <w:sz w:val="20"/>
                <w:szCs w:val="20"/>
              </w:rPr>
              <w:t>RTI Draft Accuracy</w:t>
            </w:r>
          </w:p>
        </w:tc>
        <w:tc>
          <w:tcPr>
            <w:tcW w:w="20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A6B6694">
            <w:pPr>
              <w:jc w:val="both"/>
              <w:rPr>
                <w:color w:val="auto"/>
              </w:rPr>
            </w:pPr>
            <w:r>
              <w:rPr>
                <w:rFonts w:ascii="Arial" w:hAnsi="Arial" w:eastAsia="Arial" w:cs="Arial"/>
                <w:b w:val="0"/>
                <w:bCs w:val="0"/>
                <w:color w:val="auto"/>
                <w:sz w:val="20"/>
                <w:szCs w:val="20"/>
              </w:rPr>
              <w:t>&gt;90%</w:t>
            </w:r>
          </w:p>
        </w:tc>
        <w:tc>
          <w:tcPr>
            <w:tcW w:w="4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01C850D">
            <w:pPr>
              <w:jc w:val="both"/>
              <w:rPr>
                <w:color w:val="auto"/>
              </w:rPr>
            </w:pPr>
            <w:r>
              <w:rPr>
                <w:rFonts w:ascii="Arial" w:hAnsi="Arial" w:eastAsia="Arial" w:cs="Arial"/>
                <w:b w:val="0"/>
                <w:bCs w:val="0"/>
                <w:color w:val="auto"/>
                <w:sz w:val="20"/>
                <w:szCs w:val="20"/>
              </w:rPr>
              <w:t>Legal expert spot-check review</w:t>
            </w:r>
          </w:p>
        </w:tc>
      </w:tr>
      <w:tr w14:paraId="21A55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DE7A4EF">
            <w:pPr>
              <w:jc w:val="both"/>
              <w:rPr>
                <w:color w:val="auto"/>
              </w:rPr>
            </w:pPr>
            <w:r>
              <w:rPr>
                <w:rFonts w:ascii="Arial" w:hAnsi="Arial" w:eastAsia="Arial" w:cs="Arial"/>
                <w:b/>
                <w:bCs/>
                <w:color w:val="auto"/>
                <w:sz w:val="20"/>
                <w:szCs w:val="20"/>
              </w:rPr>
              <w:t>User Satisfaction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B4FEB5B">
            <w:pPr>
              <w:jc w:val="both"/>
              <w:rPr>
                <w:color w:val="auto"/>
              </w:rPr>
            </w:pPr>
            <w:r>
              <w:rPr>
                <w:rFonts w:ascii="Arial" w:hAnsi="Arial" w:eastAsia="Arial" w:cs="Arial"/>
                <w:b w:val="0"/>
                <w:bCs w:val="0"/>
                <w:color w:val="auto"/>
                <w:sz w:val="20"/>
                <w:szCs w:val="20"/>
              </w:rPr>
              <w:t>&gt;4.2/5</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78052FA">
            <w:pPr>
              <w:jc w:val="both"/>
              <w:rPr>
                <w:color w:val="auto"/>
              </w:rPr>
            </w:pPr>
            <w:r>
              <w:rPr>
                <w:rFonts w:ascii="Arial" w:hAnsi="Arial" w:eastAsia="Arial" w:cs="Arial"/>
                <w:b w:val="0"/>
                <w:bCs w:val="0"/>
                <w:color w:val="auto"/>
                <w:sz w:val="20"/>
                <w:szCs w:val="20"/>
              </w:rPr>
              <w:t>In-app feedback rating</w:t>
            </w:r>
          </w:p>
        </w:tc>
      </w:tr>
      <w:tr w14:paraId="2EE03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63E8FEB">
            <w:pPr>
              <w:jc w:val="both"/>
              <w:rPr>
                <w:color w:val="auto"/>
              </w:rPr>
            </w:pPr>
            <w:r>
              <w:rPr>
                <w:rFonts w:ascii="Arial" w:hAnsi="Arial" w:eastAsia="Arial" w:cs="Arial"/>
                <w:b/>
                <w:bCs/>
                <w:color w:val="auto"/>
                <w:sz w:val="20"/>
                <w:szCs w:val="20"/>
              </w:rPr>
              <w:t>Monthly Active Users</w:t>
            </w:r>
          </w:p>
        </w:tc>
        <w:tc>
          <w:tcPr>
            <w:tcW w:w="20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56C777C0">
            <w:pPr>
              <w:jc w:val="both"/>
              <w:rPr>
                <w:color w:val="auto"/>
              </w:rPr>
            </w:pPr>
            <w:r>
              <w:rPr>
                <w:rFonts w:ascii="Arial" w:hAnsi="Arial" w:eastAsia="Arial" w:cs="Arial"/>
                <w:b w:val="0"/>
                <w:bCs w:val="0"/>
                <w:color w:val="auto"/>
                <w:sz w:val="20"/>
                <w:szCs w:val="20"/>
              </w:rPr>
              <w:t>10,000+ (post-launch)</w:t>
            </w:r>
          </w:p>
        </w:tc>
        <w:tc>
          <w:tcPr>
            <w:tcW w:w="4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791F4AB8">
            <w:pPr>
              <w:jc w:val="both"/>
              <w:rPr>
                <w:color w:val="auto"/>
              </w:rPr>
            </w:pPr>
            <w:r>
              <w:rPr>
                <w:rFonts w:ascii="Arial" w:hAnsi="Arial" w:eastAsia="Arial" w:cs="Arial"/>
                <w:b w:val="0"/>
                <w:bCs w:val="0"/>
                <w:color w:val="auto"/>
                <w:sz w:val="20"/>
                <w:szCs w:val="20"/>
              </w:rPr>
              <w:t>Platform analytics</w:t>
            </w:r>
          </w:p>
        </w:tc>
      </w:tr>
    </w:tbl>
    <w:p w14:paraId="5193D655">
      <w:pPr>
        <w:pStyle w:val="2"/>
        <w:spacing w:before="400" w:after="200"/>
        <w:jc w:val="both"/>
        <w:rPr>
          <w:color w:val="auto"/>
        </w:rPr>
      </w:pPr>
      <w:r>
        <w:rPr>
          <w:rFonts w:ascii="Arial" w:hAnsi="Arial" w:eastAsia="Arial" w:cs="Arial"/>
          <w:b/>
          <w:bCs/>
          <w:color w:val="auto"/>
          <w:sz w:val="34"/>
          <w:szCs w:val="34"/>
        </w:rPr>
        <w:t>4. Target Users</w:t>
      </w:r>
    </w:p>
    <w:p w14:paraId="076F3588">
      <w:pPr>
        <w:pStyle w:val="3"/>
        <w:spacing w:before="280" w:after="140"/>
        <w:jc w:val="both"/>
        <w:rPr>
          <w:color w:val="auto"/>
        </w:rPr>
      </w:pPr>
      <w:r>
        <w:rPr>
          <w:rFonts w:ascii="Arial" w:hAnsi="Arial" w:eastAsia="Arial" w:cs="Arial"/>
          <w:b/>
          <w:bCs/>
          <w:color w:val="auto"/>
          <w:sz w:val="26"/>
          <w:szCs w:val="26"/>
        </w:rPr>
        <w:t>4.1 User Segments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000"/>
        <w:gridCol w:w="4160"/>
      </w:tblGrid>
      <w:tr w14:paraId="48DC8F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12" w:space="0"/>
              <w:left w:val="nil"/>
              <w:bottom w:val="single" w:color="000000" w:sz="4" w:space="0"/>
              <w:right w:val="nil"/>
              <w:tl2br w:val="nil"/>
            </w:tcBorders>
            <w:shd w:val="clear" w:color="auto" w:fill="FFFFFF"/>
            <w:tcMar>
              <w:top w:w="100" w:type="dxa"/>
              <w:left w:w="150" w:type="dxa"/>
              <w:bottom w:w="100" w:type="dxa"/>
              <w:right w:w="150" w:type="dxa"/>
            </w:tcMar>
          </w:tcPr>
          <w:p w14:paraId="37B4EDBF">
            <w:pPr>
              <w:jc w:val="both"/>
              <w:rPr>
                <w:b/>
                <w:bCs w:val="0"/>
                <w:color w:val="000000"/>
              </w:rPr>
            </w:pPr>
            <w:r>
              <w:rPr>
                <w:rFonts w:ascii="Arial" w:hAnsi="Arial" w:eastAsia="Arial" w:cs="Arial"/>
                <w:b/>
                <w:bCs w:val="0"/>
                <w:color w:val="000000"/>
                <w:sz w:val="20"/>
                <w:szCs w:val="20"/>
              </w:rPr>
              <w:t>Segment</w:t>
            </w:r>
          </w:p>
        </w:tc>
        <w:tc>
          <w:tcPr>
            <w:tcW w:w="3000" w:type="dxa"/>
            <w:tcBorders>
              <w:top w:val="single" w:color="000000" w:sz="12" w:space="0"/>
              <w:left w:val="nil"/>
              <w:bottom w:val="single" w:color="000000" w:sz="4" w:space="0"/>
              <w:right w:val="nil"/>
            </w:tcBorders>
            <w:shd w:val="clear" w:color="auto" w:fill="FFFFFF"/>
            <w:tcMar>
              <w:top w:w="100" w:type="dxa"/>
              <w:left w:w="150" w:type="dxa"/>
              <w:bottom w:w="100" w:type="dxa"/>
              <w:right w:w="150" w:type="dxa"/>
            </w:tcMar>
          </w:tcPr>
          <w:p w14:paraId="6A9CF0C4">
            <w:pPr>
              <w:jc w:val="both"/>
              <w:rPr>
                <w:b/>
                <w:bCs w:val="0"/>
                <w:color w:val="000000"/>
              </w:rPr>
            </w:pPr>
            <w:r>
              <w:rPr>
                <w:rFonts w:ascii="Arial" w:hAnsi="Arial" w:eastAsia="Arial" w:cs="Arial"/>
                <w:b/>
                <w:bCs w:val="0"/>
                <w:color w:val="000000"/>
                <w:sz w:val="20"/>
                <w:szCs w:val="20"/>
              </w:rPr>
              <w:t>Profile</w:t>
            </w:r>
          </w:p>
        </w:tc>
        <w:tc>
          <w:tcPr>
            <w:tcW w:w="4160" w:type="dxa"/>
            <w:tcBorders>
              <w:top w:val="single" w:color="000000" w:sz="12" w:space="0"/>
              <w:left w:val="nil"/>
              <w:bottom w:val="single" w:color="000000" w:sz="4" w:space="0"/>
              <w:right w:val="nil"/>
            </w:tcBorders>
            <w:shd w:val="clear" w:color="auto" w:fill="FFFFFF"/>
            <w:tcMar>
              <w:top w:w="100" w:type="dxa"/>
              <w:left w:w="150" w:type="dxa"/>
              <w:bottom w:w="100" w:type="dxa"/>
              <w:right w:w="150" w:type="dxa"/>
            </w:tcMar>
          </w:tcPr>
          <w:p w14:paraId="5E090C64">
            <w:pPr>
              <w:jc w:val="both"/>
              <w:rPr>
                <w:b/>
                <w:bCs w:val="0"/>
                <w:color w:val="000000"/>
              </w:rPr>
            </w:pPr>
            <w:r>
              <w:rPr>
                <w:rFonts w:ascii="Arial" w:hAnsi="Arial" w:eastAsia="Arial" w:cs="Arial"/>
                <w:b/>
                <w:bCs w:val="0"/>
                <w:color w:val="000000"/>
                <w:sz w:val="20"/>
                <w:szCs w:val="20"/>
              </w:rPr>
              <w:t>Primary Need</w:t>
            </w:r>
          </w:p>
        </w:tc>
      </w:tr>
      <w:tr w14:paraId="411505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5C37B0D2">
            <w:pPr>
              <w:jc w:val="both"/>
              <w:rPr>
                <w:color w:val="auto"/>
              </w:rPr>
            </w:pPr>
            <w:r>
              <w:rPr>
                <w:rFonts w:ascii="Arial" w:hAnsi="Arial" w:eastAsia="Arial" w:cs="Arial"/>
                <w:b/>
                <w:bCs/>
                <w:color w:val="auto"/>
                <w:sz w:val="20"/>
                <w:szCs w:val="20"/>
              </w:rPr>
              <w:t>Rural Farmers</w:t>
            </w:r>
          </w:p>
        </w:tc>
        <w:tc>
          <w:tcPr>
            <w:tcW w:w="30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B6C306A">
            <w:pPr>
              <w:jc w:val="both"/>
              <w:rPr>
                <w:color w:val="auto"/>
              </w:rPr>
            </w:pPr>
            <w:r>
              <w:rPr>
                <w:rFonts w:ascii="Arial" w:hAnsi="Arial" w:eastAsia="Arial" w:cs="Arial"/>
                <w:b w:val="0"/>
                <w:bCs w:val="0"/>
                <w:color w:val="auto"/>
                <w:sz w:val="20"/>
                <w:szCs w:val="20"/>
              </w:rPr>
              <w:t>Age 30–60, low digital literacy, Hindi/regional language only</w:t>
            </w:r>
          </w:p>
        </w:tc>
        <w:tc>
          <w:tcPr>
            <w:tcW w:w="41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59A8E71D">
            <w:pPr>
              <w:jc w:val="both"/>
              <w:rPr>
                <w:color w:val="auto"/>
              </w:rPr>
            </w:pPr>
            <w:r>
              <w:rPr>
                <w:rFonts w:ascii="Arial" w:hAnsi="Arial" w:eastAsia="Arial" w:cs="Arial"/>
                <w:b w:val="0"/>
                <w:bCs w:val="0"/>
                <w:color w:val="auto"/>
                <w:sz w:val="20"/>
                <w:szCs w:val="20"/>
              </w:rPr>
              <w:t>Land rights, scheme eligibility, acquisition compensation</w:t>
            </w:r>
          </w:p>
        </w:tc>
      </w:tr>
      <w:tr w14:paraId="79A80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2652A33">
            <w:pPr>
              <w:jc w:val="both"/>
              <w:rPr>
                <w:color w:val="auto"/>
              </w:rPr>
            </w:pPr>
            <w:r>
              <w:rPr>
                <w:rFonts w:ascii="Arial" w:hAnsi="Arial" w:eastAsia="Arial" w:cs="Arial"/>
                <w:b/>
                <w:bCs/>
                <w:color w:val="auto"/>
                <w:sz w:val="20"/>
                <w:szCs w:val="20"/>
              </w:rPr>
              <w:t>Daily Wage Workers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8C362B5">
            <w:pPr>
              <w:jc w:val="both"/>
              <w:rPr>
                <w:color w:val="auto"/>
              </w:rPr>
            </w:pPr>
            <w:r>
              <w:rPr>
                <w:rFonts w:ascii="Arial" w:hAnsi="Arial" w:eastAsia="Arial" w:cs="Arial"/>
                <w:b w:val="0"/>
                <w:bCs w:val="0"/>
                <w:color w:val="auto"/>
                <w:sz w:val="20"/>
                <w:szCs w:val="20"/>
              </w:rPr>
              <w:t>Age 20–45, mobile-first, WhatsApp users</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CDED046">
            <w:pPr>
              <w:jc w:val="both"/>
              <w:rPr>
                <w:color w:val="auto"/>
              </w:rPr>
            </w:pPr>
            <w:r>
              <w:rPr>
                <w:rFonts w:ascii="Arial" w:hAnsi="Arial" w:eastAsia="Arial" w:cs="Arial"/>
                <w:b w:val="0"/>
                <w:bCs w:val="0"/>
                <w:color w:val="auto"/>
                <w:sz w:val="20"/>
                <w:szCs w:val="20"/>
              </w:rPr>
              <w:t>Labour law rights, MGNREGA wage disputes, wrongful termination</w:t>
            </w:r>
          </w:p>
        </w:tc>
      </w:tr>
      <w:tr w14:paraId="3040DE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31C8D225">
            <w:pPr>
              <w:jc w:val="both"/>
              <w:rPr>
                <w:color w:val="auto"/>
              </w:rPr>
            </w:pPr>
            <w:r>
              <w:rPr>
                <w:rFonts w:ascii="Arial" w:hAnsi="Arial" w:eastAsia="Arial" w:cs="Arial"/>
                <w:b/>
                <w:bCs/>
                <w:color w:val="auto"/>
                <w:sz w:val="20"/>
                <w:szCs w:val="20"/>
              </w:rPr>
              <w:t>First-Gen Youth</w:t>
            </w:r>
          </w:p>
        </w:tc>
        <w:tc>
          <w:tcPr>
            <w:tcW w:w="30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6B316B5">
            <w:pPr>
              <w:jc w:val="both"/>
              <w:rPr>
                <w:color w:val="auto"/>
              </w:rPr>
            </w:pPr>
            <w:r>
              <w:rPr>
                <w:rFonts w:ascii="Arial" w:hAnsi="Arial" w:eastAsia="Arial" w:cs="Arial"/>
                <w:b w:val="0"/>
                <w:bCs w:val="0"/>
                <w:color w:val="auto"/>
                <w:sz w:val="20"/>
                <w:szCs w:val="20"/>
              </w:rPr>
              <w:t>Age 18–30, basic smartphone literacy, bilingual</w:t>
            </w:r>
          </w:p>
        </w:tc>
        <w:tc>
          <w:tcPr>
            <w:tcW w:w="41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2C2A104">
            <w:pPr>
              <w:jc w:val="both"/>
              <w:rPr>
                <w:color w:val="auto"/>
              </w:rPr>
            </w:pPr>
            <w:r>
              <w:rPr>
                <w:rFonts w:ascii="Arial" w:hAnsi="Arial" w:eastAsia="Arial" w:cs="Arial"/>
                <w:b w:val="0"/>
                <w:bCs w:val="0"/>
                <w:color w:val="auto"/>
                <w:sz w:val="20"/>
                <w:szCs w:val="20"/>
              </w:rPr>
              <w:t>Navigating legal systems for family, RTI filing, FIR guidance</w:t>
            </w:r>
          </w:p>
        </w:tc>
      </w:tr>
      <w:tr w14:paraId="29ACA0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5DCD150">
            <w:pPr>
              <w:jc w:val="both"/>
              <w:rPr>
                <w:color w:val="auto"/>
              </w:rPr>
            </w:pPr>
            <w:r>
              <w:rPr>
                <w:rFonts w:ascii="Arial" w:hAnsi="Arial" w:eastAsia="Arial" w:cs="Arial"/>
                <w:b/>
                <w:bCs/>
                <w:color w:val="auto"/>
                <w:sz w:val="20"/>
                <w:szCs w:val="20"/>
              </w:rPr>
              <w:t>Women in Rural Areas</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B463175">
            <w:pPr>
              <w:jc w:val="both"/>
              <w:rPr>
                <w:color w:val="auto"/>
              </w:rPr>
            </w:pPr>
            <w:r>
              <w:rPr>
                <w:rFonts w:ascii="Arial" w:hAnsi="Arial" w:eastAsia="Arial" w:cs="Arial"/>
                <w:b w:val="0"/>
                <w:bCs w:val="0"/>
                <w:color w:val="auto"/>
                <w:sz w:val="20"/>
                <w:szCs w:val="20"/>
              </w:rPr>
              <w:t>Age 20–50, limited mobility, voice-first preferred</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DC4DA5F">
            <w:pPr>
              <w:jc w:val="both"/>
              <w:rPr>
                <w:color w:val="auto"/>
              </w:rPr>
            </w:pPr>
            <w:r>
              <w:rPr>
                <w:rFonts w:ascii="Arial" w:hAnsi="Arial" w:eastAsia="Arial" w:cs="Arial"/>
                <w:b w:val="0"/>
                <w:bCs w:val="0"/>
                <w:color w:val="auto"/>
                <w:sz w:val="20"/>
                <w:szCs w:val="20"/>
              </w:rPr>
              <w:t>Domestic violence rights, property inheritance, scheme access</w:t>
            </w:r>
          </w:p>
        </w:tc>
      </w:tr>
      <w:tr w14:paraId="2D4B87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7C85DB3F">
            <w:pPr>
              <w:jc w:val="both"/>
              <w:rPr>
                <w:color w:val="auto"/>
              </w:rPr>
            </w:pPr>
            <w:r>
              <w:rPr>
                <w:rFonts w:ascii="Arial" w:hAnsi="Arial" w:eastAsia="Arial" w:cs="Arial"/>
                <w:b/>
                <w:bCs/>
                <w:color w:val="auto"/>
                <w:sz w:val="20"/>
                <w:szCs w:val="20"/>
              </w:rPr>
              <w:t>Small Business Owners</w:t>
            </w:r>
          </w:p>
        </w:tc>
        <w:tc>
          <w:tcPr>
            <w:tcW w:w="30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B7C60C2">
            <w:pPr>
              <w:jc w:val="both"/>
              <w:rPr>
                <w:color w:val="auto"/>
              </w:rPr>
            </w:pPr>
            <w:r>
              <w:rPr>
                <w:rFonts w:ascii="Arial" w:hAnsi="Arial" w:eastAsia="Arial" w:cs="Arial"/>
                <w:b w:val="0"/>
                <w:bCs w:val="0"/>
                <w:color w:val="auto"/>
                <w:sz w:val="20"/>
                <w:szCs w:val="20"/>
              </w:rPr>
              <w:t>Age 25–50, semi-urban, Hindi/regional</w:t>
            </w:r>
          </w:p>
        </w:tc>
        <w:tc>
          <w:tcPr>
            <w:tcW w:w="41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875BEE0">
            <w:pPr>
              <w:jc w:val="both"/>
              <w:rPr>
                <w:color w:val="auto"/>
              </w:rPr>
            </w:pPr>
            <w:r>
              <w:rPr>
                <w:rFonts w:ascii="Arial" w:hAnsi="Arial" w:eastAsia="Arial" w:cs="Arial"/>
                <w:b w:val="0"/>
                <w:bCs w:val="0"/>
                <w:color w:val="auto"/>
                <w:sz w:val="20"/>
                <w:szCs w:val="20"/>
              </w:rPr>
              <w:t>GST queries, licensing, consumer protection rights</w:t>
            </w:r>
          </w:p>
        </w:tc>
      </w:tr>
    </w:tbl>
    <w:p w14:paraId="3CF65CE5">
      <w:pPr>
        <w:pStyle w:val="3"/>
        <w:spacing w:before="280" w:after="140"/>
        <w:jc w:val="both"/>
        <w:rPr>
          <w:color w:val="auto"/>
        </w:rPr>
      </w:pPr>
      <w:r>
        <w:rPr>
          <w:rFonts w:ascii="Arial" w:hAnsi="Arial" w:eastAsia="Arial" w:cs="Arial"/>
          <w:b/>
          <w:bCs/>
          <w:color w:val="auto"/>
          <w:sz w:val="26"/>
          <w:szCs w:val="26"/>
        </w:rPr>
        <w:t>4.2 Geographic Scope</w:t>
      </w:r>
    </w:p>
    <w:p w14:paraId="07F98974">
      <w:pPr>
        <w:pStyle w:val="16"/>
        <w:numPr>
          <w:ilvl w:val="0"/>
          <w:numId w:val="2"/>
        </w:numPr>
        <w:spacing w:before="60" w:after="60"/>
        <w:jc w:val="both"/>
        <w:rPr>
          <w:color w:val="auto"/>
        </w:rPr>
      </w:pPr>
      <w:r>
        <w:rPr>
          <w:rFonts w:ascii="Arial" w:hAnsi="Arial" w:eastAsia="Arial" w:cs="Arial"/>
          <w:b w:val="0"/>
          <w:bCs w:val="0"/>
          <w:color w:val="auto"/>
          <w:sz w:val="22"/>
          <w:szCs w:val="22"/>
        </w:rPr>
        <w:t>All 28 Indian states and 8 Union Territories</w:t>
      </w:r>
    </w:p>
    <w:p w14:paraId="34F6CF05">
      <w:pPr>
        <w:pStyle w:val="16"/>
        <w:numPr>
          <w:ilvl w:val="0"/>
          <w:numId w:val="2"/>
        </w:numPr>
        <w:spacing w:before="60" w:after="60"/>
        <w:jc w:val="both"/>
        <w:rPr>
          <w:color w:val="auto"/>
        </w:rPr>
      </w:pPr>
      <w:r>
        <w:rPr>
          <w:rFonts w:ascii="Arial" w:hAnsi="Arial" w:eastAsia="Arial" w:cs="Arial"/>
          <w:b w:val="0"/>
          <w:bCs w:val="0"/>
          <w:color w:val="auto"/>
          <w:sz w:val="22"/>
          <w:szCs w:val="22"/>
        </w:rPr>
        <w:t>Primary focus: UP, Bihar, Rajasthan, MP, Maharashtra, Tamil Nadu, Andhra Pradesh, West Bengal</w:t>
      </w:r>
    </w:p>
    <w:p w14:paraId="7C400A52">
      <w:pPr>
        <w:pStyle w:val="16"/>
        <w:numPr>
          <w:ilvl w:val="0"/>
          <w:numId w:val="2"/>
        </w:numPr>
        <w:spacing w:before="60" w:after="60"/>
        <w:jc w:val="both"/>
        <w:rPr>
          <w:color w:val="auto"/>
        </w:rPr>
      </w:pPr>
      <w:r>
        <w:rPr>
          <w:rFonts w:ascii="Arial" w:hAnsi="Arial" w:eastAsia="Arial" w:cs="Arial"/>
          <w:b w:val="0"/>
          <w:bCs w:val="0"/>
          <w:color w:val="auto"/>
          <w:sz w:val="22"/>
          <w:szCs w:val="22"/>
        </w:rPr>
        <w:t>Languages: Hindi, Tamil, Telugu, Bengali, Marathi, Kannada, Gujarati, Malayalam, Punjabi, Odia</w:t>
      </w:r>
    </w:p>
    <w:p w14:paraId="0AFC57C3">
      <w:pPr>
        <w:pStyle w:val="2"/>
        <w:spacing w:before="400" w:after="200"/>
        <w:jc w:val="both"/>
        <w:rPr>
          <w:color w:val="auto"/>
        </w:rPr>
      </w:pPr>
      <w:r>
        <w:rPr>
          <w:rFonts w:ascii="Arial" w:hAnsi="Arial" w:eastAsia="Arial" w:cs="Arial"/>
          <w:b/>
          <w:bCs/>
          <w:color w:val="auto"/>
          <w:sz w:val="34"/>
          <w:szCs w:val="34"/>
        </w:rPr>
        <w:t>5. User Stories</w:t>
      </w:r>
    </w:p>
    <w:p w14:paraId="0DBEC6CA">
      <w:pPr>
        <w:pStyle w:val="4"/>
        <w:numPr>
          <w:ilvl w:val="0"/>
          <w:numId w:val="3"/>
        </w:numPr>
        <w:spacing w:before="200" w:after="100"/>
        <w:ind w:left="720" w:leftChars="0" w:hanging="360" w:firstLineChars="0"/>
        <w:jc w:val="both"/>
        <w:rPr>
          <w:color w:val="auto"/>
        </w:rPr>
      </w:pPr>
      <w:r>
        <w:rPr>
          <w:rFonts w:ascii="Arial" w:hAnsi="Arial" w:eastAsia="Arial" w:cs="Arial"/>
          <w:b/>
          <w:bCs/>
          <w:color w:val="auto"/>
          <w:sz w:val="22"/>
          <w:szCs w:val="22"/>
        </w:rPr>
        <w:t>US-01: Government Scheme Eligibility</w:t>
      </w:r>
    </w:p>
    <w:p w14:paraId="4C610C8A">
      <w:pPr>
        <w:spacing w:before="80" w:after="100"/>
        <w:ind w:firstLine="500" w:firstLineChars="0"/>
        <w:jc w:val="both"/>
        <w:rPr>
          <w:color w:val="auto"/>
        </w:rPr>
      </w:pPr>
      <w:r>
        <w:rPr>
          <w:rFonts w:ascii="Arial" w:hAnsi="Arial" w:eastAsia="Arial" w:cs="Arial"/>
          <w:color w:val="auto"/>
          <w:sz w:val="22"/>
          <w:szCs w:val="22"/>
        </w:rPr>
        <w:t>As a farmer in rural Uttar Pradesh, I want to ask in Hindi whether I am eligible for PM-</w:t>
      </w:r>
      <w:r>
        <w:rPr>
          <w:rFonts w:hint="default" w:cs="Arial"/>
          <w:color w:val="auto"/>
          <w:sz w:val="22"/>
          <w:szCs w:val="22"/>
          <w:lang w:val="en-US"/>
        </w:rPr>
        <w:tab/>
      </w:r>
      <w:r>
        <w:rPr>
          <w:rFonts w:ascii="Arial" w:hAnsi="Arial" w:eastAsia="Arial" w:cs="Arial"/>
          <w:color w:val="auto"/>
          <w:sz w:val="22"/>
          <w:szCs w:val="22"/>
        </w:rPr>
        <w:t>KISAN, so that I can receive the Rs. 6,000 annual benefit I may be missing out on.</w:t>
      </w:r>
    </w:p>
    <w:p w14:paraId="7BB9DF65">
      <w:pPr>
        <w:spacing w:before="80" w:after="100"/>
        <w:ind w:firstLine="500" w:firstLineChars="0"/>
        <w:jc w:val="both"/>
        <w:rPr>
          <w:rFonts w:ascii="Arial" w:hAnsi="Arial" w:eastAsia="Arial" w:cs="Arial"/>
          <w:i/>
          <w:iCs/>
          <w:color w:val="auto"/>
          <w:sz w:val="22"/>
          <w:szCs w:val="22"/>
        </w:rPr>
      </w:pPr>
      <w:r>
        <w:rPr>
          <w:rFonts w:ascii="Arial" w:hAnsi="Arial" w:eastAsia="Arial" w:cs="Arial"/>
          <w:i/>
          <w:iCs/>
          <w:color w:val="auto"/>
          <w:sz w:val="22"/>
          <w:szCs w:val="22"/>
        </w:rPr>
        <w:t xml:space="preserve">Acceptance Criteria: Agent correctly identifies eligibility criteria, cross-references user's </w:t>
      </w:r>
      <w:r>
        <w:rPr>
          <w:rFonts w:hint="default" w:cs="Arial"/>
          <w:i/>
          <w:iCs/>
          <w:color w:val="auto"/>
          <w:sz w:val="22"/>
          <w:szCs w:val="22"/>
          <w:lang w:val="en-US"/>
        </w:rPr>
        <w:tab/>
      </w:r>
      <w:r>
        <w:rPr>
          <w:rFonts w:ascii="Arial" w:hAnsi="Arial" w:eastAsia="Arial" w:cs="Arial"/>
          <w:i/>
          <w:iCs/>
          <w:color w:val="auto"/>
          <w:sz w:val="22"/>
          <w:szCs w:val="22"/>
        </w:rPr>
        <w:t xml:space="preserve">stated land holding and Aadhaar status, provides step-by-step enrollment guidance in </w:t>
      </w:r>
      <w:r>
        <w:rPr>
          <w:rFonts w:hint="default" w:cs="Arial"/>
          <w:i/>
          <w:iCs/>
          <w:color w:val="auto"/>
          <w:sz w:val="22"/>
          <w:szCs w:val="22"/>
          <w:lang w:val="en-US"/>
        </w:rPr>
        <w:tab/>
        <w:t/>
      </w:r>
      <w:r>
        <w:rPr>
          <w:rFonts w:hint="default" w:cs="Arial"/>
          <w:i/>
          <w:iCs/>
          <w:color w:val="auto"/>
          <w:sz w:val="22"/>
          <w:szCs w:val="22"/>
          <w:lang w:val="en-US"/>
        </w:rPr>
        <w:tab/>
      </w:r>
      <w:r>
        <w:rPr>
          <w:rFonts w:ascii="Arial" w:hAnsi="Arial" w:eastAsia="Arial" w:cs="Arial"/>
          <w:i/>
          <w:iCs/>
          <w:color w:val="auto"/>
          <w:sz w:val="22"/>
          <w:szCs w:val="22"/>
        </w:rPr>
        <w:t>Hindi.</w:t>
      </w:r>
    </w:p>
    <w:p w14:paraId="0441E9F3">
      <w:pPr>
        <w:pStyle w:val="4"/>
        <w:numPr>
          <w:ilvl w:val="0"/>
          <w:numId w:val="3"/>
        </w:numPr>
        <w:spacing w:before="200" w:after="100"/>
        <w:ind w:left="720" w:leftChars="0" w:hanging="360" w:firstLineChars="0"/>
        <w:jc w:val="both"/>
        <w:rPr>
          <w:color w:val="auto"/>
        </w:rPr>
      </w:pPr>
      <w:r>
        <w:rPr>
          <w:rFonts w:ascii="Arial" w:hAnsi="Arial" w:eastAsia="Arial" w:cs="Arial"/>
          <w:b/>
          <w:bCs/>
          <w:color w:val="auto"/>
          <w:sz w:val="22"/>
          <w:szCs w:val="22"/>
        </w:rPr>
        <w:t>US-02: Land Rights Query</w:t>
      </w:r>
    </w:p>
    <w:p w14:paraId="5DA81837">
      <w:pPr>
        <w:spacing w:before="80" w:after="100"/>
        <w:ind w:firstLine="500" w:firstLineChars="0"/>
        <w:jc w:val="both"/>
        <w:rPr>
          <w:color w:val="auto"/>
        </w:rPr>
      </w:pPr>
      <w:r>
        <w:rPr>
          <w:rFonts w:ascii="Arial" w:hAnsi="Arial" w:eastAsia="Arial" w:cs="Arial"/>
          <w:color w:val="auto"/>
          <w:sz w:val="22"/>
          <w:szCs w:val="22"/>
        </w:rPr>
        <w:t xml:space="preserve">As a tribal farmer in Jharkhand whose land was acquired by the government, I want to </w:t>
      </w:r>
      <w:r>
        <w:rPr>
          <w:rFonts w:hint="default" w:cs="Arial"/>
          <w:color w:val="auto"/>
          <w:sz w:val="22"/>
          <w:szCs w:val="22"/>
          <w:lang w:val="en-US"/>
        </w:rPr>
        <w:tab/>
      </w:r>
      <w:r>
        <w:rPr>
          <w:rFonts w:ascii="Arial" w:hAnsi="Arial" w:eastAsia="Arial" w:cs="Arial"/>
          <w:color w:val="auto"/>
          <w:sz w:val="22"/>
          <w:szCs w:val="22"/>
        </w:rPr>
        <w:t xml:space="preserve">understand my legal rights and compensation entitlements in my language, so that I can </w:t>
      </w:r>
      <w:r>
        <w:rPr>
          <w:rFonts w:hint="default" w:cs="Arial"/>
          <w:color w:val="auto"/>
          <w:sz w:val="22"/>
          <w:szCs w:val="22"/>
          <w:lang w:val="en-US"/>
        </w:rPr>
        <w:tab/>
      </w:r>
      <w:r>
        <w:rPr>
          <w:rFonts w:ascii="Arial" w:hAnsi="Arial" w:eastAsia="Arial" w:cs="Arial"/>
          <w:color w:val="auto"/>
          <w:sz w:val="22"/>
          <w:szCs w:val="22"/>
        </w:rPr>
        <w:t xml:space="preserve">take </w:t>
      </w:r>
      <w:r>
        <w:rPr>
          <w:rFonts w:hint="default" w:cs="Arial"/>
          <w:color w:val="auto"/>
          <w:sz w:val="22"/>
          <w:szCs w:val="22"/>
          <w:lang w:val="en-US"/>
        </w:rPr>
        <w:tab/>
      </w:r>
      <w:r>
        <w:rPr>
          <w:rFonts w:ascii="Arial" w:hAnsi="Arial" w:eastAsia="Arial" w:cs="Arial"/>
          <w:color w:val="auto"/>
          <w:sz w:val="22"/>
          <w:szCs w:val="22"/>
        </w:rPr>
        <w:t>the correct legal action before the deadline passes.</w:t>
      </w:r>
    </w:p>
    <w:p w14:paraId="44630CBB">
      <w:pPr>
        <w:spacing w:before="80" w:after="100"/>
        <w:ind w:firstLine="500" w:firstLineChars="0"/>
        <w:jc w:val="both"/>
        <w:rPr>
          <w:color w:val="auto"/>
        </w:rPr>
      </w:pPr>
      <w:r>
        <w:rPr>
          <w:rFonts w:ascii="Arial" w:hAnsi="Arial" w:eastAsia="Arial" w:cs="Arial"/>
          <w:i/>
          <w:iCs/>
          <w:color w:val="auto"/>
          <w:sz w:val="22"/>
          <w:szCs w:val="22"/>
        </w:rPr>
        <w:t xml:space="preserve">Acceptance Criteria: Agent retrieves relevant Land Acquisition Act sections, explains </w:t>
      </w:r>
      <w:r>
        <w:rPr>
          <w:rFonts w:hint="default" w:cs="Arial"/>
          <w:i/>
          <w:iCs/>
          <w:color w:val="auto"/>
          <w:sz w:val="22"/>
          <w:szCs w:val="22"/>
          <w:lang w:val="en-US"/>
        </w:rPr>
        <w:tab/>
      </w:r>
      <w:r>
        <w:rPr>
          <w:rFonts w:ascii="Arial" w:hAnsi="Arial" w:eastAsia="Arial" w:cs="Arial"/>
          <w:i/>
          <w:iCs/>
          <w:color w:val="auto"/>
          <w:sz w:val="22"/>
          <w:szCs w:val="22"/>
        </w:rPr>
        <w:t xml:space="preserve">compensation calculation method, offers to draft an RTI application, and flags case to </w:t>
      </w:r>
      <w:r>
        <w:rPr>
          <w:rFonts w:hint="default" w:cs="Arial"/>
          <w:i/>
          <w:iCs/>
          <w:color w:val="auto"/>
          <w:sz w:val="22"/>
          <w:szCs w:val="22"/>
          <w:lang w:val="en-US"/>
        </w:rPr>
        <w:tab/>
      </w:r>
      <w:r>
        <w:rPr>
          <w:rFonts w:ascii="Arial" w:hAnsi="Arial" w:eastAsia="Arial" w:cs="Arial"/>
          <w:i/>
          <w:iCs/>
          <w:color w:val="auto"/>
          <w:sz w:val="22"/>
          <w:szCs w:val="22"/>
        </w:rPr>
        <w:t>DLSA if complexity threshold is exceeded.</w:t>
      </w:r>
    </w:p>
    <w:p w14:paraId="7C14BF24">
      <w:pPr>
        <w:pStyle w:val="4"/>
        <w:numPr>
          <w:ilvl w:val="0"/>
          <w:numId w:val="3"/>
        </w:numPr>
        <w:spacing w:before="200" w:after="100"/>
        <w:ind w:left="720" w:leftChars="0" w:hanging="360" w:firstLineChars="0"/>
        <w:jc w:val="both"/>
        <w:rPr>
          <w:color w:val="auto"/>
        </w:rPr>
      </w:pPr>
      <w:r>
        <w:rPr>
          <w:rFonts w:ascii="Arial" w:hAnsi="Arial" w:eastAsia="Arial" w:cs="Arial"/>
          <w:b/>
          <w:bCs/>
          <w:color w:val="auto"/>
          <w:sz w:val="22"/>
          <w:szCs w:val="22"/>
        </w:rPr>
        <w:t>US-03: RTI Application Generation</w:t>
      </w:r>
    </w:p>
    <w:p w14:paraId="4F4958D7">
      <w:pPr>
        <w:spacing w:before="80" w:after="100"/>
        <w:ind w:firstLine="500" w:firstLineChars="0"/>
        <w:jc w:val="both"/>
        <w:rPr>
          <w:color w:val="auto"/>
        </w:rPr>
      </w:pPr>
      <w:r>
        <w:rPr>
          <w:rFonts w:ascii="Arial" w:hAnsi="Arial" w:eastAsia="Arial" w:cs="Arial"/>
          <w:color w:val="auto"/>
          <w:sz w:val="22"/>
          <w:szCs w:val="22"/>
        </w:rPr>
        <w:t xml:space="preserve">As a daily wage worker in Tamil Nadu whose MGNREGA wages have not been paid for 3 </w:t>
      </w:r>
      <w:r>
        <w:rPr>
          <w:rFonts w:hint="default" w:cs="Arial"/>
          <w:color w:val="auto"/>
          <w:sz w:val="22"/>
          <w:szCs w:val="22"/>
          <w:lang w:val="en-US"/>
        </w:rPr>
        <w:tab/>
      </w:r>
      <w:r>
        <w:rPr>
          <w:rFonts w:ascii="Arial" w:hAnsi="Arial" w:eastAsia="Arial" w:cs="Arial"/>
          <w:color w:val="auto"/>
          <w:sz w:val="22"/>
          <w:szCs w:val="22"/>
        </w:rPr>
        <w:t xml:space="preserve">months, I want to generate a ready-to-file RTI application in Tamil, so that I can demand </w:t>
      </w:r>
      <w:r>
        <w:rPr>
          <w:rFonts w:hint="default" w:cs="Arial"/>
          <w:color w:val="auto"/>
          <w:sz w:val="22"/>
          <w:szCs w:val="22"/>
          <w:lang w:val="en-US"/>
        </w:rPr>
        <w:tab/>
      </w:r>
      <w:r>
        <w:rPr>
          <w:rFonts w:ascii="Arial" w:hAnsi="Arial" w:eastAsia="Arial" w:cs="Arial"/>
          <w:color w:val="auto"/>
          <w:sz w:val="22"/>
          <w:szCs w:val="22"/>
        </w:rPr>
        <w:t>accountability from the local panchayat office.</w:t>
      </w:r>
    </w:p>
    <w:p w14:paraId="4E5728E0">
      <w:pPr>
        <w:spacing w:before="80" w:after="100"/>
        <w:ind w:firstLine="500" w:firstLineChars="0"/>
        <w:jc w:val="both"/>
        <w:rPr>
          <w:color w:val="auto"/>
        </w:rPr>
      </w:pPr>
      <w:r>
        <w:rPr>
          <w:rFonts w:ascii="Arial" w:hAnsi="Arial" w:eastAsia="Arial" w:cs="Arial"/>
          <w:i/>
          <w:iCs/>
          <w:color w:val="auto"/>
          <w:sz w:val="22"/>
          <w:szCs w:val="22"/>
        </w:rPr>
        <w:t xml:space="preserve">Acceptance Criteria: DocumentAgent generates a correctly formatted RTI application with </w:t>
      </w:r>
      <w:r>
        <w:rPr>
          <w:rFonts w:hint="default" w:cs="Arial"/>
          <w:i/>
          <w:iCs/>
          <w:color w:val="auto"/>
          <w:sz w:val="22"/>
          <w:szCs w:val="22"/>
          <w:lang w:val="en-US"/>
        </w:rPr>
        <w:tab/>
      </w:r>
      <w:r>
        <w:rPr>
          <w:rFonts w:ascii="Arial" w:hAnsi="Arial" w:eastAsia="Arial" w:cs="Arial"/>
          <w:i/>
          <w:iCs/>
          <w:color w:val="auto"/>
          <w:sz w:val="22"/>
          <w:szCs w:val="22"/>
        </w:rPr>
        <w:t>all mandatory fields, translates it to Tamil, and provides submission instructions.</w:t>
      </w:r>
    </w:p>
    <w:p w14:paraId="4493D846">
      <w:pPr>
        <w:pStyle w:val="4"/>
        <w:numPr>
          <w:ilvl w:val="0"/>
          <w:numId w:val="3"/>
        </w:numPr>
        <w:spacing w:before="200" w:after="100"/>
        <w:ind w:left="720" w:leftChars="0" w:hanging="360" w:firstLineChars="0"/>
        <w:jc w:val="both"/>
        <w:rPr>
          <w:color w:val="auto"/>
        </w:rPr>
      </w:pPr>
      <w:r>
        <w:rPr>
          <w:rFonts w:ascii="Arial" w:hAnsi="Arial" w:eastAsia="Arial" w:cs="Arial"/>
          <w:b/>
          <w:bCs/>
          <w:color w:val="auto"/>
          <w:sz w:val="22"/>
          <w:szCs w:val="22"/>
        </w:rPr>
        <w:t>US-04: Voice Input Accessibility</w:t>
      </w:r>
    </w:p>
    <w:p w14:paraId="228BA109">
      <w:pPr>
        <w:spacing w:before="80" w:after="100"/>
        <w:ind w:firstLine="500" w:firstLineChars="0"/>
        <w:jc w:val="both"/>
        <w:rPr>
          <w:color w:val="auto"/>
        </w:rPr>
      </w:pPr>
      <w:r>
        <w:rPr>
          <w:rFonts w:ascii="Arial" w:hAnsi="Arial" w:eastAsia="Arial" w:cs="Arial"/>
          <w:color w:val="auto"/>
          <w:sz w:val="22"/>
          <w:szCs w:val="22"/>
        </w:rPr>
        <w:t xml:space="preserve">As an elderly woman in rural Rajasthan with low literacy, I want to speak my legal question </w:t>
      </w:r>
      <w:r>
        <w:rPr>
          <w:rFonts w:hint="default" w:cs="Arial"/>
          <w:color w:val="auto"/>
          <w:sz w:val="22"/>
          <w:szCs w:val="22"/>
          <w:lang w:val="en-US"/>
        </w:rPr>
        <w:tab/>
      </w:r>
      <w:r>
        <w:rPr>
          <w:rFonts w:ascii="Arial" w:hAnsi="Arial" w:eastAsia="Arial" w:cs="Arial"/>
          <w:color w:val="auto"/>
          <w:sz w:val="22"/>
          <w:szCs w:val="22"/>
        </w:rPr>
        <w:t>in Rajasthani Hindi into my phone, so that I can get help without needing to type or read.</w:t>
      </w:r>
    </w:p>
    <w:p w14:paraId="7CBBEC23">
      <w:pPr>
        <w:spacing w:before="80" w:after="100"/>
        <w:ind w:firstLine="500" w:firstLineChars="0"/>
        <w:jc w:val="both"/>
        <w:rPr>
          <w:color w:val="auto"/>
        </w:rPr>
      </w:pPr>
      <w:r>
        <w:rPr>
          <w:rFonts w:ascii="Arial" w:hAnsi="Arial" w:eastAsia="Arial" w:cs="Arial"/>
          <w:i/>
          <w:iCs/>
          <w:color w:val="auto"/>
          <w:sz w:val="22"/>
          <w:szCs w:val="22"/>
        </w:rPr>
        <w:t xml:space="preserve">Acceptance Criteria: IndicTrans2 transcribes voice input with &gt;90% accuracy in Hindi </w:t>
      </w:r>
      <w:r>
        <w:rPr>
          <w:rFonts w:hint="default" w:cs="Arial"/>
          <w:i/>
          <w:iCs/>
          <w:color w:val="auto"/>
          <w:sz w:val="22"/>
          <w:szCs w:val="22"/>
          <w:lang w:val="en-US"/>
        </w:rPr>
        <w:tab/>
      </w:r>
      <w:r>
        <w:rPr>
          <w:rFonts w:ascii="Arial" w:hAnsi="Arial" w:eastAsia="Arial" w:cs="Arial"/>
          <w:i/>
          <w:iCs/>
          <w:color w:val="auto"/>
          <w:sz w:val="22"/>
          <w:szCs w:val="22"/>
        </w:rPr>
        <w:t xml:space="preserve">dialects, </w:t>
      </w:r>
      <w:r>
        <w:rPr>
          <w:rFonts w:hint="default" w:cs="Arial"/>
          <w:i/>
          <w:iCs/>
          <w:color w:val="auto"/>
          <w:sz w:val="22"/>
          <w:szCs w:val="22"/>
          <w:lang w:val="en-US"/>
        </w:rPr>
        <w:tab/>
      </w:r>
      <w:r>
        <w:rPr>
          <w:rFonts w:ascii="Arial" w:hAnsi="Arial" w:eastAsia="Arial" w:cs="Arial"/>
          <w:i/>
          <w:iCs/>
          <w:color w:val="auto"/>
          <w:sz w:val="22"/>
          <w:szCs w:val="22"/>
        </w:rPr>
        <w:t xml:space="preserve">agent processes and responds in the same language, response is also available </w:t>
      </w:r>
      <w:r>
        <w:rPr>
          <w:rFonts w:hint="default" w:cs="Arial"/>
          <w:i/>
          <w:iCs/>
          <w:color w:val="auto"/>
          <w:sz w:val="22"/>
          <w:szCs w:val="22"/>
          <w:lang w:val="en-US"/>
        </w:rPr>
        <w:tab/>
      </w:r>
      <w:r>
        <w:rPr>
          <w:rFonts w:ascii="Arial" w:hAnsi="Arial" w:eastAsia="Arial" w:cs="Arial"/>
          <w:i/>
          <w:iCs/>
          <w:color w:val="auto"/>
          <w:sz w:val="22"/>
          <w:szCs w:val="22"/>
        </w:rPr>
        <w:t>as audio output.</w:t>
      </w:r>
    </w:p>
    <w:p w14:paraId="45D51C47">
      <w:pPr>
        <w:pStyle w:val="4"/>
        <w:numPr>
          <w:ilvl w:val="0"/>
          <w:numId w:val="3"/>
        </w:numPr>
        <w:spacing w:before="200" w:after="100"/>
        <w:ind w:left="720" w:leftChars="0" w:hanging="360" w:firstLineChars="0"/>
        <w:jc w:val="both"/>
        <w:rPr>
          <w:color w:val="auto"/>
        </w:rPr>
      </w:pPr>
      <w:r>
        <w:rPr>
          <w:rFonts w:ascii="Arial" w:hAnsi="Arial" w:eastAsia="Arial" w:cs="Arial"/>
          <w:b/>
          <w:bCs/>
          <w:color w:val="auto"/>
          <w:sz w:val="22"/>
          <w:szCs w:val="22"/>
        </w:rPr>
        <w:t>US-05: Cross-Session Memory</w:t>
      </w:r>
    </w:p>
    <w:p w14:paraId="73BD27EC">
      <w:pPr>
        <w:spacing w:before="80" w:after="100"/>
        <w:ind w:firstLine="500" w:firstLineChars="0"/>
        <w:jc w:val="both"/>
        <w:rPr>
          <w:color w:val="auto"/>
        </w:rPr>
      </w:pPr>
      <w:r>
        <w:rPr>
          <w:rFonts w:ascii="Arial" w:hAnsi="Arial" w:eastAsia="Arial" w:cs="Arial"/>
          <w:color w:val="auto"/>
          <w:sz w:val="22"/>
          <w:szCs w:val="22"/>
        </w:rPr>
        <w:t xml:space="preserve">As a user who discussed a land dispute case with LegalSaathi last week, I want the agent </w:t>
      </w:r>
      <w:r>
        <w:rPr>
          <w:rFonts w:hint="default" w:cs="Arial"/>
          <w:color w:val="auto"/>
          <w:sz w:val="22"/>
          <w:szCs w:val="22"/>
          <w:lang w:val="en-US"/>
        </w:rPr>
        <w:tab/>
      </w:r>
      <w:r>
        <w:rPr>
          <w:rFonts w:ascii="Arial" w:hAnsi="Arial" w:eastAsia="Arial" w:cs="Arial"/>
          <w:color w:val="auto"/>
          <w:sz w:val="22"/>
          <w:szCs w:val="22"/>
        </w:rPr>
        <w:t xml:space="preserve">to remember my case details when I return, so that I do not have to repeat my entire </w:t>
      </w:r>
      <w:r>
        <w:rPr>
          <w:rFonts w:hint="default" w:cs="Arial"/>
          <w:color w:val="auto"/>
          <w:sz w:val="22"/>
          <w:szCs w:val="22"/>
          <w:lang w:val="en-US"/>
        </w:rPr>
        <w:tab/>
      </w:r>
      <w:r>
        <w:rPr>
          <w:rFonts w:ascii="Arial" w:hAnsi="Arial" w:eastAsia="Arial" w:cs="Arial"/>
          <w:color w:val="auto"/>
          <w:sz w:val="22"/>
          <w:szCs w:val="22"/>
        </w:rPr>
        <w:t>situation from scratch every time.</w:t>
      </w:r>
    </w:p>
    <w:p w14:paraId="0AE6CB9A">
      <w:pPr>
        <w:spacing w:before="80" w:after="100"/>
        <w:ind w:firstLine="500" w:firstLineChars="0"/>
        <w:jc w:val="both"/>
        <w:rPr>
          <w:color w:val="auto"/>
        </w:rPr>
      </w:pPr>
      <w:r>
        <w:rPr>
          <w:rFonts w:ascii="Arial" w:hAnsi="Arial" w:eastAsia="Arial" w:cs="Arial"/>
          <w:i/>
          <w:iCs/>
          <w:color w:val="auto"/>
          <w:sz w:val="22"/>
          <w:szCs w:val="22"/>
        </w:rPr>
        <w:t xml:space="preserve">Acceptance Criteria: Mastra Memory persists case context across sessions, agent opens </w:t>
      </w:r>
      <w:r>
        <w:rPr>
          <w:rFonts w:hint="default" w:cs="Arial"/>
          <w:i/>
          <w:iCs/>
          <w:color w:val="auto"/>
          <w:sz w:val="22"/>
          <w:szCs w:val="22"/>
          <w:lang w:val="en-US"/>
        </w:rPr>
        <w:tab/>
      </w:r>
      <w:r>
        <w:rPr>
          <w:rFonts w:ascii="Arial" w:hAnsi="Arial" w:eastAsia="Arial" w:cs="Arial"/>
          <w:i/>
          <w:iCs/>
          <w:color w:val="auto"/>
          <w:sz w:val="22"/>
          <w:szCs w:val="22"/>
        </w:rPr>
        <w:t xml:space="preserve">follow-up conversations with a summary of previous context, user can correct or update </w:t>
      </w:r>
      <w:r>
        <w:rPr>
          <w:rFonts w:hint="default" w:cs="Arial"/>
          <w:i/>
          <w:iCs/>
          <w:color w:val="auto"/>
          <w:sz w:val="22"/>
          <w:szCs w:val="22"/>
          <w:lang w:val="en-US"/>
        </w:rPr>
        <w:tab/>
      </w:r>
      <w:r>
        <w:rPr>
          <w:rFonts w:ascii="Arial" w:hAnsi="Arial" w:eastAsia="Arial" w:cs="Arial"/>
          <w:i/>
          <w:iCs/>
          <w:color w:val="auto"/>
          <w:sz w:val="22"/>
          <w:szCs w:val="22"/>
        </w:rPr>
        <w:t>stored context.</w:t>
      </w:r>
    </w:p>
    <w:p w14:paraId="029AEBB1">
      <w:pPr>
        <w:pStyle w:val="2"/>
        <w:spacing w:before="400" w:after="200"/>
        <w:jc w:val="both"/>
        <w:rPr>
          <w:color w:val="auto"/>
        </w:rPr>
      </w:pPr>
      <w:r>
        <w:rPr>
          <w:rFonts w:ascii="Arial" w:hAnsi="Arial" w:eastAsia="Arial" w:cs="Arial"/>
          <w:b/>
          <w:bCs/>
          <w:color w:val="auto"/>
          <w:sz w:val="34"/>
          <w:szCs w:val="34"/>
        </w:rPr>
        <w:t>6. Functional Requirements</w:t>
      </w:r>
    </w:p>
    <w:p w14:paraId="197C512E">
      <w:pPr>
        <w:spacing w:before="60" w:after="60"/>
        <w:jc w:val="both"/>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800"/>
        <w:gridCol w:w="5360"/>
      </w:tblGrid>
      <w:tr w14:paraId="47209E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000000" w:sz="12" w:space="0"/>
              <w:left w:val="nil"/>
              <w:bottom w:val="single" w:color="000000" w:sz="4" w:space="0"/>
              <w:right w:val="nil"/>
              <w:tl2br w:val="nil"/>
            </w:tcBorders>
            <w:shd w:val="clear" w:color="auto" w:fill="FFFFFF"/>
            <w:tcMar>
              <w:top w:w="100" w:type="dxa"/>
              <w:left w:w="150" w:type="dxa"/>
              <w:bottom w:w="100" w:type="dxa"/>
              <w:right w:w="150" w:type="dxa"/>
            </w:tcMar>
          </w:tcPr>
          <w:p w14:paraId="3D7E3C4B">
            <w:pPr>
              <w:jc w:val="both"/>
              <w:rPr>
                <w:b/>
                <w:bCs w:val="0"/>
                <w:color w:val="000000"/>
              </w:rPr>
            </w:pPr>
            <w:r>
              <w:rPr>
                <w:rFonts w:ascii="Arial" w:hAnsi="Arial" w:eastAsia="Arial" w:cs="Arial"/>
                <w:b/>
                <w:bCs w:val="0"/>
                <w:color w:val="000000"/>
                <w:sz w:val="20"/>
                <w:szCs w:val="20"/>
              </w:rPr>
              <w:t>ID</w:t>
            </w:r>
          </w:p>
        </w:tc>
        <w:tc>
          <w:tcPr>
            <w:tcW w:w="2800" w:type="dxa"/>
            <w:tcBorders>
              <w:top w:val="single" w:color="000000" w:sz="12" w:space="0"/>
              <w:left w:val="nil"/>
              <w:bottom w:val="single" w:color="000000" w:sz="4" w:space="0"/>
              <w:right w:val="nil"/>
            </w:tcBorders>
            <w:shd w:val="clear" w:color="auto" w:fill="FFFFFF"/>
            <w:tcMar>
              <w:top w:w="100" w:type="dxa"/>
              <w:left w:w="150" w:type="dxa"/>
              <w:bottom w:w="100" w:type="dxa"/>
              <w:right w:w="150" w:type="dxa"/>
            </w:tcMar>
          </w:tcPr>
          <w:p w14:paraId="478BE06D">
            <w:pPr>
              <w:jc w:val="both"/>
              <w:rPr>
                <w:b/>
                <w:bCs w:val="0"/>
                <w:color w:val="000000"/>
              </w:rPr>
            </w:pPr>
            <w:r>
              <w:rPr>
                <w:rFonts w:ascii="Arial" w:hAnsi="Arial" w:eastAsia="Arial" w:cs="Arial"/>
                <w:b/>
                <w:bCs w:val="0"/>
                <w:color w:val="000000"/>
                <w:sz w:val="20"/>
                <w:szCs w:val="20"/>
              </w:rPr>
              <w:t>Requirement</w:t>
            </w:r>
          </w:p>
        </w:tc>
        <w:tc>
          <w:tcPr>
            <w:tcW w:w="5360" w:type="dxa"/>
            <w:tcBorders>
              <w:top w:val="single" w:color="000000" w:sz="12" w:space="0"/>
              <w:left w:val="nil"/>
              <w:bottom w:val="single" w:color="000000" w:sz="4" w:space="0"/>
              <w:right w:val="nil"/>
            </w:tcBorders>
            <w:shd w:val="clear" w:color="auto" w:fill="FFFFFF"/>
            <w:tcMar>
              <w:top w:w="100" w:type="dxa"/>
              <w:left w:w="150" w:type="dxa"/>
              <w:bottom w:w="100" w:type="dxa"/>
              <w:right w:w="150" w:type="dxa"/>
            </w:tcMar>
          </w:tcPr>
          <w:p w14:paraId="22B32CBE">
            <w:pPr>
              <w:jc w:val="both"/>
              <w:rPr>
                <w:b/>
                <w:bCs w:val="0"/>
                <w:color w:val="000000"/>
              </w:rPr>
            </w:pPr>
            <w:r>
              <w:rPr>
                <w:rFonts w:ascii="Arial" w:hAnsi="Arial" w:eastAsia="Arial" w:cs="Arial"/>
                <w:b/>
                <w:bCs w:val="0"/>
                <w:color w:val="000000"/>
                <w:sz w:val="20"/>
                <w:szCs w:val="20"/>
              </w:rPr>
              <w:t>Description</w:t>
            </w:r>
          </w:p>
        </w:tc>
      </w:tr>
      <w:tr w14:paraId="0C03C5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31C49007">
            <w:pPr>
              <w:jc w:val="both"/>
              <w:rPr>
                <w:color w:val="auto"/>
              </w:rPr>
            </w:pPr>
            <w:r>
              <w:rPr>
                <w:rFonts w:ascii="Arial" w:hAnsi="Arial" w:eastAsia="Arial" w:cs="Arial"/>
                <w:b/>
                <w:bCs/>
                <w:color w:val="auto"/>
                <w:sz w:val="20"/>
                <w:szCs w:val="20"/>
              </w:rPr>
              <w:t>FR-01</w:t>
            </w:r>
          </w:p>
        </w:tc>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901AB73">
            <w:pPr>
              <w:jc w:val="both"/>
              <w:rPr>
                <w:color w:val="auto"/>
              </w:rPr>
            </w:pPr>
            <w:r>
              <w:rPr>
                <w:rFonts w:ascii="Arial" w:hAnsi="Arial" w:eastAsia="Arial" w:cs="Arial"/>
                <w:b w:val="0"/>
                <w:bCs w:val="0"/>
                <w:color w:val="auto"/>
                <w:sz w:val="20"/>
                <w:szCs w:val="20"/>
              </w:rPr>
              <w:t>Multilingual Voice Input</w:t>
            </w:r>
          </w:p>
        </w:tc>
        <w:tc>
          <w:tcPr>
            <w:tcW w:w="5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3541DD0">
            <w:pPr>
              <w:jc w:val="both"/>
              <w:rPr>
                <w:color w:val="auto"/>
              </w:rPr>
            </w:pPr>
            <w:r>
              <w:rPr>
                <w:rFonts w:ascii="Arial" w:hAnsi="Arial" w:eastAsia="Arial" w:cs="Arial"/>
                <w:b w:val="0"/>
                <w:bCs w:val="0"/>
                <w:color w:val="auto"/>
                <w:sz w:val="20"/>
                <w:szCs w:val="20"/>
              </w:rPr>
              <w:t>Accept voice queries in 10+ Indian languages via IndicTrans2 by AI4Bharat with &gt;90% transcription accuracy</w:t>
            </w:r>
          </w:p>
        </w:tc>
      </w:tr>
      <w:tr w14:paraId="56D77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3C071E4">
            <w:pPr>
              <w:jc w:val="both"/>
              <w:rPr>
                <w:color w:val="auto"/>
              </w:rPr>
            </w:pPr>
            <w:r>
              <w:rPr>
                <w:rFonts w:ascii="Arial" w:hAnsi="Arial" w:eastAsia="Arial" w:cs="Arial"/>
                <w:b/>
                <w:bCs/>
                <w:color w:val="auto"/>
                <w:sz w:val="20"/>
                <w:szCs w:val="20"/>
              </w:rPr>
              <w:t>FR-02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588DA7E">
            <w:pPr>
              <w:jc w:val="both"/>
              <w:rPr>
                <w:color w:val="auto"/>
              </w:rPr>
            </w:pPr>
            <w:r>
              <w:rPr>
                <w:rFonts w:ascii="Arial" w:hAnsi="Arial" w:eastAsia="Arial" w:cs="Arial"/>
                <w:b w:val="0"/>
                <w:bCs w:val="0"/>
                <w:color w:val="auto"/>
                <w:sz w:val="20"/>
                <w:szCs w:val="20"/>
              </w:rPr>
              <w:t>Multilingual Text Input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78D01A4">
            <w:pPr>
              <w:jc w:val="both"/>
              <w:rPr>
                <w:color w:val="auto"/>
              </w:rPr>
            </w:pPr>
            <w:r>
              <w:rPr>
                <w:rFonts w:ascii="Arial" w:hAnsi="Arial" w:eastAsia="Arial" w:cs="Arial"/>
                <w:b w:val="0"/>
                <w:bCs w:val="0"/>
                <w:color w:val="auto"/>
                <w:sz w:val="20"/>
                <w:szCs w:val="20"/>
              </w:rPr>
              <w:t>Accept text queries in Hindi, Tamil, Telugu, Bengali, Marathi, Kannada, Gujarati, Malayalam, Punjabi, Odia</w:t>
            </w:r>
          </w:p>
        </w:tc>
      </w:tr>
      <w:tr w14:paraId="2A44F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45ED332">
            <w:pPr>
              <w:jc w:val="both"/>
              <w:rPr>
                <w:color w:val="auto"/>
              </w:rPr>
            </w:pPr>
            <w:r>
              <w:rPr>
                <w:rFonts w:ascii="Arial" w:hAnsi="Arial" w:eastAsia="Arial" w:cs="Arial"/>
                <w:b/>
                <w:bCs/>
                <w:color w:val="auto"/>
                <w:sz w:val="20"/>
                <w:szCs w:val="20"/>
              </w:rPr>
              <w:t>FR-03</w:t>
            </w:r>
          </w:p>
        </w:tc>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7FF3BCE9">
            <w:pPr>
              <w:jc w:val="both"/>
              <w:rPr>
                <w:color w:val="auto"/>
              </w:rPr>
            </w:pPr>
            <w:r>
              <w:rPr>
                <w:rFonts w:ascii="Arial" w:hAnsi="Arial" w:eastAsia="Arial" w:cs="Arial"/>
                <w:b w:val="0"/>
                <w:bCs w:val="0"/>
                <w:color w:val="auto"/>
                <w:sz w:val="20"/>
                <w:szCs w:val="20"/>
              </w:rPr>
              <w:t>Intent Classification</w:t>
            </w:r>
          </w:p>
        </w:tc>
        <w:tc>
          <w:tcPr>
            <w:tcW w:w="5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0CAAD52">
            <w:pPr>
              <w:jc w:val="both"/>
              <w:rPr>
                <w:color w:val="auto"/>
              </w:rPr>
            </w:pPr>
            <w:r>
              <w:rPr>
                <w:rFonts w:ascii="Arial" w:hAnsi="Arial" w:eastAsia="Arial" w:cs="Arial"/>
                <w:b w:val="0"/>
                <w:bCs w:val="0"/>
                <w:color w:val="auto"/>
                <w:sz w:val="20"/>
                <w:szCs w:val="20"/>
              </w:rPr>
              <w:t>Mastra Intent Router Agent classifies every query into Scheme Eligibility, Legal Rights, or Document Generation within 500ms</w:t>
            </w:r>
          </w:p>
        </w:tc>
      </w:tr>
      <w:tr w14:paraId="476E7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48FA291">
            <w:pPr>
              <w:jc w:val="both"/>
              <w:rPr>
                <w:color w:val="auto"/>
              </w:rPr>
            </w:pPr>
            <w:r>
              <w:rPr>
                <w:rFonts w:ascii="Arial" w:hAnsi="Arial" w:eastAsia="Arial" w:cs="Arial"/>
                <w:b/>
                <w:bCs/>
                <w:color w:val="auto"/>
                <w:sz w:val="20"/>
                <w:szCs w:val="20"/>
              </w:rPr>
              <w:t>FR-04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7B8085D">
            <w:pPr>
              <w:jc w:val="both"/>
              <w:rPr>
                <w:color w:val="auto"/>
              </w:rPr>
            </w:pPr>
            <w:r>
              <w:rPr>
                <w:rFonts w:ascii="Arial" w:hAnsi="Arial" w:eastAsia="Arial" w:cs="Arial"/>
                <w:b w:val="0"/>
                <w:bCs w:val="0"/>
                <w:color w:val="auto"/>
                <w:sz w:val="20"/>
                <w:szCs w:val="20"/>
              </w:rPr>
              <w:t>Semantic Legal Retrieval</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07FA23E">
            <w:pPr>
              <w:jc w:val="both"/>
              <w:rPr>
                <w:color w:val="auto"/>
              </w:rPr>
            </w:pPr>
            <w:r>
              <w:rPr>
                <w:rFonts w:ascii="Arial" w:hAnsi="Arial" w:eastAsia="Arial" w:cs="Arial"/>
                <w:b w:val="0"/>
                <w:bCs w:val="0"/>
                <w:color w:val="auto"/>
                <w:sz w:val="20"/>
                <w:szCs w:val="20"/>
              </w:rPr>
              <w:t>Qdrant returns top-5 semantically relevant chunks from 4 legal collections for every agent query</w:t>
            </w:r>
          </w:p>
        </w:tc>
      </w:tr>
      <w:tr w14:paraId="4CAD9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7732FC8D">
            <w:pPr>
              <w:jc w:val="both"/>
              <w:rPr>
                <w:color w:val="auto"/>
              </w:rPr>
            </w:pPr>
            <w:r>
              <w:rPr>
                <w:rFonts w:ascii="Arial" w:hAnsi="Arial" w:eastAsia="Arial" w:cs="Arial"/>
                <w:b/>
                <w:bCs/>
                <w:color w:val="auto"/>
                <w:sz w:val="20"/>
                <w:szCs w:val="20"/>
              </w:rPr>
              <w:t>FR-05</w:t>
            </w:r>
          </w:p>
        </w:tc>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31AA9410">
            <w:pPr>
              <w:jc w:val="both"/>
              <w:rPr>
                <w:color w:val="auto"/>
              </w:rPr>
            </w:pPr>
            <w:r>
              <w:rPr>
                <w:rFonts w:ascii="Arial" w:hAnsi="Arial" w:eastAsia="Arial" w:cs="Arial"/>
                <w:b w:val="0"/>
                <w:bCs w:val="0"/>
                <w:color w:val="auto"/>
                <w:sz w:val="20"/>
                <w:szCs w:val="20"/>
              </w:rPr>
              <w:t>Scheme Eligibility Check</w:t>
            </w:r>
          </w:p>
        </w:tc>
        <w:tc>
          <w:tcPr>
            <w:tcW w:w="5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76BD1F3">
            <w:pPr>
              <w:jc w:val="both"/>
              <w:rPr>
                <w:color w:val="auto"/>
              </w:rPr>
            </w:pPr>
            <w:r>
              <w:rPr>
                <w:rFonts w:ascii="Arial" w:hAnsi="Arial" w:eastAsia="Arial" w:cs="Arial"/>
                <w:b w:val="0"/>
                <w:bCs w:val="0"/>
                <w:color w:val="auto"/>
                <w:sz w:val="20"/>
                <w:szCs w:val="20"/>
              </w:rPr>
              <w:t>SchemeAgent checks eligibility for 500+ government schemes using MyScheme.gov.in API and Qdrant scheme collection</w:t>
            </w:r>
          </w:p>
        </w:tc>
      </w:tr>
      <w:tr w14:paraId="7F9AFD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056B1C9">
            <w:pPr>
              <w:jc w:val="both"/>
              <w:rPr>
                <w:color w:val="auto"/>
              </w:rPr>
            </w:pPr>
            <w:r>
              <w:rPr>
                <w:rFonts w:ascii="Arial" w:hAnsi="Arial" w:eastAsia="Arial" w:cs="Arial"/>
                <w:b/>
                <w:bCs/>
                <w:color w:val="auto"/>
                <w:sz w:val="20"/>
                <w:szCs w:val="20"/>
              </w:rPr>
              <w:t>FR-06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D0C861D">
            <w:pPr>
              <w:jc w:val="both"/>
              <w:rPr>
                <w:color w:val="auto"/>
              </w:rPr>
            </w:pPr>
            <w:r>
              <w:rPr>
                <w:rFonts w:ascii="Arial" w:hAnsi="Arial" w:eastAsia="Arial" w:cs="Arial"/>
                <w:b w:val="0"/>
                <w:bCs w:val="0"/>
                <w:color w:val="auto"/>
                <w:sz w:val="20"/>
                <w:szCs w:val="20"/>
              </w:rPr>
              <w:t>Legal Rights Retrieval</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173C530">
            <w:pPr>
              <w:jc w:val="both"/>
              <w:rPr>
                <w:color w:val="auto"/>
              </w:rPr>
            </w:pPr>
            <w:r>
              <w:rPr>
                <w:rFonts w:ascii="Arial" w:hAnsi="Arial" w:eastAsia="Arial" w:cs="Arial"/>
                <w:b w:val="0"/>
                <w:bCs w:val="0"/>
                <w:color w:val="auto"/>
                <w:sz w:val="20"/>
                <w:szCs w:val="20"/>
              </w:rPr>
              <w:t>LegalAgent retrieves relevant IPC, CrPC, BNS 2023 sections and state-specific land laws</w:t>
            </w:r>
          </w:p>
        </w:tc>
      </w:tr>
      <w:tr w14:paraId="07C2E3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78C00DE">
            <w:pPr>
              <w:jc w:val="both"/>
              <w:rPr>
                <w:color w:val="auto"/>
              </w:rPr>
            </w:pPr>
            <w:r>
              <w:rPr>
                <w:rFonts w:ascii="Arial" w:hAnsi="Arial" w:eastAsia="Arial" w:cs="Arial"/>
                <w:b/>
                <w:bCs/>
                <w:color w:val="auto"/>
                <w:sz w:val="20"/>
                <w:szCs w:val="20"/>
              </w:rPr>
              <w:t>FR-07</w:t>
            </w:r>
          </w:p>
        </w:tc>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77A20009">
            <w:pPr>
              <w:jc w:val="both"/>
              <w:rPr>
                <w:color w:val="auto"/>
              </w:rPr>
            </w:pPr>
            <w:r>
              <w:rPr>
                <w:rFonts w:ascii="Arial" w:hAnsi="Arial" w:eastAsia="Arial" w:cs="Arial"/>
                <w:b w:val="0"/>
                <w:bCs w:val="0"/>
                <w:color w:val="auto"/>
                <w:sz w:val="20"/>
                <w:szCs w:val="20"/>
              </w:rPr>
              <w:t>RTI Document Generation</w:t>
            </w:r>
          </w:p>
        </w:tc>
        <w:tc>
          <w:tcPr>
            <w:tcW w:w="5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9F198E7">
            <w:pPr>
              <w:jc w:val="both"/>
              <w:rPr>
                <w:color w:val="auto"/>
              </w:rPr>
            </w:pPr>
            <w:r>
              <w:rPr>
                <w:rFonts w:ascii="Arial" w:hAnsi="Arial" w:eastAsia="Arial" w:cs="Arial"/>
                <w:b w:val="0"/>
                <w:bCs w:val="0"/>
                <w:color w:val="auto"/>
                <w:sz w:val="20"/>
                <w:szCs w:val="20"/>
              </w:rPr>
              <w:t>DocumentAgent generates correctly formatted RTI applications and complaint letters in the user's language</w:t>
            </w:r>
          </w:p>
        </w:tc>
      </w:tr>
      <w:tr w14:paraId="64186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365748B">
            <w:pPr>
              <w:jc w:val="both"/>
              <w:rPr>
                <w:color w:val="auto"/>
              </w:rPr>
            </w:pPr>
            <w:r>
              <w:rPr>
                <w:rFonts w:ascii="Arial" w:hAnsi="Arial" w:eastAsia="Arial" w:cs="Arial"/>
                <w:b/>
                <w:bCs/>
                <w:color w:val="auto"/>
                <w:sz w:val="20"/>
                <w:szCs w:val="20"/>
              </w:rPr>
              <w:t>FR-08</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5D1F4DE">
            <w:pPr>
              <w:jc w:val="both"/>
              <w:rPr>
                <w:color w:val="auto"/>
              </w:rPr>
            </w:pPr>
            <w:r>
              <w:rPr>
                <w:rFonts w:ascii="Arial" w:hAnsi="Arial" w:eastAsia="Arial" w:cs="Arial"/>
                <w:b w:val="0"/>
                <w:bCs w:val="0"/>
                <w:color w:val="auto"/>
                <w:sz w:val="20"/>
                <w:szCs w:val="20"/>
              </w:rPr>
              <w:t>Cross-Session Memory</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BF81D72">
            <w:pPr>
              <w:jc w:val="both"/>
              <w:rPr>
                <w:color w:val="auto"/>
              </w:rPr>
            </w:pPr>
            <w:r>
              <w:rPr>
                <w:rFonts w:ascii="Arial" w:hAnsi="Arial" w:eastAsia="Arial" w:cs="Arial"/>
                <w:b w:val="0"/>
                <w:bCs w:val="0"/>
                <w:color w:val="auto"/>
                <w:sz w:val="20"/>
                <w:szCs w:val="20"/>
              </w:rPr>
              <w:t>Mastra Memory persists user case context across conversations using Redis backing store</w:t>
            </w:r>
          </w:p>
        </w:tc>
      </w:tr>
      <w:tr w14:paraId="77F26C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7922F48">
            <w:pPr>
              <w:jc w:val="both"/>
              <w:rPr>
                <w:color w:val="auto"/>
              </w:rPr>
            </w:pPr>
            <w:r>
              <w:rPr>
                <w:rFonts w:ascii="Arial" w:hAnsi="Arial" w:eastAsia="Arial" w:cs="Arial"/>
                <w:b/>
                <w:bCs/>
                <w:color w:val="auto"/>
                <w:sz w:val="20"/>
                <w:szCs w:val="20"/>
              </w:rPr>
              <w:t>FR-09</w:t>
            </w:r>
          </w:p>
        </w:tc>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0DE15852">
            <w:pPr>
              <w:jc w:val="both"/>
              <w:rPr>
                <w:color w:val="auto"/>
              </w:rPr>
            </w:pPr>
            <w:r>
              <w:rPr>
                <w:rFonts w:ascii="Arial" w:hAnsi="Arial" w:eastAsia="Arial" w:cs="Arial"/>
                <w:b w:val="0"/>
                <w:bCs w:val="0"/>
                <w:color w:val="auto"/>
                <w:sz w:val="20"/>
                <w:szCs w:val="20"/>
              </w:rPr>
              <w:t>Hallucination Detection</w:t>
            </w:r>
          </w:p>
        </w:tc>
        <w:tc>
          <w:tcPr>
            <w:tcW w:w="5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11EAE701">
            <w:pPr>
              <w:jc w:val="both"/>
              <w:rPr>
                <w:color w:val="auto"/>
              </w:rPr>
            </w:pPr>
            <w:r>
              <w:rPr>
                <w:rFonts w:ascii="Arial" w:hAnsi="Arial" w:eastAsia="Arial" w:cs="Arial"/>
                <w:b w:val="0"/>
                <w:bCs w:val="0"/>
                <w:color w:val="auto"/>
                <w:sz w:val="20"/>
                <w:szCs w:val="20"/>
              </w:rPr>
              <w:t>Enkrypt AI cross-checks every factual claim against retrieved source chunks before response delivery</w:t>
            </w:r>
          </w:p>
        </w:tc>
      </w:tr>
      <w:tr w14:paraId="6328E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0A39086">
            <w:pPr>
              <w:jc w:val="both"/>
              <w:rPr>
                <w:color w:val="auto"/>
              </w:rPr>
            </w:pPr>
            <w:r>
              <w:rPr>
                <w:rFonts w:ascii="Arial" w:hAnsi="Arial" w:eastAsia="Arial" w:cs="Arial"/>
                <w:b/>
                <w:bCs/>
                <w:color w:val="auto"/>
                <w:sz w:val="20"/>
                <w:szCs w:val="20"/>
              </w:rPr>
              <w:t>FR-10</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F973523">
            <w:pPr>
              <w:jc w:val="both"/>
              <w:rPr>
                <w:color w:val="auto"/>
              </w:rPr>
            </w:pPr>
            <w:r>
              <w:rPr>
                <w:rFonts w:ascii="Arial" w:hAnsi="Arial" w:eastAsia="Arial" w:cs="Arial"/>
                <w:b w:val="0"/>
                <w:bCs w:val="0"/>
                <w:color w:val="auto"/>
                <w:sz w:val="20"/>
                <w:szCs w:val="20"/>
              </w:rPr>
              <w:t>Confidence Scoring</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E77AE6E">
            <w:pPr>
              <w:jc w:val="both"/>
              <w:rPr>
                <w:color w:val="auto"/>
              </w:rPr>
            </w:pPr>
            <w:r>
              <w:rPr>
                <w:rFonts w:ascii="Arial" w:hAnsi="Arial" w:eastAsia="Arial" w:cs="Arial"/>
                <w:b w:val="0"/>
                <w:bCs w:val="0"/>
                <w:color w:val="auto"/>
                <w:sz w:val="20"/>
                <w:szCs w:val="20"/>
              </w:rPr>
              <w:t>Enkrypt AI assigns 0-1 confidence score; responses below 0.7 are blocked automatically</w:t>
            </w:r>
          </w:p>
        </w:tc>
      </w:tr>
      <w:tr w14:paraId="6A1E6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7719859A">
            <w:pPr>
              <w:jc w:val="both"/>
              <w:rPr>
                <w:color w:val="auto"/>
              </w:rPr>
            </w:pPr>
            <w:r>
              <w:rPr>
                <w:rFonts w:ascii="Arial" w:hAnsi="Arial" w:eastAsia="Arial" w:cs="Arial"/>
                <w:b/>
                <w:bCs/>
                <w:color w:val="auto"/>
                <w:sz w:val="20"/>
                <w:szCs w:val="20"/>
              </w:rPr>
              <w:t>FR-11</w:t>
            </w:r>
          </w:p>
        </w:tc>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6D0ACFA">
            <w:pPr>
              <w:jc w:val="both"/>
              <w:rPr>
                <w:color w:val="auto"/>
              </w:rPr>
            </w:pPr>
            <w:r>
              <w:rPr>
                <w:rFonts w:ascii="Arial" w:hAnsi="Arial" w:eastAsia="Arial" w:cs="Arial"/>
                <w:b w:val="0"/>
                <w:bCs w:val="0"/>
                <w:color w:val="auto"/>
                <w:sz w:val="20"/>
                <w:szCs w:val="20"/>
              </w:rPr>
              <w:t>DLSA Referral</w:t>
            </w:r>
          </w:p>
        </w:tc>
        <w:tc>
          <w:tcPr>
            <w:tcW w:w="5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75535174">
            <w:pPr>
              <w:jc w:val="both"/>
              <w:rPr>
                <w:color w:val="auto"/>
              </w:rPr>
            </w:pPr>
            <w:r>
              <w:rPr>
                <w:rFonts w:ascii="Arial" w:hAnsi="Arial" w:eastAsia="Arial" w:cs="Arial"/>
                <w:b w:val="0"/>
                <w:bCs w:val="0"/>
                <w:color w:val="auto"/>
                <w:sz w:val="20"/>
                <w:szCs w:val="20"/>
              </w:rPr>
              <w:t>Complex cases exceeding confidence threshold trigger automatic referral to nearest District Legal Services Authority</w:t>
            </w:r>
          </w:p>
        </w:tc>
      </w:tr>
      <w:tr w14:paraId="72D17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A4909B2">
            <w:pPr>
              <w:jc w:val="both"/>
              <w:rPr>
                <w:color w:val="auto"/>
              </w:rPr>
            </w:pPr>
            <w:r>
              <w:rPr>
                <w:rFonts w:ascii="Arial" w:hAnsi="Arial" w:eastAsia="Arial" w:cs="Arial"/>
                <w:b/>
                <w:bCs/>
                <w:color w:val="auto"/>
                <w:sz w:val="20"/>
                <w:szCs w:val="20"/>
              </w:rPr>
              <w:t>FR-12</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2B5D320">
            <w:pPr>
              <w:jc w:val="both"/>
              <w:rPr>
                <w:color w:val="auto"/>
              </w:rPr>
            </w:pPr>
            <w:r>
              <w:rPr>
                <w:rFonts w:ascii="Arial" w:hAnsi="Arial" w:eastAsia="Arial" w:cs="Arial"/>
                <w:b w:val="0"/>
                <w:bCs w:val="0"/>
                <w:color w:val="auto"/>
                <w:sz w:val="20"/>
                <w:szCs w:val="20"/>
              </w:rPr>
              <w:t>PII Filtering</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DA451C6">
            <w:pPr>
              <w:jc w:val="both"/>
              <w:rPr>
                <w:color w:val="auto"/>
              </w:rPr>
            </w:pPr>
            <w:r>
              <w:rPr>
                <w:rFonts w:ascii="Arial" w:hAnsi="Arial" w:eastAsia="Arial" w:cs="Arial"/>
                <w:b w:val="0"/>
                <w:bCs w:val="0"/>
                <w:color w:val="auto"/>
                <w:sz w:val="20"/>
                <w:szCs w:val="20"/>
              </w:rPr>
              <w:t>Enkrypt AI output guardrails detect and redact personally identifiable information before response delivery</w:t>
            </w:r>
          </w:p>
        </w:tc>
      </w:tr>
      <w:tr w14:paraId="23162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7AB8C0E9">
            <w:pPr>
              <w:jc w:val="both"/>
              <w:rPr>
                <w:color w:val="auto"/>
              </w:rPr>
            </w:pPr>
            <w:r>
              <w:rPr>
                <w:rFonts w:ascii="Arial" w:hAnsi="Arial" w:eastAsia="Arial" w:cs="Arial"/>
                <w:b/>
                <w:bCs/>
                <w:color w:val="auto"/>
                <w:sz w:val="20"/>
                <w:szCs w:val="20"/>
              </w:rPr>
              <w:t>FR-13</w:t>
            </w:r>
          </w:p>
        </w:tc>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1C2CD6F9">
            <w:pPr>
              <w:jc w:val="both"/>
              <w:rPr>
                <w:color w:val="auto"/>
              </w:rPr>
            </w:pPr>
            <w:r>
              <w:rPr>
                <w:rFonts w:ascii="Arial" w:hAnsi="Arial" w:eastAsia="Arial" w:cs="Arial"/>
                <w:b w:val="0"/>
                <w:bCs w:val="0"/>
                <w:color w:val="auto"/>
                <w:sz w:val="20"/>
                <w:szCs w:val="20"/>
              </w:rPr>
              <w:t>WhatsApp Integration</w:t>
            </w:r>
          </w:p>
        </w:tc>
        <w:tc>
          <w:tcPr>
            <w:tcW w:w="5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17A4E01">
            <w:pPr>
              <w:jc w:val="both"/>
              <w:rPr>
                <w:color w:val="auto"/>
              </w:rPr>
            </w:pPr>
            <w:r>
              <w:rPr>
                <w:rFonts w:ascii="Arial" w:hAnsi="Arial" w:eastAsia="Arial" w:cs="Arial"/>
                <w:b w:val="0"/>
                <w:bCs w:val="0"/>
                <w:color w:val="auto"/>
                <w:sz w:val="20"/>
                <w:szCs w:val="20"/>
              </w:rPr>
              <w:t>Full agent functionality available via WhatsApp Business API for users without smartphone app access</w:t>
            </w:r>
          </w:p>
        </w:tc>
      </w:tr>
      <w:tr w14:paraId="44DD8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33E9C28">
            <w:pPr>
              <w:jc w:val="both"/>
              <w:rPr>
                <w:color w:val="auto"/>
              </w:rPr>
            </w:pPr>
            <w:r>
              <w:rPr>
                <w:rFonts w:ascii="Arial" w:hAnsi="Arial" w:eastAsia="Arial" w:cs="Arial"/>
                <w:b/>
                <w:bCs/>
                <w:color w:val="auto"/>
                <w:sz w:val="20"/>
                <w:szCs w:val="20"/>
              </w:rPr>
              <w:t>FR-14</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AFAE5B8">
            <w:pPr>
              <w:jc w:val="both"/>
              <w:rPr>
                <w:color w:val="auto"/>
              </w:rPr>
            </w:pPr>
            <w:r>
              <w:rPr>
                <w:rFonts w:ascii="Arial" w:hAnsi="Arial" w:eastAsia="Arial" w:cs="Arial"/>
                <w:b w:val="0"/>
                <w:bCs w:val="0"/>
                <w:color w:val="auto"/>
                <w:sz w:val="20"/>
                <w:szCs w:val="20"/>
              </w:rPr>
              <w:t>Offline PWA Support</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2996D69">
            <w:pPr>
              <w:jc w:val="both"/>
              <w:rPr>
                <w:color w:val="auto"/>
              </w:rPr>
            </w:pPr>
            <w:r>
              <w:rPr>
                <w:rFonts w:ascii="Arial" w:hAnsi="Arial" w:eastAsia="Arial" w:cs="Arial"/>
                <w:b w:val="0"/>
                <w:bCs w:val="0"/>
                <w:color w:val="auto"/>
                <w:sz w:val="20"/>
                <w:szCs w:val="20"/>
              </w:rPr>
              <w:t>Progressive Web App functions with cached legal FAQs and basic guidance in zero-connectivity scenarios</w:t>
            </w:r>
          </w:p>
        </w:tc>
      </w:tr>
      <w:tr w14:paraId="3E82C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8E8FDCE">
            <w:pPr>
              <w:jc w:val="both"/>
              <w:rPr>
                <w:color w:val="auto"/>
              </w:rPr>
            </w:pPr>
            <w:r>
              <w:rPr>
                <w:rFonts w:ascii="Arial" w:hAnsi="Arial" w:eastAsia="Arial" w:cs="Arial"/>
                <w:b/>
                <w:bCs/>
                <w:color w:val="auto"/>
                <w:sz w:val="20"/>
                <w:szCs w:val="20"/>
              </w:rPr>
              <w:t>FR-15</w:t>
            </w:r>
          </w:p>
        </w:tc>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EBE3BCE">
            <w:pPr>
              <w:jc w:val="both"/>
              <w:rPr>
                <w:color w:val="auto"/>
              </w:rPr>
            </w:pPr>
            <w:r>
              <w:rPr>
                <w:rFonts w:ascii="Arial" w:hAnsi="Arial" w:eastAsia="Arial" w:cs="Arial"/>
                <w:b w:val="0"/>
                <w:bCs w:val="0"/>
                <w:color w:val="auto"/>
                <w:sz w:val="20"/>
                <w:szCs w:val="20"/>
              </w:rPr>
              <w:t>Document Scanner</w:t>
            </w:r>
          </w:p>
        </w:tc>
        <w:tc>
          <w:tcPr>
            <w:tcW w:w="5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365297E2">
            <w:pPr>
              <w:jc w:val="both"/>
              <w:rPr>
                <w:color w:val="auto"/>
              </w:rPr>
            </w:pPr>
            <w:r>
              <w:rPr>
                <w:rFonts w:ascii="Arial" w:hAnsi="Arial" w:eastAsia="Arial" w:cs="Arial"/>
                <w:b w:val="0"/>
                <w:bCs w:val="0"/>
                <w:color w:val="auto"/>
                <w:sz w:val="20"/>
                <w:szCs w:val="20"/>
              </w:rPr>
              <w:t>Camera-based document capture sends government notices and legal documents for agent analysis</w:t>
            </w:r>
          </w:p>
        </w:tc>
      </w:tr>
    </w:tbl>
    <w:p w14:paraId="3C4CE378">
      <w:pPr>
        <w:pStyle w:val="2"/>
        <w:spacing w:before="400" w:after="200"/>
        <w:jc w:val="both"/>
        <w:rPr>
          <w:color w:val="auto"/>
        </w:rPr>
      </w:pPr>
      <w:r>
        <w:rPr>
          <w:rFonts w:ascii="Arial" w:hAnsi="Arial" w:eastAsia="Arial" w:cs="Arial"/>
          <w:b/>
          <w:bCs/>
          <w:color w:val="auto"/>
          <w:sz w:val="34"/>
          <w:szCs w:val="34"/>
        </w:rPr>
        <w:t>7. Non-Functional Requirements</w:t>
      </w:r>
    </w:p>
    <w:p w14:paraId="326C0E7F">
      <w:pPr>
        <w:spacing w:before="60" w:after="60"/>
        <w:jc w:val="both"/>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55F4A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80DBE4E">
            <w:pPr>
              <w:jc w:val="both"/>
              <w:rPr>
                <w:color w:val="auto"/>
              </w:rPr>
            </w:pPr>
            <w:r>
              <w:rPr>
                <w:rFonts w:ascii="Arial" w:hAnsi="Arial" w:eastAsia="Arial" w:cs="Arial"/>
                <w:b/>
                <w:bCs/>
                <w:color w:val="auto"/>
                <w:sz w:val="20"/>
                <w:szCs w:val="20"/>
              </w:rPr>
              <w:t>Response Time</w:t>
            </w:r>
          </w:p>
        </w:tc>
        <w:tc>
          <w:tcPr>
            <w:tcW w:w="6560"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50" w:type="dxa"/>
              <w:bottom w:w="100" w:type="dxa"/>
              <w:right w:w="150" w:type="dxa"/>
            </w:tcMar>
          </w:tcPr>
          <w:p w14:paraId="3C9F966D">
            <w:pPr>
              <w:jc w:val="both"/>
              <w:rPr>
                <w:color w:val="auto"/>
              </w:rPr>
            </w:pPr>
            <w:r>
              <w:rPr>
                <w:rFonts w:ascii="Arial" w:hAnsi="Arial" w:eastAsia="Arial" w:cs="Arial"/>
                <w:color w:val="auto"/>
                <w:sz w:val="20"/>
                <w:szCs w:val="20"/>
              </w:rPr>
              <w:t>End-to-end query response in under 3 seconds (P95)</w:t>
            </w:r>
          </w:p>
        </w:tc>
      </w:tr>
      <w:tr w14:paraId="7AE459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3FF"/>
            <w:tcMar>
              <w:top w:w="100" w:type="dxa"/>
              <w:left w:w="150" w:type="dxa"/>
              <w:bottom w:w="100" w:type="dxa"/>
              <w:right w:w="150" w:type="dxa"/>
            </w:tcMar>
          </w:tcPr>
          <w:p w14:paraId="4483C9D6">
            <w:pPr>
              <w:jc w:val="both"/>
              <w:rPr>
                <w:color w:val="auto"/>
              </w:rPr>
            </w:pPr>
            <w:r>
              <w:rPr>
                <w:rFonts w:ascii="Arial" w:hAnsi="Arial" w:eastAsia="Arial" w:cs="Arial"/>
                <w:b/>
                <w:bCs/>
                <w:color w:val="auto"/>
                <w:sz w:val="20"/>
                <w:szCs w:val="20"/>
              </w:rPr>
              <w:t>Uptime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3158D0B">
            <w:pPr>
              <w:jc w:val="both"/>
              <w:rPr>
                <w:color w:val="auto"/>
              </w:rPr>
            </w:pPr>
            <w:r>
              <w:rPr>
                <w:rFonts w:ascii="Arial" w:hAnsi="Arial" w:eastAsia="Arial" w:cs="Arial"/>
                <w:color w:val="auto"/>
                <w:sz w:val="20"/>
                <w:szCs w:val="20"/>
              </w:rPr>
              <w:t>99.5% availability — critical for users in legal emergencies</w:t>
            </w:r>
          </w:p>
        </w:tc>
      </w:tr>
      <w:tr w14:paraId="4A764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0FBCE4C0">
            <w:pPr>
              <w:jc w:val="both"/>
              <w:rPr>
                <w:color w:val="auto"/>
              </w:rPr>
            </w:pPr>
            <w:r>
              <w:rPr>
                <w:rFonts w:ascii="Arial" w:hAnsi="Arial" w:eastAsia="Arial" w:cs="Arial"/>
                <w:b/>
                <w:bCs/>
                <w:color w:val="auto"/>
                <w:sz w:val="20"/>
                <w:szCs w:val="20"/>
              </w:rPr>
              <w:t>Languages Supported</w:t>
            </w:r>
          </w:p>
        </w:tc>
        <w:tc>
          <w:tcPr>
            <w:tcW w:w="6560"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50" w:type="dxa"/>
              <w:bottom w:w="100" w:type="dxa"/>
              <w:right w:w="150" w:type="dxa"/>
            </w:tcMar>
          </w:tcPr>
          <w:p w14:paraId="232C8E0D">
            <w:pPr>
              <w:jc w:val="both"/>
              <w:rPr>
                <w:color w:val="auto"/>
              </w:rPr>
            </w:pPr>
            <w:r>
              <w:rPr>
                <w:rFonts w:ascii="Arial" w:hAnsi="Arial" w:eastAsia="Arial" w:cs="Arial"/>
                <w:color w:val="auto"/>
                <w:sz w:val="20"/>
                <w:szCs w:val="20"/>
              </w:rPr>
              <w:t>10+ Indian languages via IndicTrans2</w:t>
            </w:r>
          </w:p>
        </w:tc>
      </w:tr>
      <w:tr w14:paraId="32351F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3FF"/>
            <w:tcMar>
              <w:top w:w="100" w:type="dxa"/>
              <w:left w:w="150" w:type="dxa"/>
              <w:bottom w:w="100" w:type="dxa"/>
              <w:right w:w="150" w:type="dxa"/>
            </w:tcMar>
          </w:tcPr>
          <w:p w14:paraId="498A1FA9">
            <w:pPr>
              <w:jc w:val="both"/>
              <w:rPr>
                <w:color w:val="auto"/>
              </w:rPr>
            </w:pPr>
            <w:r>
              <w:rPr>
                <w:rFonts w:ascii="Arial" w:hAnsi="Arial" w:eastAsia="Arial" w:cs="Arial"/>
                <w:b/>
                <w:bCs/>
                <w:color w:val="auto"/>
                <w:sz w:val="20"/>
                <w:szCs w:val="20"/>
              </w:rPr>
              <w:t>Hallucination Rate</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CF1042E">
            <w:pPr>
              <w:jc w:val="both"/>
              <w:rPr>
                <w:color w:val="auto"/>
              </w:rPr>
            </w:pPr>
            <w:r>
              <w:rPr>
                <w:rFonts w:ascii="Arial" w:hAnsi="Arial" w:eastAsia="Arial" w:cs="Arial"/>
                <w:color w:val="auto"/>
                <w:sz w:val="20"/>
                <w:szCs w:val="20"/>
              </w:rPr>
              <w:t>Below 5% as measured by Enkrypt AI confidence scoring</w:t>
            </w:r>
          </w:p>
        </w:tc>
      </w:tr>
      <w:tr w14:paraId="041D1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35F6678">
            <w:pPr>
              <w:jc w:val="both"/>
              <w:rPr>
                <w:color w:val="auto"/>
              </w:rPr>
            </w:pPr>
            <w:r>
              <w:rPr>
                <w:rFonts w:ascii="Arial" w:hAnsi="Arial" w:eastAsia="Arial" w:cs="Arial"/>
                <w:b/>
                <w:bCs/>
                <w:color w:val="auto"/>
                <w:sz w:val="20"/>
                <w:szCs w:val="20"/>
              </w:rPr>
              <w:t>Concurrent Users</w:t>
            </w:r>
          </w:p>
        </w:tc>
        <w:tc>
          <w:tcPr>
            <w:tcW w:w="6560"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50" w:type="dxa"/>
              <w:bottom w:w="100" w:type="dxa"/>
              <w:right w:w="150" w:type="dxa"/>
            </w:tcMar>
          </w:tcPr>
          <w:p w14:paraId="31473FC9">
            <w:pPr>
              <w:jc w:val="both"/>
              <w:rPr>
                <w:color w:val="auto"/>
              </w:rPr>
            </w:pPr>
            <w:r>
              <w:rPr>
                <w:rFonts w:ascii="Arial" w:hAnsi="Arial" w:eastAsia="Arial" w:cs="Arial"/>
                <w:color w:val="auto"/>
                <w:sz w:val="20"/>
                <w:szCs w:val="20"/>
              </w:rPr>
              <w:t>Handles 10,000 concurrent users without degradation</w:t>
            </w:r>
          </w:p>
        </w:tc>
      </w:tr>
      <w:tr w14:paraId="7ED6CC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3FF"/>
            <w:tcMar>
              <w:top w:w="100" w:type="dxa"/>
              <w:left w:w="150" w:type="dxa"/>
              <w:bottom w:w="100" w:type="dxa"/>
              <w:right w:w="150" w:type="dxa"/>
            </w:tcMar>
          </w:tcPr>
          <w:p w14:paraId="1C9B85B3">
            <w:pPr>
              <w:jc w:val="both"/>
              <w:rPr>
                <w:color w:val="auto"/>
              </w:rPr>
            </w:pPr>
            <w:r>
              <w:rPr>
                <w:rFonts w:ascii="Arial" w:hAnsi="Arial" w:eastAsia="Arial" w:cs="Arial"/>
                <w:b/>
                <w:bCs/>
                <w:color w:val="auto"/>
                <w:sz w:val="20"/>
                <w:szCs w:val="20"/>
              </w:rPr>
              <w:t>Data Security</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1C8112B">
            <w:pPr>
              <w:jc w:val="both"/>
              <w:rPr>
                <w:color w:val="auto"/>
              </w:rPr>
            </w:pPr>
            <w:r>
              <w:rPr>
                <w:rFonts w:ascii="Arial" w:hAnsi="Arial" w:eastAsia="Arial" w:cs="Arial"/>
                <w:color w:val="auto"/>
                <w:sz w:val="20"/>
                <w:szCs w:val="20"/>
              </w:rPr>
              <w:t>PII encrypted at rest (AES-256) and in transit (TLS 1.3)</w:t>
            </w:r>
          </w:p>
        </w:tc>
      </w:tr>
      <w:tr w14:paraId="216B1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1C2BBAC">
            <w:pPr>
              <w:jc w:val="both"/>
              <w:rPr>
                <w:color w:val="auto"/>
              </w:rPr>
            </w:pPr>
            <w:r>
              <w:rPr>
                <w:rFonts w:ascii="Arial" w:hAnsi="Arial" w:eastAsia="Arial" w:cs="Arial"/>
                <w:b/>
                <w:bCs/>
                <w:color w:val="auto"/>
                <w:sz w:val="20"/>
                <w:szCs w:val="20"/>
              </w:rPr>
              <w:t>Compliance</w:t>
            </w:r>
          </w:p>
        </w:tc>
        <w:tc>
          <w:tcPr>
            <w:tcW w:w="6560"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50" w:type="dxa"/>
              <w:bottom w:w="100" w:type="dxa"/>
              <w:right w:w="150" w:type="dxa"/>
            </w:tcMar>
          </w:tcPr>
          <w:p w14:paraId="3A25D461">
            <w:pPr>
              <w:jc w:val="both"/>
              <w:rPr>
                <w:color w:val="auto"/>
              </w:rPr>
            </w:pPr>
            <w:r>
              <w:rPr>
                <w:rFonts w:ascii="Arial" w:hAnsi="Arial" w:eastAsia="Arial" w:cs="Arial"/>
                <w:color w:val="auto"/>
                <w:sz w:val="20"/>
                <w:szCs w:val="20"/>
              </w:rPr>
              <w:t>Adheres to IT Act 2000, DPDP Act 2023 for data handling</w:t>
            </w:r>
          </w:p>
        </w:tc>
      </w:tr>
      <w:tr w14:paraId="40E321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3FF"/>
            <w:tcMar>
              <w:top w:w="100" w:type="dxa"/>
              <w:left w:w="150" w:type="dxa"/>
              <w:bottom w:w="100" w:type="dxa"/>
              <w:right w:w="150" w:type="dxa"/>
            </w:tcMar>
          </w:tcPr>
          <w:p w14:paraId="2DCF7719">
            <w:pPr>
              <w:jc w:val="both"/>
              <w:rPr>
                <w:color w:val="auto"/>
              </w:rPr>
            </w:pPr>
            <w:r>
              <w:rPr>
                <w:rFonts w:ascii="Arial" w:hAnsi="Arial" w:eastAsia="Arial" w:cs="Arial"/>
                <w:b/>
                <w:bCs/>
                <w:color w:val="auto"/>
                <w:sz w:val="20"/>
                <w:szCs w:val="20"/>
              </w:rPr>
              <w:t>Accessibility</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4C6B5F4">
            <w:pPr>
              <w:jc w:val="both"/>
              <w:rPr>
                <w:color w:val="auto"/>
              </w:rPr>
            </w:pPr>
            <w:r>
              <w:rPr>
                <w:rFonts w:ascii="Arial" w:hAnsi="Arial" w:eastAsia="Arial" w:cs="Arial"/>
                <w:color w:val="auto"/>
                <w:sz w:val="20"/>
                <w:szCs w:val="20"/>
              </w:rPr>
              <w:t>WCAG 2.1 AA compliant web interface</w:t>
            </w:r>
          </w:p>
        </w:tc>
      </w:tr>
      <w:tr w14:paraId="2D3C3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751A7617">
            <w:pPr>
              <w:jc w:val="both"/>
              <w:rPr>
                <w:color w:val="auto"/>
              </w:rPr>
            </w:pPr>
            <w:r>
              <w:rPr>
                <w:rFonts w:ascii="Arial" w:hAnsi="Arial" w:eastAsia="Arial" w:cs="Arial"/>
                <w:b/>
                <w:bCs/>
                <w:color w:val="auto"/>
                <w:sz w:val="20"/>
                <w:szCs w:val="20"/>
              </w:rPr>
              <w:t>Mobile Performance</w:t>
            </w:r>
          </w:p>
        </w:tc>
        <w:tc>
          <w:tcPr>
            <w:tcW w:w="6560"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50" w:type="dxa"/>
              <w:bottom w:w="100" w:type="dxa"/>
              <w:right w:w="150" w:type="dxa"/>
            </w:tcMar>
          </w:tcPr>
          <w:p w14:paraId="476350CE">
            <w:pPr>
              <w:jc w:val="both"/>
              <w:rPr>
                <w:color w:val="auto"/>
              </w:rPr>
            </w:pPr>
            <w:r>
              <w:rPr>
                <w:rFonts w:ascii="Arial" w:hAnsi="Arial" w:eastAsia="Arial" w:cs="Arial"/>
                <w:color w:val="auto"/>
                <w:sz w:val="20"/>
                <w:szCs w:val="20"/>
              </w:rPr>
              <w:t>Core Web Vitals: LCP &lt; 2.5s, CLS &lt; 0.1 on 3G connections</w:t>
            </w:r>
          </w:p>
        </w:tc>
      </w:tr>
      <w:tr w14:paraId="22A54B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3FF"/>
            <w:tcMar>
              <w:top w:w="100" w:type="dxa"/>
              <w:left w:w="150" w:type="dxa"/>
              <w:bottom w:w="100" w:type="dxa"/>
              <w:right w:w="150" w:type="dxa"/>
            </w:tcMar>
          </w:tcPr>
          <w:p w14:paraId="2287E9C4">
            <w:pPr>
              <w:jc w:val="both"/>
              <w:rPr>
                <w:color w:val="auto"/>
              </w:rPr>
            </w:pPr>
            <w:r>
              <w:rPr>
                <w:rFonts w:ascii="Arial" w:hAnsi="Arial" w:eastAsia="Arial" w:cs="Arial"/>
                <w:b/>
                <w:bCs/>
                <w:color w:val="auto"/>
                <w:sz w:val="20"/>
                <w:szCs w:val="20"/>
              </w:rPr>
              <w:t>Audit Trail</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A7D9B5F">
            <w:pPr>
              <w:jc w:val="both"/>
              <w:rPr>
                <w:color w:val="auto"/>
              </w:rPr>
            </w:pPr>
            <w:r>
              <w:rPr>
                <w:rFonts w:ascii="Arial" w:hAnsi="Arial" w:eastAsia="Arial" w:cs="Arial"/>
                <w:color w:val="auto"/>
                <w:sz w:val="20"/>
                <w:szCs w:val="20"/>
              </w:rPr>
              <w:t>All Enkrypt AI evaluations logged with timestamps for compliance</w:t>
            </w:r>
          </w:p>
        </w:tc>
      </w:tr>
    </w:tbl>
    <w:p w14:paraId="63C59506">
      <w:pPr>
        <w:pStyle w:val="2"/>
        <w:spacing w:before="400" w:after="200"/>
        <w:jc w:val="both"/>
        <w:rPr>
          <w:color w:val="auto"/>
        </w:rPr>
      </w:pPr>
      <w:r>
        <w:rPr>
          <w:rFonts w:ascii="Arial" w:hAnsi="Arial" w:eastAsia="Arial" w:cs="Arial"/>
          <w:b/>
          <w:bCs/>
          <w:color w:val="auto"/>
          <w:sz w:val="34"/>
          <w:szCs w:val="34"/>
        </w:rPr>
        <w:t>8. Technical Architecture Summary</w:t>
      </w:r>
    </w:p>
    <w:p w14:paraId="1877E3D2">
      <w:pPr>
        <w:pStyle w:val="3"/>
        <w:spacing w:before="280" w:after="140"/>
        <w:jc w:val="both"/>
        <w:rPr>
          <w:color w:val="auto"/>
        </w:rPr>
      </w:pPr>
      <w:r>
        <w:rPr>
          <w:rFonts w:ascii="Arial" w:hAnsi="Arial" w:eastAsia="Arial" w:cs="Arial"/>
          <w:b/>
          <w:bCs/>
          <w:color w:val="auto"/>
          <w:sz w:val="26"/>
          <w:szCs w:val="26"/>
        </w:rPr>
        <w:t>8.1 Technology Stack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60"/>
      </w:tblGrid>
      <w:tr w14:paraId="463E35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12" w:space="0"/>
              <w:left w:val="nil"/>
              <w:bottom w:val="single" w:color="000000" w:sz="4" w:space="0"/>
              <w:right w:val="nil"/>
              <w:tl2br w:val="nil"/>
            </w:tcBorders>
            <w:shd w:val="clear" w:color="auto" w:fill="FFFFFF"/>
            <w:tcMar>
              <w:top w:w="100" w:type="dxa"/>
              <w:left w:w="150" w:type="dxa"/>
              <w:bottom w:w="100" w:type="dxa"/>
              <w:right w:w="150" w:type="dxa"/>
            </w:tcMar>
          </w:tcPr>
          <w:p w14:paraId="46BFE8B7">
            <w:pPr>
              <w:jc w:val="both"/>
              <w:rPr>
                <w:b/>
                <w:bCs w:val="0"/>
                <w:color w:val="000000"/>
              </w:rPr>
            </w:pPr>
            <w:r>
              <w:rPr>
                <w:rFonts w:ascii="Arial" w:hAnsi="Arial" w:eastAsia="Arial" w:cs="Arial"/>
                <w:b/>
                <w:bCs w:val="0"/>
                <w:color w:val="000000"/>
                <w:sz w:val="20"/>
                <w:szCs w:val="20"/>
              </w:rPr>
              <w:t>Technology</w:t>
            </w:r>
          </w:p>
        </w:tc>
        <w:tc>
          <w:tcPr>
            <w:tcW w:w="2200" w:type="dxa"/>
            <w:tcBorders>
              <w:top w:val="single" w:color="000000" w:sz="12" w:space="0"/>
              <w:left w:val="nil"/>
              <w:bottom w:val="single" w:color="000000" w:sz="4" w:space="0"/>
              <w:right w:val="nil"/>
            </w:tcBorders>
            <w:shd w:val="clear" w:color="auto" w:fill="FFFFFF"/>
            <w:tcMar>
              <w:top w:w="100" w:type="dxa"/>
              <w:left w:w="150" w:type="dxa"/>
              <w:bottom w:w="100" w:type="dxa"/>
              <w:right w:w="150" w:type="dxa"/>
            </w:tcMar>
          </w:tcPr>
          <w:p w14:paraId="766FCB26">
            <w:pPr>
              <w:jc w:val="both"/>
              <w:rPr>
                <w:b/>
                <w:bCs w:val="0"/>
                <w:color w:val="000000"/>
              </w:rPr>
            </w:pPr>
            <w:r>
              <w:rPr>
                <w:rFonts w:ascii="Arial" w:hAnsi="Arial" w:eastAsia="Arial" w:cs="Arial"/>
                <w:b/>
                <w:bCs w:val="0"/>
                <w:color w:val="000000"/>
                <w:sz w:val="20"/>
                <w:szCs w:val="20"/>
              </w:rPr>
              <w:t>Role</w:t>
            </w:r>
          </w:p>
        </w:tc>
        <w:tc>
          <w:tcPr>
            <w:tcW w:w="4960" w:type="dxa"/>
            <w:tcBorders>
              <w:top w:val="single" w:color="000000" w:sz="12" w:space="0"/>
              <w:left w:val="nil"/>
              <w:bottom w:val="single" w:color="000000" w:sz="4" w:space="0"/>
              <w:right w:val="nil"/>
            </w:tcBorders>
            <w:shd w:val="clear" w:color="auto" w:fill="FFFFFF"/>
            <w:tcMar>
              <w:top w:w="100" w:type="dxa"/>
              <w:left w:w="150" w:type="dxa"/>
              <w:bottom w:w="100" w:type="dxa"/>
              <w:right w:w="150" w:type="dxa"/>
            </w:tcMar>
          </w:tcPr>
          <w:p w14:paraId="2D6EF37A">
            <w:pPr>
              <w:jc w:val="both"/>
              <w:rPr>
                <w:b/>
                <w:bCs w:val="0"/>
                <w:color w:val="000000"/>
              </w:rPr>
            </w:pPr>
            <w:r>
              <w:rPr>
                <w:rFonts w:ascii="Arial" w:hAnsi="Arial" w:eastAsia="Arial" w:cs="Arial"/>
                <w:b/>
                <w:bCs w:val="0"/>
                <w:color w:val="000000"/>
                <w:sz w:val="20"/>
                <w:szCs w:val="20"/>
              </w:rPr>
              <w:t>Specific Usage in LegalSaathi</w:t>
            </w:r>
          </w:p>
        </w:tc>
      </w:tr>
      <w:tr w14:paraId="48831D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0B97FA8E">
            <w:pPr>
              <w:jc w:val="both"/>
              <w:rPr>
                <w:color w:val="auto"/>
              </w:rPr>
            </w:pPr>
            <w:r>
              <w:rPr>
                <w:rFonts w:ascii="Arial" w:hAnsi="Arial" w:eastAsia="Arial" w:cs="Arial"/>
                <w:b/>
                <w:bCs/>
                <w:color w:val="auto"/>
                <w:sz w:val="20"/>
                <w:szCs w:val="20"/>
              </w:rPr>
              <w:t>Mastra</w:t>
            </w:r>
          </w:p>
        </w:tc>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30E5E2E0">
            <w:pPr>
              <w:jc w:val="both"/>
              <w:rPr>
                <w:color w:val="auto"/>
              </w:rPr>
            </w:pPr>
            <w:r>
              <w:rPr>
                <w:rFonts w:ascii="Arial" w:hAnsi="Arial" w:eastAsia="Arial" w:cs="Arial"/>
                <w:b w:val="0"/>
                <w:bCs w:val="0"/>
                <w:color w:val="auto"/>
                <w:sz w:val="20"/>
                <w:szCs w:val="20"/>
              </w:rPr>
              <w:t>Agent Orchestration</w:t>
            </w:r>
          </w:p>
        </w:tc>
        <w:tc>
          <w:tcPr>
            <w:tcW w:w="49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78B6D49B">
            <w:pPr>
              <w:jc w:val="both"/>
              <w:rPr>
                <w:color w:val="auto"/>
              </w:rPr>
            </w:pPr>
            <w:r>
              <w:rPr>
                <w:rFonts w:ascii="Arial" w:hAnsi="Arial" w:eastAsia="Arial" w:cs="Arial"/>
                <w:b w:val="0"/>
                <w:bCs w:val="0"/>
                <w:color w:val="auto"/>
                <w:sz w:val="20"/>
                <w:szCs w:val="20"/>
              </w:rPr>
              <w:t>Orchestrates 4 specialized agents, manages workflow pipeline, handles cross-session memory routing</w:t>
            </w:r>
          </w:p>
        </w:tc>
      </w:tr>
      <w:tr w14:paraId="5EE66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91B578E">
            <w:pPr>
              <w:jc w:val="both"/>
              <w:rPr>
                <w:color w:val="auto"/>
              </w:rPr>
            </w:pPr>
            <w:r>
              <w:rPr>
                <w:rFonts w:ascii="Arial" w:hAnsi="Arial" w:eastAsia="Arial" w:cs="Arial"/>
                <w:b/>
                <w:bCs/>
                <w:color w:val="auto"/>
                <w:sz w:val="20"/>
                <w:szCs w:val="20"/>
              </w:rPr>
              <w:t>Qdrant Cloud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7D5BB51">
            <w:pPr>
              <w:jc w:val="both"/>
              <w:rPr>
                <w:color w:val="auto"/>
              </w:rPr>
            </w:pPr>
            <w:r>
              <w:rPr>
                <w:rFonts w:ascii="Arial" w:hAnsi="Arial" w:eastAsia="Arial" w:cs="Arial"/>
                <w:b w:val="0"/>
                <w:bCs w:val="0"/>
                <w:color w:val="auto"/>
                <w:sz w:val="20"/>
                <w:szCs w:val="20"/>
              </w:rPr>
              <w:t>Vector Memory &amp; RAG</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5B25CC2">
            <w:pPr>
              <w:jc w:val="both"/>
              <w:rPr>
                <w:color w:val="auto"/>
              </w:rPr>
            </w:pPr>
            <w:r>
              <w:rPr>
                <w:rFonts w:ascii="Arial" w:hAnsi="Arial" w:eastAsia="Arial" w:cs="Arial"/>
                <w:b w:val="0"/>
                <w:bCs w:val="0"/>
                <w:color w:val="auto"/>
                <w:sz w:val="20"/>
                <w:szCs w:val="20"/>
              </w:rPr>
              <w:t>Stores 4 legal collections, handles semantic search, returns top-k chunks with source attribution</w:t>
            </w:r>
          </w:p>
        </w:tc>
      </w:tr>
      <w:tr w14:paraId="68059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5D47516E">
            <w:pPr>
              <w:jc w:val="both"/>
              <w:rPr>
                <w:color w:val="auto"/>
              </w:rPr>
            </w:pPr>
            <w:r>
              <w:rPr>
                <w:rFonts w:ascii="Arial" w:hAnsi="Arial" w:eastAsia="Arial" w:cs="Arial"/>
                <w:b/>
                <w:bCs/>
                <w:color w:val="auto"/>
                <w:sz w:val="20"/>
                <w:szCs w:val="20"/>
              </w:rPr>
              <w:t>Enkrypt AI</w:t>
            </w:r>
          </w:p>
        </w:tc>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57EC17E8">
            <w:pPr>
              <w:jc w:val="both"/>
              <w:rPr>
                <w:color w:val="auto"/>
              </w:rPr>
            </w:pPr>
            <w:r>
              <w:rPr>
                <w:rFonts w:ascii="Arial" w:hAnsi="Arial" w:eastAsia="Arial" w:cs="Arial"/>
                <w:b w:val="0"/>
                <w:bCs w:val="0"/>
                <w:color w:val="auto"/>
                <w:sz w:val="20"/>
                <w:szCs w:val="20"/>
              </w:rPr>
              <w:t>Safety &amp; Guardrails</w:t>
            </w:r>
          </w:p>
        </w:tc>
        <w:tc>
          <w:tcPr>
            <w:tcW w:w="49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92EDA41">
            <w:pPr>
              <w:jc w:val="both"/>
              <w:rPr>
                <w:color w:val="auto"/>
              </w:rPr>
            </w:pPr>
            <w:r>
              <w:rPr>
                <w:rFonts w:ascii="Arial" w:hAnsi="Arial" w:eastAsia="Arial" w:cs="Arial"/>
                <w:b w:val="0"/>
                <w:bCs w:val="0"/>
                <w:color w:val="auto"/>
                <w:sz w:val="20"/>
                <w:szCs w:val="20"/>
              </w:rPr>
              <w:t>Hallucination detection, confidence scoring, PII filtering, output evaluation pipeline</w:t>
            </w:r>
          </w:p>
        </w:tc>
      </w:tr>
      <w:tr w14:paraId="4B222A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F6CA60B">
            <w:pPr>
              <w:jc w:val="both"/>
              <w:rPr>
                <w:color w:val="auto"/>
              </w:rPr>
            </w:pPr>
            <w:r>
              <w:rPr>
                <w:rFonts w:ascii="Arial" w:hAnsi="Arial" w:eastAsia="Arial" w:cs="Arial"/>
                <w:b/>
                <w:bCs/>
                <w:color w:val="auto"/>
                <w:sz w:val="20"/>
                <w:szCs w:val="20"/>
              </w:rPr>
              <w:t>Next.js 14</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5E8164B">
            <w:pPr>
              <w:jc w:val="both"/>
              <w:rPr>
                <w:color w:val="auto"/>
              </w:rPr>
            </w:pPr>
            <w:r>
              <w:rPr>
                <w:rFonts w:ascii="Arial" w:hAnsi="Arial" w:eastAsia="Arial" w:cs="Arial"/>
                <w:b w:val="0"/>
                <w:bCs w:val="0"/>
                <w:color w:val="auto"/>
                <w:sz w:val="20"/>
                <w:szCs w:val="20"/>
              </w:rPr>
              <w:t>Frontend</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BEF4E08">
            <w:pPr>
              <w:jc w:val="both"/>
              <w:rPr>
                <w:color w:val="auto"/>
              </w:rPr>
            </w:pPr>
            <w:r>
              <w:rPr>
                <w:rFonts w:ascii="Arial" w:hAnsi="Arial" w:eastAsia="Arial" w:cs="Arial"/>
                <w:b w:val="0"/>
                <w:bCs w:val="0"/>
                <w:color w:val="auto"/>
                <w:sz w:val="20"/>
                <w:szCs w:val="20"/>
              </w:rPr>
              <w:t>Web UI with i18n support for 10+ languages, PWA capabilities, document scanner integration</w:t>
            </w:r>
          </w:p>
        </w:tc>
      </w:tr>
      <w:tr w14:paraId="7B3DB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3FE9E93E">
            <w:pPr>
              <w:jc w:val="both"/>
              <w:rPr>
                <w:color w:val="auto"/>
              </w:rPr>
            </w:pPr>
            <w:r>
              <w:rPr>
                <w:rFonts w:ascii="Arial" w:hAnsi="Arial" w:eastAsia="Arial" w:cs="Arial"/>
                <w:b/>
                <w:bCs/>
                <w:color w:val="auto"/>
                <w:sz w:val="20"/>
                <w:szCs w:val="20"/>
              </w:rPr>
              <w:t>IndicTrans2 (AI4Bharat)</w:t>
            </w:r>
          </w:p>
        </w:tc>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0F624020">
            <w:pPr>
              <w:jc w:val="both"/>
              <w:rPr>
                <w:color w:val="auto"/>
              </w:rPr>
            </w:pPr>
            <w:r>
              <w:rPr>
                <w:rFonts w:ascii="Arial" w:hAnsi="Arial" w:eastAsia="Arial" w:cs="Arial"/>
                <w:b w:val="0"/>
                <w:bCs w:val="0"/>
                <w:color w:val="auto"/>
                <w:sz w:val="20"/>
                <w:szCs w:val="20"/>
              </w:rPr>
              <w:t>Multilingual NLP</w:t>
            </w:r>
          </w:p>
        </w:tc>
        <w:tc>
          <w:tcPr>
            <w:tcW w:w="49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5985C00C">
            <w:pPr>
              <w:jc w:val="both"/>
              <w:rPr>
                <w:color w:val="auto"/>
              </w:rPr>
            </w:pPr>
            <w:r>
              <w:rPr>
                <w:rFonts w:ascii="Arial" w:hAnsi="Arial" w:eastAsia="Arial" w:cs="Arial"/>
                <w:b w:val="0"/>
                <w:bCs w:val="0"/>
                <w:color w:val="auto"/>
                <w:sz w:val="20"/>
                <w:szCs w:val="20"/>
              </w:rPr>
              <w:t>Voice transcription and translation across 10+ Indian languages</w:t>
            </w:r>
          </w:p>
        </w:tc>
      </w:tr>
      <w:tr w14:paraId="63B28E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EA053E6">
            <w:pPr>
              <w:jc w:val="both"/>
              <w:rPr>
                <w:color w:val="auto"/>
              </w:rPr>
            </w:pPr>
            <w:r>
              <w:rPr>
                <w:rFonts w:ascii="Arial" w:hAnsi="Arial" w:eastAsia="Arial" w:cs="Arial"/>
                <w:b/>
                <w:bCs/>
                <w:color w:val="auto"/>
                <w:sz w:val="20"/>
                <w:szCs w:val="20"/>
              </w:rPr>
              <w:t>Redis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124C05A">
            <w:pPr>
              <w:jc w:val="both"/>
              <w:rPr>
                <w:color w:val="auto"/>
              </w:rPr>
            </w:pPr>
            <w:r>
              <w:rPr>
                <w:rFonts w:ascii="Arial" w:hAnsi="Arial" w:eastAsia="Arial" w:cs="Arial"/>
                <w:b w:val="0"/>
                <w:bCs w:val="0"/>
                <w:color w:val="auto"/>
                <w:sz w:val="20"/>
                <w:szCs w:val="20"/>
              </w:rPr>
              <w:t>Memory Store</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FACF036">
            <w:pPr>
              <w:jc w:val="both"/>
              <w:rPr>
                <w:color w:val="auto"/>
              </w:rPr>
            </w:pPr>
            <w:r>
              <w:rPr>
                <w:rFonts w:ascii="Arial" w:hAnsi="Arial" w:eastAsia="Arial" w:cs="Arial"/>
                <w:b w:val="0"/>
                <w:bCs w:val="0"/>
                <w:color w:val="auto"/>
                <w:sz w:val="20"/>
                <w:szCs w:val="20"/>
              </w:rPr>
              <w:t>Backing store for Mastra Memory — persists user case context across sessions</w:t>
            </w:r>
          </w:p>
        </w:tc>
      </w:tr>
      <w:tr w14:paraId="3DA6A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71D9B868">
            <w:pPr>
              <w:jc w:val="both"/>
              <w:rPr>
                <w:color w:val="auto"/>
              </w:rPr>
            </w:pPr>
            <w:r>
              <w:rPr>
                <w:rFonts w:ascii="Arial" w:hAnsi="Arial" w:eastAsia="Arial" w:cs="Arial"/>
                <w:b/>
                <w:bCs/>
                <w:color w:val="auto"/>
                <w:sz w:val="20"/>
                <w:szCs w:val="20"/>
              </w:rPr>
              <w:t>GPT-4o / Claude</w:t>
            </w:r>
          </w:p>
        </w:tc>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ED9F102">
            <w:pPr>
              <w:jc w:val="both"/>
              <w:rPr>
                <w:color w:val="auto"/>
              </w:rPr>
            </w:pPr>
            <w:r>
              <w:rPr>
                <w:rFonts w:ascii="Arial" w:hAnsi="Arial" w:eastAsia="Arial" w:cs="Arial"/>
                <w:b w:val="0"/>
                <w:bCs w:val="0"/>
                <w:color w:val="auto"/>
                <w:sz w:val="20"/>
                <w:szCs w:val="20"/>
              </w:rPr>
              <w:t>LLM</w:t>
            </w:r>
          </w:p>
        </w:tc>
        <w:tc>
          <w:tcPr>
            <w:tcW w:w="49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5191ED73">
            <w:pPr>
              <w:jc w:val="both"/>
              <w:rPr>
                <w:color w:val="auto"/>
              </w:rPr>
            </w:pPr>
            <w:r>
              <w:rPr>
                <w:rFonts w:ascii="Arial" w:hAnsi="Arial" w:eastAsia="Arial" w:cs="Arial"/>
                <w:b w:val="0"/>
                <w:bCs w:val="0"/>
                <w:color w:val="auto"/>
                <w:sz w:val="20"/>
                <w:szCs w:val="20"/>
              </w:rPr>
              <w:t>Primary language model accessed via Mastra model provider abstraction layer</w:t>
            </w:r>
          </w:p>
        </w:tc>
      </w:tr>
      <w:tr w14:paraId="7E6B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25F846A">
            <w:pPr>
              <w:jc w:val="both"/>
              <w:rPr>
                <w:color w:val="auto"/>
              </w:rPr>
            </w:pPr>
            <w:r>
              <w:rPr>
                <w:rFonts w:ascii="Arial" w:hAnsi="Arial" w:eastAsia="Arial" w:cs="Arial"/>
                <w:b/>
                <w:bCs/>
                <w:color w:val="auto"/>
                <w:sz w:val="20"/>
                <w:szCs w:val="20"/>
              </w:rPr>
              <w:t>WhatsApp Business API</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A7D78E3">
            <w:pPr>
              <w:jc w:val="both"/>
              <w:rPr>
                <w:color w:val="auto"/>
              </w:rPr>
            </w:pPr>
            <w:r>
              <w:rPr>
                <w:rFonts w:ascii="Arial" w:hAnsi="Arial" w:eastAsia="Arial" w:cs="Arial"/>
                <w:b w:val="0"/>
                <w:bCs w:val="0"/>
                <w:color w:val="auto"/>
                <w:sz w:val="20"/>
                <w:szCs w:val="20"/>
              </w:rPr>
              <w:t>Messaging Channel</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531EC1F">
            <w:pPr>
              <w:jc w:val="both"/>
              <w:rPr>
                <w:color w:val="auto"/>
              </w:rPr>
            </w:pPr>
            <w:r>
              <w:rPr>
                <w:rFonts w:ascii="Arial" w:hAnsi="Arial" w:eastAsia="Arial" w:cs="Arial"/>
                <w:b w:val="0"/>
                <w:bCs w:val="0"/>
                <w:color w:val="auto"/>
                <w:sz w:val="20"/>
                <w:szCs w:val="20"/>
              </w:rPr>
              <w:t>Enables agent access for users without smartphone app or web browser</w:t>
            </w:r>
          </w:p>
        </w:tc>
      </w:tr>
    </w:tbl>
    <w:p w14:paraId="1241A85D">
      <w:pPr>
        <w:pStyle w:val="2"/>
        <w:spacing w:before="400" w:after="200"/>
        <w:jc w:val="both"/>
        <w:rPr>
          <w:color w:val="auto"/>
        </w:rPr>
      </w:pPr>
      <w:r>
        <w:rPr>
          <w:rFonts w:ascii="Arial" w:hAnsi="Arial" w:eastAsia="Arial" w:cs="Arial"/>
          <w:b/>
          <w:bCs/>
          <w:color w:val="auto"/>
          <w:sz w:val="34"/>
          <w:szCs w:val="34"/>
        </w:rPr>
        <w:t>9. Agent Architecture</w:t>
      </w:r>
    </w:p>
    <w:p w14:paraId="374F89D7">
      <w:pPr>
        <w:pStyle w:val="3"/>
        <w:spacing w:before="280" w:after="140"/>
        <w:jc w:val="both"/>
        <w:rPr>
          <w:color w:val="auto"/>
        </w:rPr>
      </w:pPr>
      <w:r>
        <w:rPr>
          <w:rFonts w:ascii="Arial" w:hAnsi="Arial" w:eastAsia="Arial" w:cs="Arial"/>
          <w:b/>
          <w:bCs/>
          <w:color w:val="auto"/>
          <w:sz w:val="26"/>
          <w:szCs w:val="26"/>
        </w:rPr>
        <w:t>9.1 Workflow Pipeline</w:t>
      </w:r>
    </w:p>
    <w:p w14:paraId="5CBC8E97">
      <w:pPr>
        <w:spacing w:before="80" w:after="100"/>
        <w:jc w:val="both"/>
        <w:rPr>
          <w:color w:val="auto"/>
        </w:rPr>
      </w:pPr>
      <w:r>
        <w:rPr>
          <w:rFonts w:ascii="Arial" w:hAnsi="Arial" w:eastAsia="Arial" w:cs="Arial"/>
          <w:color w:val="auto"/>
          <w:sz w:val="22"/>
          <w:szCs w:val="22"/>
        </w:rPr>
        <w:t>Every user query follows a deterministic 7-step pipeline:</w:t>
      </w:r>
    </w:p>
    <w:p w14:paraId="79518A93">
      <w:pPr>
        <w:spacing w:before="60" w:after="60"/>
        <w:jc w:val="both"/>
        <w:rPr>
          <w:color w:val="auto"/>
        </w:rPr>
      </w:pPr>
    </w:p>
    <w:p w14:paraId="54239A57">
      <w:pPr>
        <w:pStyle w:val="16"/>
        <w:numPr>
          <w:ilvl w:val="0"/>
          <w:numId w:val="4"/>
        </w:numPr>
        <w:spacing w:before="60" w:after="60"/>
        <w:jc w:val="both"/>
        <w:rPr>
          <w:color w:val="auto"/>
        </w:rPr>
      </w:pPr>
      <w:r>
        <w:rPr>
          <w:rFonts w:ascii="Arial" w:hAnsi="Arial" w:eastAsia="Arial" w:cs="Arial"/>
          <w:color w:val="auto"/>
          <w:sz w:val="22"/>
          <w:szCs w:val="22"/>
        </w:rPr>
        <w:t>User sends query via Web, WhatsApp, or Voice in any supported Indian language</w:t>
      </w:r>
    </w:p>
    <w:p w14:paraId="72FD3163">
      <w:pPr>
        <w:pStyle w:val="16"/>
        <w:numPr>
          <w:ilvl w:val="0"/>
          <w:numId w:val="4"/>
        </w:numPr>
        <w:spacing w:before="60" w:after="60"/>
        <w:jc w:val="both"/>
        <w:rPr>
          <w:color w:val="auto"/>
        </w:rPr>
      </w:pPr>
      <w:r>
        <w:rPr>
          <w:rFonts w:ascii="Arial" w:hAnsi="Arial" w:eastAsia="Arial" w:cs="Arial"/>
          <w:color w:val="auto"/>
          <w:sz w:val="22"/>
          <w:szCs w:val="22"/>
        </w:rPr>
        <w:t>Next.js frontend / WhatsApp webhook passes query to Mastra Workflow Engine via REST API</w:t>
      </w:r>
    </w:p>
    <w:p w14:paraId="40913177">
      <w:pPr>
        <w:pStyle w:val="16"/>
        <w:numPr>
          <w:ilvl w:val="0"/>
          <w:numId w:val="4"/>
        </w:numPr>
        <w:spacing w:before="60" w:after="60"/>
        <w:jc w:val="both"/>
        <w:rPr>
          <w:color w:val="auto"/>
        </w:rPr>
      </w:pPr>
      <w:r>
        <w:rPr>
          <w:rFonts w:ascii="Arial" w:hAnsi="Arial" w:eastAsia="Arial" w:cs="Arial"/>
          <w:color w:val="auto"/>
          <w:sz w:val="22"/>
          <w:szCs w:val="22"/>
        </w:rPr>
        <w:t>Mastra Intent Router Agent classifies query into: Scheme Eligibility / Legal Rights / Document Generation</w:t>
      </w:r>
    </w:p>
    <w:p w14:paraId="1E51C18F">
      <w:pPr>
        <w:pStyle w:val="16"/>
        <w:numPr>
          <w:ilvl w:val="0"/>
          <w:numId w:val="4"/>
        </w:numPr>
        <w:spacing w:before="60" w:after="60"/>
        <w:jc w:val="both"/>
        <w:rPr>
          <w:color w:val="auto"/>
        </w:rPr>
      </w:pPr>
      <w:r>
        <w:rPr>
          <w:rFonts w:ascii="Arial" w:hAnsi="Arial" w:eastAsia="Arial" w:cs="Arial"/>
          <w:color w:val="auto"/>
          <w:sz w:val="22"/>
          <w:szCs w:val="22"/>
        </w:rPr>
        <w:t>Relevant sub-agent (SchemeAgent / LegalAgent / DocumentAgent) is activated with case context from Mastra Memory</w:t>
      </w:r>
    </w:p>
    <w:p w14:paraId="47E887D1">
      <w:pPr>
        <w:pStyle w:val="16"/>
        <w:numPr>
          <w:ilvl w:val="0"/>
          <w:numId w:val="4"/>
        </w:numPr>
        <w:spacing w:before="60" w:after="60"/>
        <w:jc w:val="both"/>
        <w:rPr>
          <w:color w:val="auto"/>
        </w:rPr>
      </w:pPr>
      <w:r>
        <w:rPr>
          <w:rFonts w:ascii="Arial" w:hAnsi="Arial" w:eastAsia="Arial" w:cs="Arial"/>
          <w:color w:val="auto"/>
          <w:sz w:val="22"/>
          <w:szCs w:val="22"/>
        </w:rPr>
        <w:t>Sub-agent sends semantic search query to Qdrant and retrieves top-5 most relevant legal chunks</w:t>
      </w:r>
    </w:p>
    <w:p w14:paraId="509038B0">
      <w:pPr>
        <w:pStyle w:val="16"/>
        <w:numPr>
          <w:ilvl w:val="0"/>
          <w:numId w:val="4"/>
        </w:numPr>
        <w:spacing w:before="60" w:after="60"/>
        <w:jc w:val="both"/>
        <w:rPr>
          <w:color w:val="auto"/>
        </w:rPr>
      </w:pPr>
      <w:r>
        <w:rPr>
          <w:rFonts w:ascii="Arial" w:hAnsi="Arial" w:eastAsia="Arial" w:cs="Arial"/>
          <w:color w:val="auto"/>
          <w:sz w:val="22"/>
          <w:szCs w:val="22"/>
        </w:rPr>
        <w:t>LLM generates a draft response grounded entirely in retrieved chunks</w:t>
      </w:r>
    </w:p>
    <w:p w14:paraId="64283665">
      <w:pPr>
        <w:pStyle w:val="16"/>
        <w:numPr>
          <w:ilvl w:val="0"/>
          <w:numId w:val="4"/>
        </w:numPr>
        <w:spacing w:before="60" w:after="60"/>
        <w:jc w:val="both"/>
        <w:rPr>
          <w:color w:val="auto"/>
        </w:rPr>
      </w:pPr>
      <w:r>
        <w:rPr>
          <w:rFonts w:ascii="Arial" w:hAnsi="Arial" w:eastAsia="Arial" w:cs="Arial"/>
          <w:color w:val="auto"/>
          <w:sz w:val="22"/>
          <w:szCs w:val="22"/>
        </w:rPr>
        <w:t>Enkrypt AI evaluates draft for hallucinations and confidence. Pass (&gt;=0.7) → deliver to user. Fail (&lt;0.7) → block + explain + DLSA referral</w:t>
      </w:r>
    </w:p>
    <w:p w14:paraId="182F51B9">
      <w:pPr>
        <w:spacing w:before="60" w:after="60"/>
        <w:jc w:val="both"/>
        <w:rPr>
          <w:color w:val="auto"/>
        </w:rPr>
      </w:pPr>
    </w:p>
    <w:p w14:paraId="0A5E7773">
      <w:pPr>
        <w:pStyle w:val="3"/>
        <w:spacing w:before="280" w:after="140"/>
        <w:jc w:val="both"/>
        <w:rPr>
          <w:color w:val="auto"/>
        </w:rPr>
      </w:pPr>
      <w:r>
        <w:rPr>
          <w:rFonts w:ascii="Arial" w:hAnsi="Arial" w:eastAsia="Arial" w:cs="Arial"/>
          <w:b/>
          <w:bCs/>
          <w:color w:val="auto"/>
          <w:sz w:val="26"/>
          <w:szCs w:val="26"/>
        </w:rPr>
        <w:t>9.2 Agent Responsibilities</w:t>
      </w:r>
    </w:p>
    <w:p w14:paraId="218A76C2">
      <w:pPr>
        <w:spacing w:before="60" w:after="60"/>
        <w:jc w:val="both"/>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500"/>
        <w:gridCol w:w="4660"/>
      </w:tblGrid>
      <w:tr w14:paraId="1F377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12" w:space="0"/>
              <w:left w:val="nil"/>
              <w:bottom w:val="single" w:color="000000" w:sz="4" w:space="0"/>
              <w:right w:val="nil"/>
              <w:tl2br w:val="nil"/>
            </w:tcBorders>
            <w:shd w:val="clear" w:color="auto" w:fill="FFFFFF"/>
            <w:tcMar>
              <w:top w:w="100" w:type="dxa"/>
              <w:left w:w="150" w:type="dxa"/>
              <w:bottom w:w="100" w:type="dxa"/>
              <w:right w:w="150" w:type="dxa"/>
            </w:tcMar>
          </w:tcPr>
          <w:p w14:paraId="0382B52B">
            <w:pPr>
              <w:jc w:val="both"/>
              <w:rPr>
                <w:b/>
                <w:bCs w:val="0"/>
                <w:color w:val="000000"/>
              </w:rPr>
            </w:pPr>
            <w:r>
              <w:rPr>
                <w:rFonts w:ascii="Arial" w:hAnsi="Arial" w:eastAsia="Arial" w:cs="Arial"/>
                <w:b/>
                <w:bCs w:val="0"/>
                <w:color w:val="000000"/>
                <w:sz w:val="20"/>
                <w:szCs w:val="20"/>
              </w:rPr>
              <w:t>Agent</w:t>
            </w:r>
          </w:p>
        </w:tc>
        <w:tc>
          <w:tcPr>
            <w:tcW w:w="2500" w:type="dxa"/>
            <w:tcBorders>
              <w:top w:val="single" w:color="000000" w:sz="12" w:space="0"/>
              <w:left w:val="nil"/>
              <w:bottom w:val="single" w:color="000000" w:sz="4" w:space="0"/>
              <w:right w:val="nil"/>
            </w:tcBorders>
            <w:shd w:val="clear" w:color="auto" w:fill="FFFFFF"/>
            <w:tcMar>
              <w:top w:w="100" w:type="dxa"/>
              <w:left w:w="150" w:type="dxa"/>
              <w:bottom w:w="100" w:type="dxa"/>
              <w:right w:w="150" w:type="dxa"/>
            </w:tcMar>
          </w:tcPr>
          <w:p w14:paraId="7729FD68">
            <w:pPr>
              <w:jc w:val="both"/>
              <w:rPr>
                <w:b/>
                <w:bCs w:val="0"/>
                <w:color w:val="000000"/>
              </w:rPr>
            </w:pPr>
            <w:r>
              <w:rPr>
                <w:rFonts w:ascii="Arial" w:hAnsi="Arial" w:eastAsia="Arial" w:cs="Arial"/>
                <w:b/>
                <w:bCs w:val="0"/>
                <w:color w:val="000000"/>
                <w:sz w:val="20"/>
                <w:szCs w:val="20"/>
              </w:rPr>
              <w:t>Trigger Condition</w:t>
            </w:r>
          </w:p>
        </w:tc>
        <w:tc>
          <w:tcPr>
            <w:tcW w:w="4660" w:type="dxa"/>
            <w:tcBorders>
              <w:top w:val="single" w:color="000000" w:sz="12" w:space="0"/>
              <w:left w:val="nil"/>
              <w:bottom w:val="single" w:color="000000" w:sz="4" w:space="0"/>
              <w:right w:val="nil"/>
            </w:tcBorders>
            <w:shd w:val="clear" w:color="auto" w:fill="FFFFFF"/>
            <w:tcMar>
              <w:top w:w="100" w:type="dxa"/>
              <w:left w:w="150" w:type="dxa"/>
              <w:bottom w:w="100" w:type="dxa"/>
              <w:right w:w="150" w:type="dxa"/>
            </w:tcMar>
          </w:tcPr>
          <w:p w14:paraId="400744C9">
            <w:pPr>
              <w:jc w:val="both"/>
              <w:rPr>
                <w:b/>
                <w:bCs w:val="0"/>
                <w:color w:val="000000"/>
              </w:rPr>
            </w:pPr>
            <w:r>
              <w:rPr>
                <w:rFonts w:ascii="Arial" w:hAnsi="Arial" w:eastAsia="Arial" w:cs="Arial"/>
                <w:b/>
                <w:bCs w:val="0"/>
                <w:color w:val="000000"/>
                <w:sz w:val="20"/>
                <w:szCs w:val="20"/>
              </w:rPr>
              <w:t>Responsibilities</w:t>
            </w:r>
          </w:p>
        </w:tc>
      </w:tr>
      <w:tr w14:paraId="363D0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59E1BD6C">
            <w:pPr>
              <w:jc w:val="both"/>
              <w:rPr>
                <w:color w:val="auto"/>
              </w:rPr>
            </w:pPr>
            <w:r>
              <w:rPr>
                <w:rFonts w:ascii="Arial" w:hAnsi="Arial" w:eastAsia="Arial" w:cs="Arial"/>
                <w:b/>
                <w:bCs/>
                <w:color w:val="auto"/>
                <w:sz w:val="20"/>
                <w:szCs w:val="20"/>
              </w:rPr>
              <w:t>Intent Router Agent</w:t>
            </w:r>
          </w:p>
        </w:tc>
        <w:tc>
          <w:tcPr>
            <w:tcW w:w="25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83BA4C8">
            <w:pPr>
              <w:jc w:val="both"/>
              <w:rPr>
                <w:color w:val="auto"/>
              </w:rPr>
            </w:pPr>
            <w:r>
              <w:rPr>
                <w:rFonts w:ascii="Arial" w:hAnsi="Arial" w:eastAsia="Arial" w:cs="Arial"/>
                <w:b w:val="0"/>
                <w:bCs w:val="0"/>
                <w:color w:val="auto"/>
                <w:sz w:val="20"/>
                <w:szCs w:val="20"/>
              </w:rPr>
              <w:t>Every incoming query</w:t>
            </w:r>
          </w:p>
        </w:tc>
        <w:tc>
          <w:tcPr>
            <w:tcW w:w="46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0FD15313">
            <w:pPr>
              <w:jc w:val="both"/>
              <w:rPr>
                <w:color w:val="auto"/>
              </w:rPr>
            </w:pPr>
            <w:r>
              <w:rPr>
                <w:rFonts w:ascii="Arial" w:hAnsi="Arial" w:eastAsia="Arial" w:cs="Arial"/>
                <w:b w:val="0"/>
                <w:bCs w:val="0"/>
                <w:color w:val="auto"/>
                <w:sz w:val="20"/>
                <w:szCs w:val="20"/>
              </w:rPr>
              <w:t>Language detection, intent classification, case context retrieval from Mastra Memory, sub-agent routing</w:t>
            </w:r>
          </w:p>
        </w:tc>
      </w:tr>
      <w:tr w14:paraId="7C09B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EF5011F">
            <w:pPr>
              <w:jc w:val="both"/>
              <w:rPr>
                <w:color w:val="auto"/>
              </w:rPr>
            </w:pPr>
            <w:r>
              <w:rPr>
                <w:rFonts w:ascii="Arial" w:hAnsi="Arial" w:eastAsia="Arial" w:cs="Arial"/>
                <w:b/>
                <w:bCs/>
                <w:color w:val="auto"/>
                <w:sz w:val="20"/>
                <w:szCs w:val="20"/>
              </w:rPr>
              <w:t>SchemeAgent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6ECFD110">
            <w:pPr>
              <w:jc w:val="both"/>
              <w:rPr>
                <w:color w:val="auto"/>
              </w:rPr>
            </w:pPr>
            <w:r>
              <w:rPr>
                <w:rFonts w:ascii="Arial" w:hAnsi="Arial" w:eastAsia="Arial" w:cs="Arial"/>
                <w:b w:val="0"/>
                <w:bCs w:val="0"/>
                <w:color w:val="auto"/>
                <w:sz w:val="20"/>
                <w:szCs w:val="20"/>
              </w:rPr>
              <w:t>Query classified as Scheme Eligibility</w:t>
            </w:r>
          </w:p>
        </w:tc>
        <w:tc>
          <w:tcPr>
            <w:tcW w:w="46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6FC0A5D">
            <w:pPr>
              <w:jc w:val="both"/>
              <w:rPr>
                <w:color w:val="auto"/>
              </w:rPr>
            </w:pPr>
            <w:r>
              <w:rPr>
                <w:rFonts w:ascii="Arial" w:hAnsi="Arial" w:eastAsia="Arial" w:cs="Arial"/>
                <w:b w:val="0"/>
                <w:bCs w:val="0"/>
                <w:color w:val="auto"/>
                <w:sz w:val="20"/>
                <w:szCs w:val="20"/>
              </w:rPr>
              <w:t>Check eligibility for 500+ schemes, query Qdrant scheme collection, call MyScheme.gov.in API, explain enrollment steps</w:t>
            </w:r>
          </w:p>
        </w:tc>
      </w:tr>
      <w:tr w14:paraId="65244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7B994912">
            <w:pPr>
              <w:jc w:val="both"/>
              <w:rPr>
                <w:color w:val="auto"/>
              </w:rPr>
            </w:pPr>
            <w:r>
              <w:rPr>
                <w:rFonts w:ascii="Arial" w:hAnsi="Arial" w:eastAsia="Arial" w:cs="Arial"/>
                <w:b/>
                <w:bCs/>
                <w:color w:val="auto"/>
                <w:sz w:val="20"/>
                <w:szCs w:val="20"/>
              </w:rPr>
              <w:t>LegalAgent</w:t>
            </w:r>
          </w:p>
        </w:tc>
        <w:tc>
          <w:tcPr>
            <w:tcW w:w="25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9A2AF3F">
            <w:pPr>
              <w:jc w:val="both"/>
              <w:rPr>
                <w:color w:val="auto"/>
              </w:rPr>
            </w:pPr>
            <w:r>
              <w:rPr>
                <w:rFonts w:ascii="Arial" w:hAnsi="Arial" w:eastAsia="Arial" w:cs="Arial"/>
                <w:b w:val="0"/>
                <w:bCs w:val="0"/>
                <w:color w:val="auto"/>
                <w:sz w:val="20"/>
                <w:szCs w:val="20"/>
              </w:rPr>
              <w:t>Query classified as Legal Rights</w:t>
            </w:r>
          </w:p>
        </w:tc>
        <w:tc>
          <w:tcPr>
            <w:tcW w:w="46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0AE2BCB">
            <w:pPr>
              <w:jc w:val="both"/>
              <w:rPr>
                <w:color w:val="auto"/>
              </w:rPr>
            </w:pPr>
            <w:r>
              <w:rPr>
                <w:rFonts w:ascii="Arial" w:hAnsi="Arial" w:eastAsia="Arial" w:cs="Arial"/>
                <w:b w:val="0"/>
                <w:bCs w:val="0"/>
                <w:color w:val="auto"/>
                <w:sz w:val="20"/>
                <w:szCs w:val="20"/>
              </w:rPr>
              <w:t>Retrieve IPC/CrPC/BNS 2023 sections, state land laws, fundamental rights, explain in plain language</w:t>
            </w:r>
          </w:p>
        </w:tc>
      </w:tr>
      <w:tr w14:paraId="6BDBAC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1FE6783">
            <w:pPr>
              <w:jc w:val="both"/>
              <w:rPr>
                <w:color w:val="auto"/>
              </w:rPr>
            </w:pPr>
            <w:r>
              <w:rPr>
                <w:rFonts w:ascii="Arial" w:hAnsi="Arial" w:eastAsia="Arial" w:cs="Arial"/>
                <w:b/>
                <w:bCs/>
                <w:color w:val="auto"/>
                <w:sz w:val="20"/>
                <w:szCs w:val="20"/>
              </w:rPr>
              <w:t>DocumentAgent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015ED81">
            <w:pPr>
              <w:jc w:val="both"/>
              <w:rPr>
                <w:color w:val="auto"/>
              </w:rPr>
            </w:pPr>
            <w:r>
              <w:rPr>
                <w:rFonts w:ascii="Arial" w:hAnsi="Arial" w:eastAsia="Arial" w:cs="Arial"/>
                <w:b w:val="0"/>
                <w:bCs w:val="0"/>
                <w:color w:val="auto"/>
                <w:sz w:val="20"/>
                <w:szCs w:val="20"/>
              </w:rPr>
              <w:t>Query classified as Document Generation</w:t>
            </w:r>
          </w:p>
        </w:tc>
        <w:tc>
          <w:tcPr>
            <w:tcW w:w="46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C9A1978">
            <w:pPr>
              <w:jc w:val="both"/>
              <w:rPr>
                <w:color w:val="auto"/>
              </w:rPr>
            </w:pPr>
            <w:r>
              <w:rPr>
                <w:rFonts w:ascii="Arial" w:hAnsi="Arial" w:eastAsia="Arial" w:cs="Arial"/>
                <w:b w:val="0"/>
                <w:bCs w:val="0"/>
                <w:color w:val="auto"/>
                <w:sz w:val="20"/>
                <w:szCs w:val="20"/>
              </w:rPr>
              <w:t>Generate RTI applications, complaint letters, legal notices using RTI Templates collection from Qdrant</w:t>
            </w:r>
          </w:p>
        </w:tc>
      </w:tr>
    </w:tbl>
    <w:p w14:paraId="09C4EFCF">
      <w:pPr>
        <w:spacing w:before="60" w:after="60"/>
        <w:jc w:val="both"/>
        <w:rPr>
          <w:color w:val="auto"/>
        </w:rPr>
      </w:pPr>
    </w:p>
    <w:p w14:paraId="7A0BD3C7">
      <w:pPr>
        <w:pStyle w:val="3"/>
        <w:spacing w:before="280" w:after="140"/>
        <w:jc w:val="both"/>
        <w:rPr>
          <w:color w:val="auto"/>
        </w:rPr>
      </w:pPr>
      <w:r>
        <w:rPr>
          <w:rFonts w:ascii="Arial" w:hAnsi="Arial" w:eastAsia="Arial" w:cs="Arial"/>
          <w:b/>
          <w:bCs/>
          <w:color w:val="auto"/>
          <w:sz w:val="26"/>
          <w:szCs w:val="26"/>
        </w:rPr>
        <w:t>9.3 Memory Architecture</w:t>
      </w:r>
    </w:p>
    <w:p w14:paraId="2E670B9F">
      <w:pPr>
        <w:spacing w:before="80" w:after="100"/>
        <w:jc w:val="both"/>
        <w:rPr>
          <w:color w:val="auto"/>
        </w:rPr>
      </w:pPr>
      <w:r>
        <w:rPr>
          <w:rFonts w:ascii="Arial" w:hAnsi="Arial" w:eastAsia="Arial" w:cs="Arial"/>
          <w:color w:val="auto"/>
          <w:sz w:val="22"/>
          <w:szCs w:val="22"/>
        </w:rPr>
        <w:t>Mastra Memory uses Redis as a backing store to persist the following per user:</w:t>
      </w:r>
    </w:p>
    <w:p w14:paraId="23479F23">
      <w:pPr>
        <w:pStyle w:val="16"/>
        <w:numPr>
          <w:ilvl w:val="0"/>
          <w:numId w:val="2"/>
        </w:numPr>
        <w:spacing w:before="60" w:after="60"/>
        <w:jc w:val="both"/>
        <w:rPr>
          <w:color w:val="auto"/>
        </w:rPr>
      </w:pPr>
      <w:r>
        <w:rPr>
          <w:rFonts w:ascii="Arial" w:hAnsi="Arial" w:eastAsia="Arial" w:cs="Arial"/>
          <w:b w:val="0"/>
          <w:bCs w:val="0"/>
          <w:color w:val="auto"/>
          <w:sz w:val="22"/>
          <w:szCs w:val="22"/>
        </w:rPr>
        <w:t>Case summary — compressed summary of the user's legal situation</w:t>
      </w:r>
    </w:p>
    <w:p w14:paraId="307CBE9D">
      <w:pPr>
        <w:pStyle w:val="16"/>
        <w:numPr>
          <w:ilvl w:val="0"/>
          <w:numId w:val="2"/>
        </w:numPr>
        <w:spacing w:before="60" w:after="60"/>
        <w:jc w:val="both"/>
        <w:rPr>
          <w:color w:val="auto"/>
        </w:rPr>
      </w:pPr>
      <w:r>
        <w:rPr>
          <w:rFonts w:ascii="Arial" w:hAnsi="Arial" w:eastAsia="Arial" w:cs="Arial"/>
          <w:b w:val="0"/>
          <w:bCs w:val="0"/>
          <w:color w:val="auto"/>
          <w:sz w:val="22"/>
          <w:szCs w:val="22"/>
        </w:rPr>
        <w:t>Query history — last 10 queries and responses for context</w:t>
      </w:r>
    </w:p>
    <w:p w14:paraId="5BF3C5FE">
      <w:pPr>
        <w:pStyle w:val="16"/>
        <w:numPr>
          <w:ilvl w:val="0"/>
          <w:numId w:val="2"/>
        </w:numPr>
        <w:spacing w:before="60" w:after="60"/>
        <w:jc w:val="both"/>
        <w:rPr>
          <w:color w:val="auto"/>
        </w:rPr>
      </w:pPr>
      <w:r>
        <w:rPr>
          <w:rFonts w:ascii="Arial" w:hAnsi="Arial" w:eastAsia="Arial" w:cs="Arial"/>
          <w:b w:val="0"/>
          <w:bCs w:val="0"/>
          <w:color w:val="auto"/>
          <w:sz w:val="22"/>
          <w:szCs w:val="22"/>
        </w:rPr>
        <w:t>Documents generated — RTI applications and complaints drafted in previous sessions</w:t>
      </w:r>
    </w:p>
    <w:p w14:paraId="3AA283EE">
      <w:pPr>
        <w:pStyle w:val="16"/>
        <w:numPr>
          <w:ilvl w:val="0"/>
          <w:numId w:val="2"/>
        </w:numPr>
        <w:spacing w:before="60" w:after="60"/>
        <w:jc w:val="both"/>
        <w:rPr>
          <w:color w:val="auto"/>
        </w:rPr>
      </w:pPr>
      <w:r>
        <w:rPr>
          <w:rFonts w:ascii="Arial" w:hAnsi="Arial" w:eastAsia="Arial" w:cs="Arial"/>
          <w:b w:val="0"/>
          <w:bCs w:val="0"/>
          <w:color w:val="auto"/>
          <w:sz w:val="22"/>
          <w:szCs w:val="22"/>
        </w:rPr>
        <w:t>Referral status — whether case has been escalated to DLSA</w:t>
      </w:r>
    </w:p>
    <w:p w14:paraId="6960B09D">
      <w:pPr>
        <w:spacing w:before="80" w:after="100"/>
        <w:jc w:val="both"/>
        <w:rPr>
          <w:color w:val="auto"/>
        </w:rPr>
      </w:pPr>
      <w:r>
        <w:rPr>
          <w:rFonts w:ascii="Arial" w:hAnsi="Arial" w:eastAsia="Arial" w:cs="Arial"/>
          <w:color w:val="auto"/>
          <w:sz w:val="22"/>
          <w:szCs w:val="22"/>
        </w:rPr>
        <w:t>Memory is scoped per user ID, encrypted at rest using AES-256, and automatically expires after 90 days of inactivity.</w:t>
      </w:r>
    </w:p>
    <w:p w14:paraId="39BAEE5A">
      <w:pPr>
        <w:pStyle w:val="3"/>
        <w:spacing w:before="280" w:after="140"/>
        <w:jc w:val="both"/>
        <w:rPr>
          <w:color w:val="auto"/>
        </w:rPr>
      </w:pPr>
      <w:r>
        <w:rPr>
          <w:rFonts w:ascii="Arial" w:hAnsi="Arial" w:eastAsia="Arial" w:cs="Arial"/>
          <w:b/>
          <w:bCs/>
          <w:color w:val="auto"/>
          <w:sz w:val="26"/>
          <w:szCs w:val="26"/>
        </w:rPr>
        <w:t>9.4 Qdrant Collections</w:t>
      </w:r>
    </w:p>
    <w:p w14:paraId="58EE9769">
      <w:pPr>
        <w:spacing w:before="60" w:after="60"/>
        <w:jc w:val="both"/>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4000"/>
        <w:gridCol w:w="2860"/>
      </w:tblGrid>
      <w:tr w14:paraId="077CB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000000" w:sz="12" w:space="0"/>
              <w:left w:val="nil"/>
              <w:bottom w:val="single" w:color="000000" w:sz="4" w:space="0"/>
              <w:right w:val="nil"/>
              <w:tl2br w:val="nil"/>
            </w:tcBorders>
            <w:shd w:val="clear" w:color="auto" w:fill="FFFFFF"/>
            <w:tcMar>
              <w:top w:w="100" w:type="dxa"/>
              <w:left w:w="150" w:type="dxa"/>
              <w:bottom w:w="100" w:type="dxa"/>
              <w:right w:w="150" w:type="dxa"/>
            </w:tcMar>
          </w:tcPr>
          <w:p w14:paraId="639E92B6">
            <w:pPr>
              <w:jc w:val="both"/>
              <w:rPr>
                <w:b/>
                <w:bCs w:val="0"/>
                <w:color w:val="000000"/>
              </w:rPr>
            </w:pPr>
            <w:r>
              <w:rPr>
                <w:rFonts w:ascii="Arial" w:hAnsi="Arial" w:eastAsia="Arial" w:cs="Arial"/>
                <w:b/>
                <w:bCs w:val="0"/>
                <w:color w:val="000000"/>
                <w:sz w:val="20"/>
                <w:szCs w:val="20"/>
              </w:rPr>
              <w:t>Collection</w:t>
            </w:r>
          </w:p>
        </w:tc>
        <w:tc>
          <w:tcPr>
            <w:tcW w:w="4000" w:type="dxa"/>
            <w:tcBorders>
              <w:top w:val="single" w:color="000000" w:sz="12" w:space="0"/>
              <w:left w:val="nil"/>
              <w:bottom w:val="single" w:color="000000" w:sz="4" w:space="0"/>
              <w:right w:val="nil"/>
            </w:tcBorders>
            <w:shd w:val="clear" w:color="auto" w:fill="FFFFFF"/>
            <w:tcMar>
              <w:top w:w="100" w:type="dxa"/>
              <w:left w:w="150" w:type="dxa"/>
              <w:bottom w:w="100" w:type="dxa"/>
              <w:right w:w="150" w:type="dxa"/>
            </w:tcMar>
          </w:tcPr>
          <w:p w14:paraId="503CF5AE">
            <w:pPr>
              <w:jc w:val="both"/>
              <w:rPr>
                <w:b/>
                <w:bCs w:val="0"/>
                <w:color w:val="000000"/>
              </w:rPr>
            </w:pPr>
            <w:r>
              <w:rPr>
                <w:rFonts w:ascii="Arial" w:hAnsi="Arial" w:eastAsia="Arial" w:cs="Arial"/>
                <w:b/>
                <w:bCs w:val="0"/>
                <w:color w:val="000000"/>
                <w:sz w:val="20"/>
                <w:szCs w:val="20"/>
              </w:rPr>
              <w:t>Content</w:t>
            </w:r>
          </w:p>
        </w:tc>
        <w:tc>
          <w:tcPr>
            <w:tcW w:w="2860" w:type="dxa"/>
            <w:tcBorders>
              <w:top w:val="single" w:color="000000" w:sz="12" w:space="0"/>
              <w:left w:val="nil"/>
              <w:bottom w:val="single" w:color="000000" w:sz="4" w:space="0"/>
              <w:right w:val="nil"/>
            </w:tcBorders>
            <w:shd w:val="clear" w:color="auto" w:fill="FFFFFF"/>
            <w:tcMar>
              <w:top w:w="100" w:type="dxa"/>
              <w:left w:w="150" w:type="dxa"/>
              <w:bottom w:w="100" w:type="dxa"/>
              <w:right w:w="150" w:type="dxa"/>
            </w:tcMar>
          </w:tcPr>
          <w:p w14:paraId="56C90ABB">
            <w:pPr>
              <w:jc w:val="both"/>
              <w:rPr>
                <w:b/>
                <w:bCs w:val="0"/>
                <w:color w:val="000000"/>
              </w:rPr>
            </w:pPr>
            <w:r>
              <w:rPr>
                <w:rFonts w:ascii="Arial" w:hAnsi="Arial" w:eastAsia="Arial" w:cs="Arial"/>
                <w:b/>
                <w:bCs w:val="0"/>
                <w:color w:val="000000"/>
                <w:sz w:val="20"/>
                <w:szCs w:val="20"/>
              </w:rPr>
              <w:t>Size</w:t>
            </w:r>
          </w:p>
        </w:tc>
      </w:tr>
      <w:tr w14:paraId="2FE7D2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50D62F6A">
            <w:pPr>
              <w:jc w:val="both"/>
              <w:rPr>
                <w:color w:val="auto"/>
              </w:rPr>
            </w:pPr>
            <w:r>
              <w:rPr>
                <w:rFonts w:ascii="Arial" w:hAnsi="Arial" w:eastAsia="Arial" w:cs="Arial"/>
                <w:b/>
                <w:bCs/>
                <w:color w:val="auto"/>
                <w:sz w:val="20"/>
                <w:szCs w:val="20"/>
              </w:rPr>
              <w:t>IPC &amp; CrPC Collection</w:t>
            </w:r>
          </w:p>
        </w:tc>
        <w:tc>
          <w:tcPr>
            <w:tcW w:w="40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DD8B341">
            <w:pPr>
              <w:jc w:val="both"/>
              <w:rPr>
                <w:color w:val="auto"/>
              </w:rPr>
            </w:pPr>
            <w:r>
              <w:rPr>
                <w:rFonts w:ascii="Arial" w:hAnsi="Arial" w:eastAsia="Arial" w:cs="Arial"/>
                <w:b w:val="0"/>
                <w:bCs w:val="0"/>
                <w:color w:val="auto"/>
                <w:sz w:val="20"/>
                <w:szCs w:val="20"/>
              </w:rPr>
              <w:t>Indian Penal Code sections, CrPC procedures, BNS 2023 updates, criminal law precedents</w:t>
            </w:r>
          </w:p>
        </w:tc>
        <w:tc>
          <w:tcPr>
            <w:tcW w:w="28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3E9552A">
            <w:pPr>
              <w:jc w:val="both"/>
              <w:rPr>
                <w:color w:val="auto"/>
              </w:rPr>
            </w:pPr>
            <w:r>
              <w:rPr>
                <w:rFonts w:ascii="Arial" w:hAnsi="Arial" w:eastAsia="Arial" w:cs="Arial"/>
                <w:b w:val="0"/>
                <w:bCs w:val="0"/>
                <w:color w:val="auto"/>
                <w:sz w:val="20"/>
                <w:szCs w:val="20"/>
              </w:rPr>
              <w:t>~2,000 chunks</w:t>
            </w:r>
          </w:p>
        </w:tc>
      </w:tr>
      <w:tr w14:paraId="158E79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8728950">
            <w:pPr>
              <w:jc w:val="both"/>
              <w:rPr>
                <w:color w:val="auto"/>
              </w:rPr>
            </w:pPr>
            <w:r>
              <w:rPr>
                <w:rFonts w:ascii="Arial" w:hAnsi="Arial" w:eastAsia="Arial" w:cs="Arial"/>
                <w:b/>
                <w:bCs/>
                <w:color w:val="auto"/>
                <w:sz w:val="20"/>
                <w:szCs w:val="20"/>
              </w:rPr>
              <w:t>Government Schemes Collection</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596019A">
            <w:pPr>
              <w:jc w:val="both"/>
              <w:rPr>
                <w:color w:val="auto"/>
              </w:rPr>
            </w:pPr>
            <w:r>
              <w:rPr>
                <w:rFonts w:ascii="Arial" w:hAnsi="Arial" w:eastAsia="Arial" w:cs="Arial"/>
                <w:b w:val="0"/>
                <w:bCs w:val="0"/>
                <w:color w:val="auto"/>
                <w:sz w:val="20"/>
                <w:szCs w:val="20"/>
              </w:rPr>
              <w:t>PM-KISAN, MGNREGA, PM Awas Yojana, 500+ scheme documents from MyScheme.gov.in</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57C7A33D">
            <w:pPr>
              <w:jc w:val="both"/>
              <w:rPr>
                <w:color w:val="auto"/>
              </w:rPr>
            </w:pPr>
            <w:r>
              <w:rPr>
                <w:rFonts w:ascii="Arial" w:hAnsi="Arial" w:eastAsia="Arial" w:cs="Arial"/>
                <w:b w:val="0"/>
                <w:bCs w:val="0"/>
                <w:color w:val="auto"/>
                <w:sz w:val="20"/>
                <w:szCs w:val="20"/>
              </w:rPr>
              <w:t>~5,000 chunks</w:t>
            </w:r>
          </w:p>
        </w:tc>
      </w:tr>
      <w:tr w14:paraId="3E77F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B4BAC5E">
            <w:pPr>
              <w:jc w:val="both"/>
              <w:rPr>
                <w:color w:val="auto"/>
              </w:rPr>
            </w:pPr>
            <w:r>
              <w:rPr>
                <w:rFonts w:ascii="Arial" w:hAnsi="Arial" w:eastAsia="Arial" w:cs="Arial"/>
                <w:b/>
                <w:bCs/>
                <w:color w:val="auto"/>
                <w:sz w:val="20"/>
                <w:szCs w:val="20"/>
              </w:rPr>
              <w:t>Land Laws Collection</w:t>
            </w:r>
          </w:p>
        </w:tc>
        <w:tc>
          <w:tcPr>
            <w:tcW w:w="40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F29C243">
            <w:pPr>
              <w:jc w:val="both"/>
              <w:rPr>
                <w:color w:val="auto"/>
              </w:rPr>
            </w:pPr>
            <w:r>
              <w:rPr>
                <w:rFonts w:ascii="Arial" w:hAnsi="Arial" w:eastAsia="Arial" w:cs="Arial"/>
                <w:b w:val="0"/>
                <w:bCs w:val="0"/>
                <w:color w:val="auto"/>
                <w:sz w:val="20"/>
                <w:szCs w:val="20"/>
              </w:rPr>
              <w:t>State-specific land acquisition acts, tenancy rights, forest rights, tribal land protection</w:t>
            </w:r>
          </w:p>
        </w:tc>
        <w:tc>
          <w:tcPr>
            <w:tcW w:w="28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330AD3E">
            <w:pPr>
              <w:jc w:val="both"/>
              <w:rPr>
                <w:color w:val="auto"/>
              </w:rPr>
            </w:pPr>
            <w:r>
              <w:rPr>
                <w:rFonts w:ascii="Arial" w:hAnsi="Arial" w:eastAsia="Arial" w:cs="Arial"/>
                <w:b w:val="0"/>
                <w:bCs w:val="0"/>
                <w:color w:val="auto"/>
                <w:sz w:val="20"/>
                <w:szCs w:val="20"/>
              </w:rPr>
              <w:t>~1,500 chunks</w:t>
            </w:r>
          </w:p>
        </w:tc>
      </w:tr>
      <w:tr w14:paraId="73C93A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0F7F5C1">
            <w:pPr>
              <w:jc w:val="both"/>
              <w:rPr>
                <w:color w:val="auto"/>
              </w:rPr>
            </w:pPr>
            <w:r>
              <w:rPr>
                <w:rFonts w:ascii="Arial" w:hAnsi="Arial" w:eastAsia="Arial" w:cs="Arial"/>
                <w:b/>
                <w:bCs/>
                <w:color w:val="auto"/>
                <w:sz w:val="20"/>
                <w:szCs w:val="20"/>
              </w:rPr>
              <w:t>RTI Templates Collection</w:t>
            </w:r>
          </w:p>
        </w:tc>
        <w:tc>
          <w:tcPr>
            <w:tcW w:w="40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5305D66">
            <w:pPr>
              <w:jc w:val="both"/>
              <w:rPr>
                <w:color w:val="auto"/>
              </w:rPr>
            </w:pPr>
            <w:r>
              <w:rPr>
                <w:rFonts w:ascii="Arial" w:hAnsi="Arial" w:eastAsia="Arial" w:cs="Arial"/>
                <w:b w:val="0"/>
                <w:bCs w:val="0"/>
                <w:color w:val="auto"/>
                <w:sz w:val="20"/>
                <w:szCs w:val="20"/>
              </w:rPr>
              <w:t>RTI application templates, successful precedents, complaint formats, DLSA contact directory</w:t>
            </w:r>
          </w:p>
        </w:tc>
        <w:tc>
          <w:tcPr>
            <w:tcW w:w="28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EBCC6BF">
            <w:pPr>
              <w:jc w:val="both"/>
              <w:rPr>
                <w:color w:val="auto"/>
              </w:rPr>
            </w:pPr>
            <w:r>
              <w:rPr>
                <w:rFonts w:ascii="Arial" w:hAnsi="Arial" w:eastAsia="Arial" w:cs="Arial"/>
                <w:b w:val="0"/>
                <w:bCs w:val="0"/>
                <w:color w:val="auto"/>
                <w:sz w:val="20"/>
                <w:szCs w:val="20"/>
              </w:rPr>
              <w:t>~800 chunks</w:t>
            </w:r>
          </w:p>
        </w:tc>
      </w:tr>
    </w:tbl>
    <w:p w14:paraId="40D00A64">
      <w:pPr>
        <w:spacing w:before="60" w:after="60"/>
        <w:jc w:val="both"/>
        <w:rPr>
          <w:color w:val="auto"/>
        </w:rPr>
      </w:pPr>
    </w:p>
    <w:p w14:paraId="1DE2851B">
      <w:pPr>
        <w:spacing w:before="80" w:after="100"/>
        <w:jc w:val="both"/>
        <w:rPr>
          <w:color w:val="auto"/>
        </w:rPr>
      </w:pPr>
      <w:r>
        <w:rPr>
          <w:rFonts w:ascii="Arial" w:hAnsi="Arial" w:eastAsia="Arial" w:cs="Arial"/>
          <w:color w:val="auto"/>
          <w:sz w:val="22"/>
          <w:szCs w:val="22"/>
        </w:rPr>
        <w:t>Embedding model: text-embedding-3-small. Chunk size: 512 tokens with 20% overlap. Retrieval: Top-k = 5 per query.</w:t>
      </w:r>
    </w:p>
    <w:p w14:paraId="407315EF">
      <w:pPr>
        <w:pStyle w:val="2"/>
        <w:spacing w:before="400" w:after="200"/>
        <w:jc w:val="both"/>
        <w:rPr>
          <w:color w:val="auto"/>
        </w:rPr>
      </w:pPr>
      <w:r>
        <w:rPr>
          <w:rFonts w:ascii="Arial" w:hAnsi="Arial" w:eastAsia="Arial" w:cs="Arial"/>
          <w:b/>
          <w:bCs/>
          <w:color w:val="auto"/>
          <w:sz w:val="34"/>
          <w:szCs w:val="34"/>
        </w:rPr>
        <w:t>10. Risks and Mitigations</w:t>
      </w:r>
    </w:p>
    <w:p w14:paraId="11B2D349">
      <w:pPr>
        <w:spacing w:before="60" w:after="60"/>
        <w:jc w:val="both"/>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800"/>
        <w:gridCol w:w="5360"/>
      </w:tblGrid>
      <w:tr w14:paraId="06D9E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000000" w:sz="12" w:space="0"/>
              <w:left w:val="nil"/>
              <w:bottom w:val="single" w:color="000000" w:sz="4" w:space="0"/>
              <w:right w:val="nil"/>
              <w:tl2br w:val="nil"/>
            </w:tcBorders>
            <w:shd w:val="clear" w:color="auto" w:fill="FFFFFF"/>
            <w:tcMar>
              <w:top w:w="100" w:type="dxa"/>
              <w:left w:w="150" w:type="dxa"/>
              <w:bottom w:w="100" w:type="dxa"/>
              <w:right w:w="150" w:type="dxa"/>
            </w:tcMar>
          </w:tcPr>
          <w:p w14:paraId="0A76431C">
            <w:pPr>
              <w:jc w:val="both"/>
              <w:rPr>
                <w:b/>
                <w:bCs w:val="0"/>
                <w:color w:val="000000"/>
              </w:rPr>
            </w:pPr>
            <w:r>
              <w:rPr>
                <w:rFonts w:ascii="Arial" w:hAnsi="Arial" w:eastAsia="Arial" w:cs="Arial"/>
                <w:b/>
                <w:bCs w:val="0"/>
                <w:color w:val="000000"/>
                <w:sz w:val="20"/>
                <w:szCs w:val="20"/>
              </w:rPr>
              <w:t>Risk</w:t>
            </w:r>
          </w:p>
        </w:tc>
        <w:tc>
          <w:tcPr>
            <w:tcW w:w="1800" w:type="dxa"/>
            <w:tcBorders>
              <w:top w:val="single" w:color="000000" w:sz="12" w:space="0"/>
              <w:left w:val="nil"/>
              <w:bottom w:val="single" w:color="000000" w:sz="4" w:space="0"/>
              <w:right w:val="nil"/>
            </w:tcBorders>
            <w:shd w:val="clear" w:color="auto" w:fill="FFFFFF"/>
            <w:tcMar>
              <w:top w:w="100" w:type="dxa"/>
              <w:left w:w="150" w:type="dxa"/>
              <w:bottom w:w="100" w:type="dxa"/>
              <w:right w:w="150" w:type="dxa"/>
            </w:tcMar>
          </w:tcPr>
          <w:p w14:paraId="6627B744">
            <w:pPr>
              <w:jc w:val="both"/>
              <w:rPr>
                <w:b/>
                <w:bCs w:val="0"/>
                <w:color w:val="000000"/>
              </w:rPr>
            </w:pPr>
            <w:r>
              <w:rPr>
                <w:rFonts w:ascii="Arial" w:hAnsi="Arial" w:eastAsia="Arial" w:cs="Arial"/>
                <w:b/>
                <w:bCs w:val="0"/>
                <w:color w:val="000000"/>
                <w:sz w:val="20"/>
                <w:szCs w:val="20"/>
              </w:rPr>
              <w:t>Impact</w:t>
            </w:r>
          </w:p>
        </w:tc>
        <w:tc>
          <w:tcPr>
            <w:tcW w:w="5360" w:type="dxa"/>
            <w:tcBorders>
              <w:top w:val="single" w:color="000000" w:sz="12" w:space="0"/>
              <w:left w:val="nil"/>
              <w:bottom w:val="single" w:color="000000" w:sz="4" w:space="0"/>
              <w:right w:val="nil"/>
            </w:tcBorders>
            <w:shd w:val="clear" w:color="auto" w:fill="FFFFFF"/>
            <w:tcMar>
              <w:top w:w="100" w:type="dxa"/>
              <w:left w:w="150" w:type="dxa"/>
              <w:bottom w:w="100" w:type="dxa"/>
              <w:right w:w="150" w:type="dxa"/>
            </w:tcMar>
          </w:tcPr>
          <w:p w14:paraId="479BCD69">
            <w:pPr>
              <w:jc w:val="both"/>
              <w:rPr>
                <w:b/>
                <w:bCs w:val="0"/>
                <w:color w:val="000000"/>
              </w:rPr>
            </w:pPr>
            <w:r>
              <w:rPr>
                <w:rFonts w:ascii="Arial" w:hAnsi="Arial" w:eastAsia="Arial" w:cs="Arial"/>
                <w:b/>
                <w:bCs w:val="0"/>
                <w:color w:val="000000"/>
                <w:sz w:val="20"/>
                <w:szCs w:val="20"/>
              </w:rPr>
              <w:t>Mitigation</w:t>
            </w:r>
          </w:p>
        </w:tc>
      </w:tr>
      <w:tr w14:paraId="4B570F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F198F79">
            <w:pPr>
              <w:jc w:val="both"/>
              <w:rPr>
                <w:color w:val="auto"/>
              </w:rPr>
            </w:pPr>
            <w:r>
              <w:rPr>
                <w:rFonts w:ascii="Arial" w:hAnsi="Arial" w:eastAsia="Arial" w:cs="Arial"/>
                <w:b/>
                <w:bCs/>
                <w:color w:val="auto"/>
                <w:sz w:val="20"/>
                <w:szCs w:val="20"/>
              </w:rPr>
              <w:t>Hallucinated legal advice</w:t>
            </w:r>
          </w:p>
        </w:tc>
        <w:tc>
          <w:tcPr>
            <w:tcW w:w="1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10FEFF3D">
            <w:pPr>
              <w:jc w:val="both"/>
              <w:rPr>
                <w:color w:val="auto"/>
              </w:rPr>
            </w:pPr>
            <w:r>
              <w:rPr>
                <w:rFonts w:ascii="Arial" w:hAnsi="Arial" w:eastAsia="Arial" w:cs="Arial"/>
                <w:b w:val="0"/>
                <w:bCs w:val="0"/>
                <w:color w:val="auto"/>
                <w:sz w:val="20"/>
                <w:szCs w:val="20"/>
              </w:rPr>
              <w:t>High — could lead to wrongful legal action by user</w:t>
            </w:r>
          </w:p>
        </w:tc>
        <w:tc>
          <w:tcPr>
            <w:tcW w:w="5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3120A7EF">
            <w:pPr>
              <w:jc w:val="both"/>
              <w:rPr>
                <w:color w:val="auto"/>
              </w:rPr>
            </w:pPr>
            <w:r>
              <w:rPr>
                <w:rFonts w:ascii="Arial" w:hAnsi="Arial" w:eastAsia="Arial" w:cs="Arial"/>
                <w:b w:val="0"/>
                <w:bCs w:val="0"/>
                <w:color w:val="auto"/>
                <w:sz w:val="20"/>
                <w:szCs w:val="20"/>
              </w:rPr>
              <w:t>Enkrypt AI hallucination detection blocks responses below 0.7 confidence. All claims cross-checked against source chunks.</w:t>
            </w:r>
          </w:p>
        </w:tc>
      </w:tr>
      <w:tr w14:paraId="07DC3B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8A2360F">
            <w:pPr>
              <w:jc w:val="both"/>
              <w:rPr>
                <w:color w:val="auto"/>
              </w:rPr>
            </w:pPr>
            <w:r>
              <w:rPr>
                <w:rFonts w:ascii="Arial" w:hAnsi="Arial" w:eastAsia="Arial" w:cs="Arial"/>
                <w:b/>
                <w:bCs/>
                <w:color w:val="auto"/>
                <w:sz w:val="20"/>
                <w:szCs w:val="20"/>
              </w:rPr>
              <w:t>Language transcription errors</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A8E9C14">
            <w:pPr>
              <w:jc w:val="both"/>
              <w:rPr>
                <w:color w:val="auto"/>
              </w:rPr>
            </w:pPr>
            <w:r>
              <w:rPr>
                <w:rFonts w:ascii="Arial" w:hAnsi="Arial" w:eastAsia="Arial" w:cs="Arial"/>
                <w:b w:val="0"/>
                <w:bCs w:val="0"/>
                <w:color w:val="auto"/>
                <w:sz w:val="20"/>
                <w:szCs w:val="20"/>
              </w:rPr>
              <w:t>Medium — misunderstood query leads to wrong agent routing</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9D1FB75">
            <w:pPr>
              <w:jc w:val="both"/>
              <w:rPr>
                <w:color w:val="auto"/>
              </w:rPr>
            </w:pPr>
            <w:r>
              <w:rPr>
                <w:rFonts w:ascii="Arial" w:hAnsi="Arial" w:eastAsia="Arial" w:cs="Arial"/>
                <w:b w:val="0"/>
                <w:bCs w:val="0"/>
                <w:color w:val="auto"/>
                <w:sz w:val="20"/>
                <w:szCs w:val="20"/>
              </w:rPr>
              <w:t>IndicTrans2 fine-tuned on legal domain vocabulary. Fallback to text input if voice confidence is low.</w:t>
            </w:r>
          </w:p>
        </w:tc>
      </w:tr>
      <w:tr w14:paraId="16688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2FE59E7A">
            <w:pPr>
              <w:jc w:val="both"/>
              <w:rPr>
                <w:color w:val="auto"/>
              </w:rPr>
            </w:pPr>
            <w:r>
              <w:rPr>
                <w:rFonts w:ascii="Arial" w:hAnsi="Arial" w:eastAsia="Arial" w:cs="Arial"/>
                <w:b/>
                <w:bCs/>
                <w:color w:val="auto"/>
                <w:sz w:val="20"/>
                <w:szCs w:val="20"/>
              </w:rPr>
              <w:t>Stale scheme data</w:t>
            </w:r>
          </w:p>
        </w:tc>
        <w:tc>
          <w:tcPr>
            <w:tcW w:w="1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0E28326">
            <w:pPr>
              <w:jc w:val="both"/>
              <w:rPr>
                <w:color w:val="auto"/>
              </w:rPr>
            </w:pPr>
            <w:r>
              <w:rPr>
                <w:rFonts w:ascii="Arial" w:hAnsi="Arial" w:eastAsia="Arial" w:cs="Arial"/>
                <w:b w:val="0"/>
                <w:bCs w:val="0"/>
                <w:color w:val="auto"/>
                <w:sz w:val="20"/>
                <w:szCs w:val="20"/>
              </w:rPr>
              <w:t>Medium — outdated eligibility criteria misleads users</w:t>
            </w:r>
          </w:p>
        </w:tc>
        <w:tc>
          <w:tcPr>
            <w:tcW w:w="5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34C87375">
            <w:pPr>
              <w:jc w:val="both"/>
              <w:rPr>
                <w:color w:val="auto"/>
              </w:rPr>
            </w:pPr>
            <w:r>
              <w:rPr>
                <w:rFonts w:ascii="Arial" w:hAnsi="Arial" w:eastAsia="Arial" w:cs="Arial"/>
                <w:b w:val="0"/>
                <w:bCs w:val="0"/>
                <w:color w:val="auto"/>
                <w:sz w:val="20"/>
                <w:szCs w:val="20"/>
              </w:rPr>
              <w:t>MyScheme.gov.in API integration ensures live scheme data. Qdrant collection updated monthly.</w:t>
            </w:r>
          </w:p>
        </w:tc>
      </w:tr>
      <w:tr w14:paraId="2D390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098A891B">
            <w:pPr>
              <w:jc w:val="both"/>
              <w:rPr>
                <w:color w:val="auto"/>
              </w:rPr>
            </w:pPr>
            <w:r>
              <w:rPr>
                <w:rFonts w:ascii="Arial" w:hAnsi="Arial" w:eastAsia="Arial" w:cs="Arial"/>
                <w:b/>
                <w:bCs/>
                <w:color w:val="auto"/>
                <w:sz w:val="20"/>
                <w:szCs w:val="20"/>
              </w:rPr>
              <w:t>Complex case handled without lawyer</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4DEA20B3">
            <w:pPr>
              <w:jc w:val="both"/>
              <w:rPr>
                <w:color w:val="auto"/>
              </w:rPr>
            </w:pPr>
            <w:r>
              <w:rPr>
                <w:rFonts w:ascii="Arial" w:hAnsi="Arial" w:eastAsia="Arial" w:cs="Arial"/>
                <w:b w:val="0"/>
                <w:bCs w:val="0"/>
                <w:color w:val="auto"/>
                <w:sz w:val="20"/>
                <w:szCs w:val="20"/>
              </w:rPr>
              <w:t>High — user acts on incomplete advice in serious matter</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2DAA5D55">
            <w:pPr>
              <w:jc w:val="both"/>
              <w:rPr>
                <w:color w:val="auto"/>
              </w:rPr>
            </w:pPr>
            <w:r>
              <w:rPr>
                <w:rFonts w:ascii="Arial" w:hAnsi="Arial" w:eastAsia="Arial" w:cs="Arial"/>
                <w:b w:val="0"/>
                <w:bCs w:val="0"/>
                <w:color w:val="auto"/>
                <w:sz w:val="20"/>
                <w:szCs w:val="20"/>
              </w:rPr>
              <w:t>Confidence-based DLSA redirect guardrail in Enkrypt AI. Disclaimer on every response recommending professional consultation for complex matters.</w:t>
            </w:r>
          </w:p>
        </w:tc>
      </w:tr>
      <w:tr w14:paraId="6FC183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606B23FB">
            <w:pPr>
              <w:jc w:val="both"/>
              <w:rPr>
                <w:color w:val="auto"/>
              </w:rPr>
            </w:pPr>
            <w:r>
              <w:rPr>
                <w:rFonts w:ascii="Arial" w:hAnsi="Arial" w:eastAsia="Arial" w:cs="Arial"/>
                <w:b/>
                <w:bCs/>
                <w:color w:val="auto"/>
                <w:sz w:val="20"/>
                <w:szCs w:val="20"/>
              </w:rPr>
              <w:t>Data privacy breach</w:t>
            </w:r>
          </w:p>
        </w:tc>
        <w:tc>
          <w:tcPr>
            <w:tcW w:w="1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3D896968">
            <w:pPr>
              <w:jc w:val="both"/>
              <w:rPr>
                <w:color w:val="auto"/>
              </w:rPr>
            </w:pPr>
            <w:r>
              <w:rPr>
                <w:rFonts w:ascii="Arial" w:hAnsi="Arial" w:eastAsia="Arial" w:cs="Arial"/>
                <w:b w:val="0"/>
                <w:bCs w:val="0"/>
                <w:color w:val="auto"/>
                <w:sz w:val="20"/>
                <w:szCs w:val="20"/>
              </w:rPr>
              <w:t>High — sensitive legal queries exposed</w:t>
            </w:r>
          </w:p>
        </w:tc>
        <w:tc>
          <w:tcPr>
            <w:tcW w:w="536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A1195B8">
            <w:pPr>
              <w:jc w:val="both"/>
              <w:rPr>
                <w:color w:val="auto"/>
              </w:rPr>
            </w:pPr>
            <w:r>
              <w:rPr>
                <w:rFonts w:ascii="Arial" w:hAnsi="Arial" w:eastAsia="Arial" w:cs="Arial"/>
                <w:b w:val="0"/>
                <w:bCs w:val="0"/>
                <w:color w:val="auto"/>
                <w:sz w:val="20"/>
                <w:szCs w:val="20"/>
              </w:rPr>
              <w:t>PII filtering via Enkrypt AI. AES-256 encryption at rest. TLS 1.3 in transit. DPDP Act 2023 compliance.</w:t>
            </w:r>
          </w:p>
        </w:tc>
      </w:tr>
      <w:tr w14:paraId="757D41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CD649F0">
            <w:pPr>
              <w:jc w:val="both"/>
              <w:rPr>
                <w:color w:val="auto"/>
              </w:rPr>
            </w:pPr>
            <w:r>
              <w:rPr>
                <w:rFonts w:ascii="Arial" w:hAnsi="Arial" w:eastAsia="Arial" w:cs="Arial"/>
                <w:b/>
                <w:bCs/>
                <w:color w:val="auto"/>
                <w:sz w:val="20"/>
                <w:szCs w:val="20"/>
              </w:rPr>
              <w:t>Qdrant collection outdated</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370AB38">
            <w:pPr>
              <w:jc w:val="both"/>
              <w:rPr>
                <w:color w:val="auto"/>
              </w:rPr>
            </w:pPr>
            <w:r>
              <w:rPr>
                <w:rFonts w:ascii="Arial" w:hAnsi="Arial" w:eastAsia="Arial" w:cs="Arial"/>
                <w:b w:val="0"/>
                <w:bCs w:val="0"/>
                <w:color w:val="auto"/>
                <w:sz w:val="20"/>
                <w:szCs w:val="20"/>
              </w:rPr>
              <w:t>Medium — wrong IPC section cited post BNS 2023 transition</w:t>
            </w:r>
          </w:p>
        </w:tc>
        <w:tc>
          <w:tcPr>
            <w:tcW w:w="53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16D8A1A1">
            <w:pPr>
              <w:jc w:val="both"/>
              <w:rPr>
                <w:color w:val="auto"/>
              </w:rPr>
            </w:pPr>
            <w:r>
              <w:rPr>
                <w:rFonts w:ascii="Arial" w:hAnsi="Arial" w:eastAsia="Arial" w:cs="Arial"/>
                <w:b w:val="0"/>
                <w:bCs w:val="0"/>
                <w:color w:val="auto"/>
                <w:sz w:val="20"/>
                <w:szCs w:val="20"/>
              </w:rPr>
              <w:t>BNS 2023 already included in IPC collection. Quarterly update pipeline scheduled.</w:t>
            </w:r>
          </w:p>
        </w:tc>
      </w:tr>
    </w:tbl>
    <w:p w14:paraId="2256B3EB">
      <w:pPr>
        <w:pStyle w:val="2"/>
        <w:spacing w:before="400" w:after="200"/>
        <w:jc w:val="both"/>
        <w:rPr>
          <w:color w:val="auto"/>
        </w:rPr>
      </w:pPr>
      <w:r>
        <w:rPr>
          <w:rFonts w:ascii="Arial" w:hAnsi="Arial" w:eastAsia="Arial" w:cs="Arial"/>
          <w:b/>
          <w:bCs/>
          <w:color w:val="auto"/>
          <w:sz w:val="34"/>
          <w:szCs w:val="34"/>
        </w:rPr>
        <w:t>11. Project Timeline</w:t>
      </w:r>
    </w:p>
    <w:p w14:paraId="0CB6A2B4">
      <w:pPr>
        <w:spacing w:before="60" w:after="60"/>
        <w:jc w:val="both"/>
        <w:rPr>
          <w:color w:val="auto"/>
        </w:rPr>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560"/>
      </w:tblGrid>
      <w:tr w14:paraId="791F1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57A91BFC">
            <w:pPr>
              <w:jc w:val="both"/>
              <w:rPr>
                <w:color w:val="auto"/>
              </w:rPr>
            </w:pPr>
            <w:r>
              <w:rPr>
                <w:rFonts w:ascii="Arial" w:hAnsi="Arial" w:eastAsia="Arial" w:cs="Arial"/>
                <w:b/>
                <w:bCs/>
                <w:color w:val="auto"/>
                <w:sz w:val="20"/>
                <w:szCs w:val="20"/>
              </w:rPr>
              <w:t>Round 1 (June 23 – July 1, 2026)</w:t>
            </w:r>
          </w:p>
        </w:tc>
        <w:tc>
          <w:tcPr>
            <w:tcW w:w="6560"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50" w:type="dxa"/>
              <w:bottom w:w="100" w:type="dxa"/>
              <w:right w:w="150" w:type="dxa"/>
            </w:tcMar>
          </w:tcPr>
          <w:p w14:paraId="739E0E17">
            <w:pPr>
              <w:jc w:val="both"/>
              <w:rPr>
                <w:color w:val="auto"/>
              </w:rPr>
            </w:pPr>
            <w:r>
              <w:rPr>
                <w:rFonts w:ascii="Arial" w:hAnsi="Arial" w:eastAsia="Arial" w:cs="Arial"/>
                <w:color w:val="auto"/>
                <w:sz w:val="20"/>
                <w:szCs w:val="20"/>
              </w:rPr>
              <w:t>Architecture design, agent workflow definition, Qdrant collection planning, Enkrypt AI integration design, PRD and Solution Overview Document submission</w:t>
            </w:r>
          </w:p>
        </w:tc>
      </w:tr>
      <w:tr w14:paraId="611780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3FF"/>
            <w:tcMar>
              <w:top w:w="100" w:type="dxa"/>
              <w:left w:w="150" w:type="dxa"/>
              <w:bottom w:w="100" w:type="dxa"/>
              <w:right w:w="150" w:type="dxa"/>
            </w:tcMar>
          </w:tcPr>
          <w:p w14:paraId="0D9BD508">
            <w:pPr>
              <w:jc w:val="both"/>
              <w:rPr>
                <w:color w:val="auto"/>
              </w:rPr>
            </w:pPr>
            <w:r>
              <w:rPr>
                <w:rFonts w:ascii="Arial" w:hAnsi="Arial" w:eastAsia="Arial" w:cs="Arial"/>
                <w:b/>
                <w:bCs/>
                <w:color w:val="auto"/>
                <w:sz w:val="20"/>
                <w:szCs w:val="20"/>
              </w:rPr>
              <w:t>Round 2 — Sprint 1 (if qualified)</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B677E80">
            <w:pPr>
              <w:jc w:val="both"/>
              <w:rPr>
                <w:color w:val="auto"/>
              </w:rPr>
            </w:pPr>
            <w:r>
              <w:rPr>
                <w:rFonts w:ascii="Arial" w:hAnsi="Arial" w:eastAsia="Arial" w:cs="Arial"/>
                <w:color w:val="auto"/>
                <w:sz w:val="20"/>
                <w:szCs w:val="20"/>
              </w:rPr>
              <w:t>Mastra agent setup, Qdrant collection ingestion (IPC + Schemes), basic Intent Router working end-to-end</w:t>
            </w:r>
          </w:p>
        </w:tc>
      </w:tr>
      <w:tr w14:paraId="0824A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4AEA591B">
            <w:pPr>
              <w:jc w:val="both"/>
              <w:rPr>
                <w:color w:val="auto"/>
              </w:rPr>
            </w:pPr>
            <w:r>
              <w:rPr>
                <w:rFonts w:ascii="Arial" w:hAnsi="Arial" w:eastAsia="Arial" w:cs="Arial"/>
                <w:b/>
                <w:bCs/>
                <w:color w:val="auto"/>
                <w:sz w:val="20"/>
                <w:szCs w:val="20"/>
              </w:rPr>
              <w:t>Round 2 — Sprint 2</w:t>
            </w:r>
          </w:p>
        </w:tc>
        <w:tc>
          <w:tcPr>
            <w:tcW w:w="6560"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50" w:type="dxa"/>
              <w:bottom w:w="100" w:type="dxa"/>
              <w:right w:w="150" w:type="dxa"/>
            </w:tcMar>
          </w:tcPr>
          <w:p w14:paraId="45A7D88A">
            <w:pPr>
              <w:jc w:val="both"/>
              <w:rPr>
                <w:color w:val="auto"/>
              </w:rPr>
            </w:pPr>
            <w:r>
              <w:rPr>
                <w:rFonts w:ascii="Arial" w:hAnsi="Arial" w:eastAsia="Arial" w:cs="Arial"/>
                <w:color w:val="auto"/>
                <w:sz w:val="20"/>
                <w:szCs w:val="20"/>
              </w:rPr>
              <w:t>LegalAgent + SchemeAgent fully functional with RAG, Enkrypt AI hallucination detection integrated</w:t>
            </w:r>
          </w:p>
        </w:tc>
      </w:tr>
      <w:tr w14:paraId="532745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3FF"/>
            <w:tcMar>
              <w:top w:w="100" w:type="dxa"/>
              <w:left w:w="150" w:type="dxa"/>
              <w:bottom w:w="100" w:type="dxa"/>
              <w:right w:w="150" w:type="dxa"/>
            </w:tcMar>
          </w:tcPr>
          <w:p w14:paraId="25066364">
            <w:pPr>
              <w:jc w:val="both"/>
              <w:rPr>
                <w:color w:val="auto"/>
              </w:rPr>
            </w:pPr>
            <w:r>
              <w:rPr>
                <w:rFonts w:ascii="Arial" w:hAnsi="Arial" w:eastAsia="Arial" w:cs="Arial"/>
                <w:b/>
                <w:bCs/>
                <w:color w:val="auto"/>
                <w:sz w:val="20"/>
                <w:szCs w:val="20"/>
              </w:rPr>
              <w:t>Round 2 — Sprint 3</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7CDD59A6">
            <w:pPr>
              <w:jc w:val="both"/>
              <w:rPr>
                <w:color w:val="auto"/>
              </w:rPr>
            </w:pPr>
            <w:r>
              <w:rPr>
                <w:rFonts w:ascii="Arial" w:hAnsi="Arial" w:eastAsia="Arial" w:cs="Arial"/>
                <w:color w:val="auto"/>
                <w:sz w:val="20"/>
                <w:szCs w:val="20"/>
              </w:rPr>
              <w:t>DocumentAgent (RTI drafting), Mastra Memory (cross-session), WhatsApp integration</w:t>
            </w:r>
          </w:p>
        </w:tc>
      </w:tr>
      <w:tr w14:paraId="49983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EEF2FF"/>
            <w:tcMar>
              <w:top w:w="100" w:type="dxa"/>
              <w:left w:w="150" w:type="dxa"/>
              <w:bottom w:w="100" w:type="dxa"/>
              <w:right w:w="150" w:type="dxa"/>
            </w:tcMar>
          </w:tcPr>
          <w:p w14:paraId="10C7C8C3">
            <w:pPr>
              <w:jc w:val="both"/>
              <w:rPr>
                <w:color w:val="auto"/>
              </w:rPr>
            </w:pPr>
            <w:r>
              <w:rPr>
                <w:rFonts w:ascii="Arial" w:hAnsi="Arial" w:eastAsia="Arial" w:cs="Arial"/>
                <w:b/>
                <w:bCs/>
                <w:color w:val="auto"/>
                <w:sz w:val="20"/>
                <w:szCs w:val="20"/>
              </w:rPr>
              <w:t>Round 2 — Sprint 4</w:t>
            </w:r>
          </w:p>
        </w:tc>
        <w:tc>
          <w:tcPr>
            <w:tcW w:w="6560" w:type="dxa"/>
            <w:tcBorders>
              <w:top w:val="single" w:color="CCCCCC" w:sz="0" w:space="0"/>
              <w:left w:val="single" w:color="CCCCCC" w:sz="0" w:space="0"/>
              <w:bottom w:val="single" w:color="CCCCCC" w:sz="0" w:space="0"/>
              <w:right w:val="single" w:color="CCCCCC" w:sz="0" w:space="0"/>
            </w:tcBorders>
            <w:shd w:val="clear" w:color="auto" w:fill="FAFAFA"/>
            <w:tcMar>
              <w:top w:w="100" w:type="dxa"/>
              <w:left w:w="150" w:type="dxa"/>
              <w:bottom w:w="100" w:type="dxa"/>
              <w:right w:w="150" w:type="dxa"/>
            </w:tcMar>
          </w:tcPr>
          <w:p w14:paraId="32580F9C">
            <w:pPr>
              <w:jc w:val="both"/>
              <w:rPr>
                <w:color w:val="auto"/>
              </w:rPr>
            </w:pPr>
            <w:r>
              <w:rPr>
                <w:rFonts w:ascii="Arial" w:hAnsi="Arial" w:eastAsia="Arial" w:cs="Arial"/>
                <w:color w:val="auto"/>
                <w:sz w:val="20"/>
                <w:szCs w:val="20"/>
              </w:rPr>
              <w:t>Multilingual support (IndicTrans2), frontend polish, end-to-end testing, demo video recording</w:t>
            </w:r>
          </w:p>
        </w:tc>
      </w:tr>
      <w:tr w14:paraId="46BA14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00" w:type="dxa"/>
            <w:tcBorders>
              <w:top w:val="single" w:color="CCCCCC" w:sz="0" w:space="0"/>
              <w:left w:val="single" w:color="CCCCCC" w:sz="0" w:space="0"/>
              <w:bottom w:val="single" w:color="CCCCCC" w:sz="0" w:space="0"/>
              <w:right w:val="single" w:color="CCCCCC" w:sz="0" w:space="0"/>
            </w:tcBorders>
            <w:shd w:val="clear" w:color="auto" w:fill="F5F3FF"/>
            <w:tcMar>
              <w:top w:w="100" w:type="dxa"/>
              <w:left w:w="150" w:type="dxa"/>
              <w:bottom w:w="100" w:type="dxa"/>
              <w:right w:w="150" w:type="dxa"/>
            </w:tcMar>
          </w:tcPr>
          <w:p w14:paraId="4516CA50">
            <w:pPr>
              <w:jc w:val="both"/>
              <w:rPr>
                <w:color w:val="auto"/>
              </w:rPr>
            </w:pPr>
            <w:r>
              <w:rPr>
                <w:rFonts w:ascii="Arial" w:hAnsi="Arial" w:eastAsia="Arial" w:cs="Arial"/>
                <w:b/>
                <w:bCs/>
                <w:color w:val="auto"/>
                <w:sz w:val="20"/>
                <w:szCs w:val="20"/>
              </w:rPr>
              <w:t>Demo Day</w:t>
            </w:r>
          </w:p>
        </w:tc>
        <w:tc>
          <w:tcPr>
            <w:tcW w:w="6560" w:type="dxa"/>
            <w:tcBorders>
              <w:top w:val="single" w:color="CCCCCC" w:sz="0" w:space="0"/>
              <w:left w:val="single" w:color="CCCCCC" w:sz="0" w:space="0"/>
              <w:bottom w:val="single" w:color="CCCCCC" w:sz="0" w:space="0"/>
              <w:right w:val="single" w:color="CCCCCC" w:sz="0" w:space="0"/>
            </w:tcBorders>
            <w:shd w:val="clear" w:color="auto" w:fill="FFFFFF"/>
            <w:tcMar>
              <w:top w:w="100" w:type="dxa"/>
              <w:left w:w="150" w:type="dxa"/>
              <w:bottom w:w="100" w:type="dxa"/>
              <w:right w:w="150" w:type="dxa"/>
            </w:tcMar>
          </w:tcPr>
          <w:p w14:paraId="39EDDB4F">
            <w:pPr>
              <w:jc w:val="both"/>
              <w:rPr>
                <w:color w:val="auto"/>
              </w:rPr>
            </w:pPr>
            <w:r>
              <w:rPr>
                <w:rFonts w:ascii="Arial" w:hAnsi="Arial" w:eastAsia="Arial" w:cs="Arial"/>
                <w:color w:val="auto"/>
                <w:sz w:val="20"/>
                <w:szCs w:val="20"/>
              </w:rPr>
              <w:t>Live demo: farmer query in Hindi → agent routing → Qdrant retrieval → Enkrypt safety check → verified response</w:t>
            </w:r>
          </w:p>
        </w:tc>
      </w:tr>
    </w:tbl>
    <w:p w14:paraId="5F9D9388">
      <w:pPr>
        <w:spacing w:before="400" w:after="0"/>
        <w:jc w:val="center"/>
        <w:rPr>
          <w:color w:val="auto"/>
        </w:rPr>
      </w:pP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548B87"/>
    <w:multiLevelType w:val="singleLevel"/>
    <w:tmpl w:val="E3548B87"/>
    <w:lvl w:ilvl="0" w:tentative="0">
      <w:start w:val="2"/>
      <w:numFmt w:val="decimal"/>
      <w:suff w:val="space"/>
      <w:lvlText w:val="%1."/>
      <w:lvlJc w:val="left"/>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59ADCABA"/>
    <w:multiLevelType w:val="singleLevel"/>
    <w:tmpl w:val="59ADCABA"/>
    <w:lvl w:ilvl="0" w:tentative="0">
      <w:start w:val="1"/>
      <w:numFmt w:val="decimal"/>
      <w:lvlText w:val="%1."/>
      <w:lvlJc w:val="left"/>
      <w:pPr>
        <w:ind w:left="720" w:hanging="360"/>
      </w:pPr>
    </w:lvl>
  </w:abstractNum>
  <w:num w:numId="1">
    <w:abstractNumId w:val="0"/>
  </w:num>
  <w:num w:numId="2">
    <w:abstractNumId w:val="1"/>
    <w:lvlOverride w:ilvl="0">
      <w:startOverride w:val="1"/>
    </w:lvlOverride>
  </w:num>
  <w:num w:numId="3">
    <w:abstractNumId w:val="1"/>
  </w:num>
  <w:num w:numId="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documentProtection w:enforcement="0"/>
  <w:compat>
    <w:compatSetting w:name="compatibilityMode" w:uri="http://schemas.microsoft.com/office/word" w:val="15"/>
  </w:compat>
  <w:rsids>
    <w:rsidRoot w:val="00000000"/>
    <w:rsid w:val="372C01E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400" w:after="200"/>
      <w:outlineLvl w:val="0"/>
    </w:pPr>
    <w:rPr>
      <w:rFonts w:ascii="Arial" w:hAnsi="Arial" w:eastAsia="Arial" w:cs="Arial"/>
      <w:b/>
      <w:bCs/>
      <w:color w:val="1E1B4B"/>
      <w:sz w:val="34"/>
      <w:szCs w:val="34"/>
    </w:rPr>
  </w:style>
  <w:style w:type="paragraph" w:styleId="3">
    <w:name w:val="heading 2"/>
    <w:next w:val="1"/>
    <w:qFormat/>
    <w:uiPriority w:val="0"/>
    <w:pPr>
      <w:spacing w:before="280" w:after="140"/>
      <w:outlineLvl w:val="1"/>
    </w:pPr>
    <w:rPr>
      <w:rFonts w:ascii="Arial" w:hAnsi="Arial" w:eastAsia="Arial" w:cs="Arial"/>
      <w:b/>
      <w:bCs/>
      <w:color w:val="4338CA"/>
      <w:sz w:val="26"/>
      <w:szCs w:val="26"/>
    </w:rPr>
  </w:style>
  <w:style w:type="paragraph" w:styleId="4">
    <w:name w:val="heading 3"/>
    <w:next w:val="1"/>
    <w:qFormat/>
    <w:uiPriority w:val="0"/>
    <w:pPr>
      <w:spacing w:before="200" w:after="100"/>
      <w:outlineLvl w:val="2"/>
    </w:pPr>
    <w:rPr>
      <w:rFonts w:ascii="Arial" w:hAnsi="Arial" w:eastAsia="Arial" w:cs="Arial"/>
      <w:b/>
      <w:bCs/>
      <w:color w:val="6366F1"/>
      <w:sz w:val="22"/>
      <w:szCs w:val="22"/>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qFormat/>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9</Pages>
  <Words>2094</Words>
  <Characters>12659</Characters>
  <TotalTime>12</TotalTime>
  <ScaleCrop>false</ScaleCrop>
  <LinksUpToDate>false</LinksUpToDate>
  <CharactersWithSpaces>14489</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2026-06-24T21:18:00Z</dcterms:created>
  <dc:creator>Un-named</dc:creator>
  <cp:lastModifiedBy>Halona siju</cp:lastModifiedBy>
  <dcterms:modified xsi:type="dcterms:W3CDTF">2026-06-25T06:17:42Z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eyJoZGlkIjoiMDg3ZDJhYTRlZDQ2NDVlYTk0NmU2MWE2YzEyMWQxMzMiLCJ1c2VySWQiOiI1Njc0NzM4MDI5MjEifQ==</vt:lpwstr>
  </property>
  <property fmtid="{D5CDD505-2E9C-101B-9397-08002B2CF9AE}" pid="3" name="KSOProductBuildVer">
    <vt:lpwstr>1033-12.1.0.26880</vt:lpwstr>
  </property>
  <property fmtid="{D5CDD505-2E9C-101B-9397-08002B2CF9AE}" pid="4" name="ICV">
    <vt:lpwstr>5C231E651D114485B9EE93BDB059BEEC_13</vt:lpwstr>
  </property>
</Properties>
</file>