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 w:after="200"/>
        <w:jc w:val="center"/>
      </w:pPr>
      <w:r>
        <w:rPr>
          <w:rFonts w:ascii="Outfit" w:hAnsi="Outfit"/>
          <w:b/>
          <w:color w:val="442A07"/>
          <w:sz w:val="48"/>
        </w:rPr>
        <w:t>PRODUCT REQUIREMENT DOCUMENT</w:t>
        <w:br/>
      </w:r>
    </w:p>
    <w:p>
      <w:pPr>
        <w:spacing w:after="4000"/>
        <w:jc w:val="center"/>
      </w:pPr>
      <w:r>
        <w:rPr>
          <w:rFonts w:ascii="Outfit" w:hAnsi="Outfit"/>
          <w:i/>
          <w:color w:val="8F6F3F"/>
          <w:sz w:val="32"/>
        </w:rPr>
        <w:t>Chronologie Manual Book Platform (V2)</w:t>
      </w:r>
    </w:p>
    <w:p>
      <w:pPr>
        <w:spacing w:before="1000" w:line="312" w:lineRule="auto"/>
      </w:pPr>
      <w:r>
        <w:rPr>
          <w:b/>
          <w:color w:val="442A07"/>
        </w:rPr>
        <w:t xml:space="preserve">Project Name: </w:t>
      </w:r>
      <w:r>
        <w:rPr>
          <w:color w:val="2B2622"/>
        </w:rPr>
        <w:t>Chronologie Watch Manuals Landing Page &amp; Viewer (V2)</w:t>
        <w:br/>
      </w:r>
      <w:r>
        <w:rPr>
          <w:b/>
          <w:color w:val="442A07"/>
        </w:rPr>
        <w:t xml:space="preserve">Target Platforms: </w:t>
      </w:r>
      <w:r>
        <w:rPr>
          <w:color w:val="2B2622"/>
        </w:rPr>
        <w:t>Mobile Web (Primary), Desktop Web (Responsive Shell)</w:t>
        <w:br/>
      </w:r>
      <w:r>
        <w:rPr>
          <w:b/>
          <w:color w:val="442A07"/>
        </w:rPr>
        <w:t xml:space="preserve">Status: </w:t>
      </w:r>
      <w:r>
        <w:rPr>
          <w:color w:val="2B2622"/>
        </w:rPr>
        <w:t>Completed / Ready for Production Deployment</w:t>
        <w:br/>
      </w:r>
      <w:r>
        <w:rPr>
          <w:b/>
          <w:color w:val="442A07"/>
        </w:rPr>
        <w:t xml:space="preserve">Date: </w:t>
      </w:r>
      <w:r>
        <w:rPr>
          <w:color w:val="2B2622"/>
        </w:rPr>
        <w:t>July 5, 2026</w:t>
        <w:br/>
      </w:r>
      <w:r>
        <w:rPr>
          <w:b/>
          <w:color w:val="442A07"/>
        </w:rPr>
        <w:t xml:space="preserve">Repository: </w:t>
      </w:r>
      <w:r>
        <w:rPr>
          <w:color w:val="2B2622"/>
        </w:rPr>
        <w:t>https://github.com/halonemuinai-sys/Chronologie-Manual-Book-V2.git</w:t>
        <w:br/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Outfit" w:hAnsi="Outfit"/>
          <w:b/>
          <w:color w:val="442A07"/>
          <w:sz w:val="32"/>
        </w:rPr>
        <w:t>1. Product Overview &amp; Goals</w:t>
      </w:r>
    </w:p>
    <w:p>
      <w:pPr>
        <w:spacing w:after="120" w:line="276" w:lineRule="auto"/>
      </w:pPr>
      <w:r>
        <w:t>Chronologie is a luxury watch retailer. When customers purchase a watch, they receive a box or warranty card containing a QR Code. The Chronologie Manual Book Platform (V2) is a premium, mobile-first Web Application designed to host and display watch user manuals. By scanning a QR code, customers are immediately taken to either:</w:t>
      </w:r>
    </w:p>
    <w:p>
      <w:pPr>
        <w:pStyle w:val="ListBullet"/>
      </w:pPr>
      <w:r>
        <w:rPr>
          <w:b/>
          <w:color w:val="442A07"/>
        </w:rPr>
        <w:t xml:space="preserve">View Mode (Online Reader): </w:t>
      </w:r>
      <w:r>
        <w:t>An elegant, inside-browser PDF reader to view operating instructions immediately.</w:t>
      </w:r>
    </w:p>
    <w:p>
      <w:pPr>
        <w:pStyle w:val="ListBullet"/>
      </w:pPr>
      <w:r>
        <w:rPr>
          <w:b/>
          <w:color w:val="442A07"/>
        </w:rPr>
        <w:t xml:space="preserve">Download Mode (Offline Access): </w:t>
      </w:r>
      <w:r>
        <w:t>A direct file trigger that downloads the manual directly onto their mobile storage.</w:t>
      </w:r>
    </w:p>
    <w:p>
      <w:pPr>
        <w:pStyle w:val="Heading2"/>
        <w:spacing w:before="240" w:after="80"/>
      </w:pPr>
      <w:r>
        <w:rPr>
          <w:rFonts w:ascii="Outfit" w:hAnsi="Outfit"/>
          <w:b/>
          <w:color w:val="8F6F3F"/>
          <w:sz w:val="26"/>
        </w:rPr>
        <w:t>1.1 Core Objectives</w:t>
      </w:r>
    </w:p>
    <w:p>
      <w:pPr>
        <w:pStyle w:val="ListBullet"/>
      </w:pPr>
      <w:r>
        <w:rPr>
          <w:b/>
        </w:rPr>
        <w:t xml:space="preserve">Elevate Brand Experience: </w:t>
      </w:r>
      <w:r>
        <w:t>Replace generic file-sharing views (like Google Drive) with a premium branded interface matching the aesthetic of the main Chronologie site.</w:t>
      </w:r>
    </w:p>
    <w:p>
      <w:pPr>
        <w:pStyle w:val="ListBullet"/>
      </w:pPr>
      <w:r>
        <w:rPr>
          <w:b/>
        </w:rPr>
        <w:t xml:space="preserve">Streamline Discovery: </w:t>
      </w:r>
      <w:r>
        <w:t>Allow users to search, filter by brand, and read user guides in seconds on a mobile interface.</w:t>
      </w:r>
    </w:p>
    <w:p>
      <w:pPr>
        <w:pStyle w:val="ListBullet"/>
      </w:pPr>
      <w:r>
        <w:rPr>
          <w:b/>
        </w:rPr>
        <w:t xml:space="preserve">Dual QR-Code Flow: </w:t>
      </w:r>
      <w:r>
        <w:t>Automate the generation of individual QR Codes for both online viewing and direct download modes for every watch manual.</w:t>
      </w:r>
    </w:p>
    <w:p>
      <w:pPr>
        <w:pStyle w:val="Heading1"/>
        <w:spacing w:before="360" w:after="120"/>
      </w:pPr>
      <w:r>
        <w:rPr>
          <w:rFonts w:ascii="Outfit" w:hAnsi="Outfit"/>
          <w:b/>
          <w:color w:val="442A07"/>
          <w:sz w:val="32"/>
        </w:rPr>
        <w:t>2. Functional Requirements</w:t>
      </w:r>
    </w:p>
    <w:p>
      <w:pPr>
        <w:pStyle w:val="Heading2"/>
        <w:spacing w:before="240" w:after="80"/>
      </w:pPr>
      <w:r>
        <w:rPr>
          <w:rFonts w:ascii="Outfit" w:hAnsi="Outfit"/>
          <w:b/>
          <w:color w:val="8F6F3F"/>
          <w:sz w:val="26"/>
        </w:rPr>
        <w:t>2.1 Landing Page (Home Portal)</w:t>
      </w:r>
    </w:p>
    <w:p>
      <w:pPr>
        <w:spacing w:line="276" w:lineRule="auto"/>
      </w:pPr>
      <w:r>
        <w:t>The Landing Page serves as the customer portal to browse manuals. Key aspects include:</w:t>
      </w:r>
    </w:p>
    <w:p>
      <w:pPr>
        <w:pStyle w:val="ListBullet"/>
      </w:pPr>
      <w:r>
        <w:rPr>
          <w:b/>
        </w:rPr>
        <w:t xml:space="preserve">Mobile-First Shell Frame: </w:t>
      </w:r>
      <w:r>
        <w:t>On screens larger than 480px, the interface wraps into a centered, rounded smartphone shell (height 850px with soft shadows). On mobile devices, it scales to 100vh and covers the full screen.</w:t>
      </w:r>
    </w:p>
    <w:p>
      <w:pPr>
        <w:pStyle w:val="ListBullet"/>
      </w:pPr>
      <w:r>
        <w:rPr>
          <w:b/>
        </w:rPr>
        <w:t xml:space="preserve">Sticky Navigation Bar: </w:t>
      </w:r>
      <w:r>
        <w:t>Top header for 'CHRONOLOGIE Archive' and bottom iOS-style tab bar featuring 'Beranda', 'Pindai QR', and 'Bantuan'.</w:t>
      </w:r>
    </w:p>
    <w:p>
      <w:pPr>
        <w:pStyle w:val="ListBullet"/>
      </w:pPr>
      <w:r>
        <w:rPr>
          <w:b/>
        </w:rPr>
        <w:t xml:space="preserve">Instagram Story-Style Brand Selector: </w:t>
      </w:r>
      <w:r>
        <w:t>Horizontal scrolling avatars showing watch brand initials (ALL, RW, ED, FC, HM, MN, YM).</w:t>
      </w:r>
    </w:p>
    <w:p>
      <w:pPr>
        <w:pStyle w:val="ListBullet"/>
      </w:pPr>
      <w:r>
        <w:rPr>
          <w:b/>
        </w:rPr>
        <w:t xml:space="preserve">Clean Watch Model Title: </w:t>
      </w:r>
      <w:r>
        <w:t>Titles are dynamically parsed to strip prefix codes (like '1002_ID') to maintain a professional design.</w:t>
      </w:r>
    </w:p>
    <w:p>
      <w:pPr>
        <w:pStyle w:val="Heading2"/>
        <w:spacing w:before="240" w:after="80"/>
      </w:pPr>
      <w:r>
        <w:rPr>
          <w:rFonts w:ascii="Outfit" w:hAnsi="Outfit"/>
          <w:b/>
          <w:color w:val="8F6F3F"/>
          <w:sz w:val="26"/>
        </w:rPr>
        <w:t>2.2 Online PDF Reader Page (/:slug)</w:t>
      </w:r>
    </w:p>
    <w:p>
      <w:r>
        <w:t>Renders the PDF inside the browser without forcing downloads. Features a matching navigation header with 'Kembali' (Back to Home) button, model title display, and a shortcut download button.</w:t>
      </w:r>
    </w:p>
    <w:p>
      <w:pPr>
        <w:pStyle w:val="Heading2"/>
        <w:spacing w:before="240" w:after="80"/>
      </w:pPr>
      <w:r>
        <w:rPr>
          <w:rFonts w:ascii="Outfit" w:hAnsi="Outfit"/>
          <w:b/>
          <w:color w:val="8F6F3F"/>
          <w:sz w:val="26"/>
        </w:rPr>
        <w:t>2.3 Direct Auto-Downloader Page (/download/:slug)</w:t>
      </w:r>
    </w:p>
    <w:p>
      <w:r>
        <w:t>A dedicated routing view that renders a 'Mengunduh Dokumen...' loader, waits 500ms for UI rendering, and triggers programmatic browser download of the PDF document.</w:t>
      </w:r>
    </w:p>
    <w:p>
      <w:pPr>
        <w:pStyle w:val="Heading1"/>
        <w:spacing w:before="360" w:after="120"/>
      </w:pPr>
      <w:r>
        <w:rPr>
          <w:rFonts w:ascii="Outfit" w:hAnsi="Outfit"/>
          <w:b/>
          <w:color w:val="442A07"/>
          <w:sz w:val="32"/>
        </w:rPr>
        <w:t>3. Design System &amp; Brand Guidelines</w:t>
      </w:r>
    </w:p>
    <w:p>
      <w:pPr>
        <w:spacing w:line="276" w:lineRule="auto"/>
      </w:pPr>
      <w:r>
        <w:t>All UI elements use CSS custom tokens corresponding to the brand color tokens of the live Chronologie web application: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442A07"/>
          </w:tcPr>
          <w:p>
            <w:r>
              <w:rPr>
                <w:b/>
                <w:color w:val="FFFFFF"/>
              </w:rPr>
              <w:t>Color Token</w:t>
            </w:r>
          </w:p>
        </w:tc>
        <w:tc>
          <w:tcPr>
            <w:tcW w:type="dxa" w:w="3120"/>
            <w:shd w:fill="442A07"/>
          </w:tcPr>
          <w:p>
            <w:r>
              <w:rPr>
                <w:b/>
                <w:color w:val="FFFFFF"/>
              </w:rPr>
              <w:t>Hex Code</w:t>
            </w:r>
          </w:p>
        </w:tc>
        <w:tc>
          <w:tcPr>
            <w:tcW w:type="dxa" w:w="3120"/>
            <w:shd w:fill="442A07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20"/>
            <w:shd w:fill="FBF9F1"/>
          </w:tcPr>
          <w:p>
            <w:r>
              <w:t>--warm-gold</w:t>
            </w:r>
          </w:p>
        </w:tc>
        <w:tc>
          <w:tcPr>
            <w:tcW w:type="dxa" w:w="3120"/>
            <w:shd w:fill="FBF9F1"/>
          </w:tcPr>
          <w:p>
            <w:r>
              <w:t>#e6d8a8</w:t>
            </w:r>
          </w:p>
        </w:tc>
        <w:tc>
          <w:tcPr>
            <w:tcW w:type="dxa" w:w="3120"/>
            <w:shd w:fill="FBF9F1"/>
          </w:tcPr>
          <w:p>
            <w:r>
              <w:t>Accent gold/brass for header elements and bottom nav bar backgrounds.</w:t>
            </w:r>
          </w:p>
        </w:tc>
      </w:tr>
      <w:tr>
        <w:tc>
          <w:tcPr>
            <w:tcW w:type="dxa" w:w="3120"/>
            <w:shd w:fill="FFFFFF"/>
          </w:tcPr>
          <w:p>
            <w:r>
              <w:t>--warm-brown</w:t>
            </w:r>
          </w:p>
        </w:tc>
        <w:tc>
          <w:tcPr>
            <w:tcW w:type="dxa" w:w="3120"/>
            <w:shd w:fill="FFFFFF"/>
          </w:tcPr>
          <w:p>
            <w:r>
              <w:t>#442a07</w:t>
            </w:r>
          </w:p>
        </w:tc>
        <w:tc>
          <w:tcPr>
            <w:tcW w:type="dxa" w:w="3120"/>
            <w:shd w:fill="FFFFFF"/>
          </w:tcPr>
          <w:p>
            <w:r>
              <w:t>Primary dark chocolate for text, active menu item accents, and main buttons.</w:t>
            </w:r>
          </w:p>
        </w:tc>
      </w:tr>
      <w:tr>
        <w:tc>
          <w:tcPr>
            <w:tcW w:type="dxa" w:w="3120"/>
            <w:shd w:fill="FBF9F1"/>
          </w:tcPr>
          <w:p>
            <w:r>
              <w:t>--warm-tan</w:t>
            </w:r>
          </w:p>
        </w:tc>
        <w:tc>
          <w:tcPr>
            <w:tcW w:type="dxa" w:w="3120"/>
            <w:shd w:fill="FBF9F1"/>
          </w:tcPr>
          <w:p>
            <w:r>
              <w:t>#8f6f3f</w:t>
            </w:r>
          </w:p>
        </w:tc>
        <w:tc>
          <w:tcPr>
            <w:tcW w:type="dxa" w:w="3120"/>
            <w:shd w:fill="FBF9F1"/>
          </w:tcPr>
          <w:p>
            <w:r>
              <w:t>Accent brand tan for muted sub-texts and inactive state icons.</w:t>
            </w:r>
          </w:p>
        </w:tc>
      </w:tr>
      <w:tr>
        <w:tc>
          <w:tcPr>
            <w:tcW w:type="dxa" w:w="3120"/>
            <w:shd w:fill="FFFFFF"/>
          </w:tcPr>
          <w:p>
            <w:r>
              <w:t>--warm-50</w:t>
            </w:r>
          </w:p>
        </w:tc>
        <w:tc>
          <w:tcPr>
            <w:tcW w:type="dxa" w:w="3120"/>
            <w:shd w:fill="FFFFFF"/>
          </w:tcPr>
          <w:p>
            <w:r>
              <w:t>#fbf9f1</w:t>
            </w:r>
          </w:p>
        </w:tc>
        <w:tc>
          <w:tcPr>
            <w:tcW w:type="dxa" w:w="3120"/>
            <w:shd w:fill="FFFFFF"/>
          </w:tcPr>
          <w:p>
            <w:r>
              <w:t>Warm cream off-white used for cards background and button texts.</w:t>
            </w:r>
          </w:p>
        </w:tc>
      </w:tr>
      <w:tr>
        <w:tc>
          <w:tcPr>
            <w:tcW w:type="dxa" w:w="3120"/>
            <w:shd w:fill="FBF9F1"/>
          </w:tcPr>
          <w:p>
            <w:r>
              <w:t>--bg-light</w:t>
            </w:r>
          </w:p>
        </w:tc>
        <w:tc>
          <w:tcPr>
            <w:tcW w:type="dxa" w:w="3120"/>
            <w:shd w:fill="FBF9F1"/>
          </w:tcPr>
          <w:p>
            <w:r>
              <w:t>#f8f6f2</w:t>
            </w:r>
          </w:p>
        </w:tc>
        <w:tc>
          <w:tcPr>
            <w:tcW w:type="dxa" w:w="3120"/>
            <w:shd w:fill="FBF9F1"/>
          </w:tcPr>
          <w:p>
            <w:r>
              <w:t>Soft cream background representing the primary app background.</w:t>
            </w:r>
          </w:p>
        </w:tc>
      </w:tr>
    </w:tbl>
    <w:p>
      <w:pPr>
        <w:pStyle w:val="Heading1"/>
        <w:spacing w:before="360" w:after="120"/>
      </w:pPr>
      <w:r>
        <w:rPr>
          <w:rFonts w:ascii="Outfit" w:hAnsi="Outfit"/>
          <w:b/>
          <w:color w:val="442A07"/>
          <w:sz w:val="32"/>
        </w:rPr>
        <w:t>4. Technical Stack &amp; Architecture</w:t>
      </w:r>
    </w:p>
    <w:p>
      <w:pPr>
        <w:pStyle w:val="ListBullet"/>
      </w:pPr>
      <w:r>
        <w:rPr>
          <w:b/>
        </w:rPr>
        <w:t xml:space="preserve">Frontend Library: </w:t>
      </w:r>
      <w:r>
        <w:t>React 19, TypeScript, and Vite 8 for fast hot module reloading and build compiles.</w:t>
      </w:r>
    </w:p>
    <w:p>
      <w:pPr>
        <w:pStyle w:val="ListBullet"/>
      </w:pPr>
      <w:r>
        <w:rPr>
          <w:b/>
        </w:rPr>
        <w:t xml:space="preserve">Routing: </w:t>
      </w:r>
      <w:r>
        <w:t>react-router-dom for single-page routing without full page refreshes.</w:t>
      </w:r>
    </w:p>
    <w:p>
      <w:pPr>
        <w:pStyle w:val="ListBullet"/>
      </w:pPr>
      <w:r>
        <w:rPr>
          <w:b/>
        </w:rPr>
        <w:t xml:space="preserve">PDF Rendering: </w:t>
      </w:r>
      <w:r>
        <w:t>@react-pdf-viewer/core with pdfjs-dist via unpkg CDN (v3.11.174) for browser PDF parsing.</w:t>
      </w:r>
    </w:p>
    <w:p>
      <w:pPr>
        <w:pStyle w:val="ListBullet"/>
      </w:pPr>
      <w:r>
        <w:rPr>
          <w:b/>
        </w:rPr>
        <w:t xml:space="preserve">Animations: </w:t>
      </w:r>
      <w:r>
        <w:t>Framer Motion for iOS-like transitions and button physics.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