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B365D"/>
        </w:rPr>
        <w:t>Analisis Sistem Terintegrasi GLC MRA (General Affairs, Legal, Compliance, &amp; Marketing Budget)</w:t>
      </w:r>
    </w:p>
    <w:p>
      <w:r>
        <w:t>*Bahan Presentasi Manajemen Eksekutif &amp; Stakeholder*</w:t>
      </w:r>
    </w:p>
    <w:p>
      <w:r>
        <w:t xml:space="preserve">Dokumen ini disusun untuk membantu Anda melakukan presentasi mengenai urgensi, tujuan, dan metrik keberhasilan dari implementasi </w:t>
      </w:r>
      <w:r>
        <w:rPr>
          <w:b/>
        </w:rPr>
        <w:t>Sistem Terpadu GLC MRA</w:t>
      </w:r>
      <w:r>
        <w:t xml:space="preserve"> yang meliputi modul </w:t>
      </w:r>
      <w:r>
        <w:rPr>
          <w:b/>
        </w:rPr>
        <w:t>General Affairs (GA)</w:t>
      </w:r>
      <w:r>
        <w:t xml:space="preserve">, </w:t>
      </w:r>
      <w:r>
        <w:rPr>
          <w:b/>
        </w:rPr>
        <w:t>Legal</w:t>
      </w:r>
      <w:r>
        <w:t xml:space="preserve">, </w:t>
      </w:r>
      <w:r>
        <w:rPr>
          <w:b/>
        </w:rPr>
        <w:t>Compliance</w:t>
      </w:r>
      <w:r>
        <w:t xml:space="preserve">, serta </w:t>
      </w:r>
      <w:r>
        <w:rPr>
          <w:b/>
        </w:rPr>
        <w:t>Marketing Budget</w:t>
      </w:r>
      <w:r>
        <w:t>.</w:t>
      </w:r>
    </w:p>
    <w:p>
      <w:pPr>
        <w:pStyle w:val="Heading2"/>
      </w:pPr>
      <w:r>
        <w:rPr>
          <w:b/>
          <w:color w:val="1B365D"/>
        </w:rPr>
        <w:t>1. Latar Belakang &amp; Masalah Utama (Current Issues &amp; Pain Points)</w:t>
      </w:r>
    </w:p>
    <w:p>
      <w:r>
        <w:t xml:space="preserve">Sebelum adanya sistem GLC terpadu ini, seluruh operasional departemen </w:t>
      </w:r>
      <w:r>
        <w:rPr>
          <w:b/>
        </w:rPr>
        <w:t>GA, Legal, Compliance, dan Marketing</w:t>
      </w:r>
      <w:r>
        <w:t xml:space="preserve"> berjalan secara terpisah (*silo*) dengan ketergantungan yang sangat tinggi pada </w:t>
      </w:r>
      <w:r>
        <w:rPr>
          <w:b/>
        </w:rPr>
        <w:t>Microsoft Excel</w:t>
      </w:r>
      <w:r>
        <w:t xml:space="preserve"> dan berkas fisik (kertas). Masalah utama yang dihadapi meliputi:</w:t>
      </w:r>
    </w:p>
    <w:p>
      <w:pPr>
        <w:pStyle w:val="Heading3"/>
      </w:pPr>
      <w:r>
        <w:rPr>
          <w:b/>
          <w:color w:val="2E75B6"/>
        </w:rPr>
        <w:t>🔴 Departemen Marketing (Budget &amp; Approval)</w:t>
      </w:r>
    </w:p>
    <w:p>
      <w:pPr>
        <w:pStyle w:val="ListBullet"/>
      </w:pPr>
      <w:r/>
      <w:r>
        <w:rPr>
          <w:b/>
        </w:rPr>
        <w:t>Ketergantungan Excel &amp; Manual</w:t>
      </w:r>
      <w:r>
        <w:t>: Penyusunan alokasi budget kampanye iklan masih memakai lembar kerja Excel lokal yang rentan salah ketik formula atau salah kode akun (CoA).</w:t>
      </w:r>
    </w:p>
    <w:p>
      <w:pPr>
        <w:pStyle w:val="ListBullet"/>
      </w:pPr>
      <w:r/>
      <w:r>
        <w:rPr>
          <w:b/>
        </w:rPr>
        <w:t>Alur Approval Lambat</w:t>
      </w:r>
      <w:r>
        <w:t>: Pengajuan rencana anggaran membutuhkan tanda tangan fisik atau email berantai yang rentan terlewat, menunda waktu peluncuran promosi produk.</w:t>
      </w:r>
    </w:p>
    <w:p>
      <w:pPr>
        <w:pStyle w:val="ListBullet"/>
      </w:pPr>
      <w:r/>
      <w:r>
        <w:rPr>
          <w:b/>
        </w:rPr>
        <w:t>Lemahnya Kontrol Realisasi</w:t>
      </w:r>
      <w:r>
        <w:t>: Tidak ada pencegahan otomatis (*budget locking*) jika pembayaran ke vendor (*payment request*) melebihi rencana budget awal.</w:t>
      </w:r>
    </w:p>
    <w:p>
      <w:pPr>
        <w:pStyle w:val="Heading3"/>
      </w:pPr>
      <w:r>
        <w:rPr>
          <w:b/>
          <w:color w:val="2E75B6"/>
        </w:rPr>
        <w:t>🔴 Departemen General Affairs / GA (Aset, Kendaraan &amp; Perawatan)</w:t>
      </w:r>
    </w:p>
    <w:p>
      <w:pPr>
        <w:pStyle w:val="ListBullet"/>
      </w:pPr>
      <w:r/>
      <w:r>
        <w:rPr>
          <w:b/>
        </w:rPr>
        <w:t>Pencatatan Aset Fisik &amp; Sewa Manual</w:t>
      </w:r>
      <w:r>
        <w:t>: Pendataan inventaris kantor, kendaraan operasional, sewa perangkat IT/device, dan log peminjaman masih manual.</w:t>
      </w:r>
    </w:p>
    <w:p>
      <w:pPr>
        <w:pStyle w:val="ListBullet"/>
      </w:pPr>
      <w:r/>
      <w:r>
        <w:rPr>
          <w:b/>
        </w:rPr>
        <w:t>Perawatan Aset Tidak Terjadwal</w:t>
      </w:r>
      <w:r>
        <w:t>: Sering terjadi keterlambatan servis kendaraan/aset penting (*preventive maintenance*) karena tidak adanya pengingat jadwal rutin, menyebabkan kerusakan dini dan biaya perbaikan membengkak.</w:t>
      </w:r>
    </w:p>
    <w:p>
      <w:pPr>
        <w:pStyle w:val="ListBullet"/>
      </w:pPr>
      <w:r/>
      <w:r>
        <w:rPr>
          <w:b/>
        </w:rPr>
        <w:t>Masa Sewa Overdue</w:t>
      </w:r>
      <w:r>
        <w:t>: Kurangnya pengingat untuk tanggal pengembalian sewa perangkat IT yang berpotensi memicu denda keterlambatan.</w:t>
      </w:r>
    </w:p>
    <w:p>
      <w:pPr>
        <w:pStyle w:val="Heading3"/>
      </w:pPr>
      <w:r>
        <w:rPr>
          <w:b/>
          <w:color w:val="2E75B6"/>
        </w:rPr>
        <w:t>🔴 Departemen Legal (Kontrak, Akta &amp; Kasus Litigasi)</w:t>
      </w:r>
    </w:p>
    <w:p>
      <w:pPr>
        <w:pStyle w:val="ListBullet"/>
      </w:pPr>
      <w:r/>
      <w:r>
        <w:rPr>
          <w:b/>
        </w:rPr>
        <w:t>Kontrak Berserakan &amp; Kertas Fisik</w:t>
      </w:r>
      <w:r>
        <w:t>: Dokumen perjanjian kerja sama (*vendor agreement*), akta perusahaan, dan dokumen litigasi disimpan di folder lokal komputer staf masing-masing atau lemari arsip.</w:t>
      </w:r>
    </w:p>
    <w:p>
      <w:pPr>
        <w:pStyle w:val="ListBullet"/>
      </w:pPr>
      <w:r/>
      <w:r>
        <w:rPr>
          <w:b/>
        </w:rPr>
        <w:t>Risiko Keterlambatan Perpanjangan</w:t>
      </w:r>
      <w:r>
        <w:t>: Sulit melacak tanggal kedaluwarsa kontrak penting secara otomatis. Keterlambatan perpanjangan berisiko memicu denda hukum atau terhentinya operasional bisnis.</w:t>
      </w:r>
    </w:p>
    <w:p>
      <w:pPr>
        <w:pStyle w:val="Heading3"/>
      </w:pPr>
      <w:r>
        <w:rPr>
          <w:b/>
          <w:color w:val="2E75B6"/>
        </w:rPr>
        <w:t>🔴 Departemen Compliance (Lisensi Usaha, Pajak &amp; SOP)</w:t>
      </w:r>
    </w:p>
    <w:p>
      <w:pPr>
        <w:pStyle w:val="ListBullet"/>
      </w:pPr>
      <w:r/>
      <w:r>
        <w:rPr>
          <w:b/>
        </w:rPr>
        <w:t>Kelalaian Kepatuhan Regulasi</w:t>
      </w:r>
      <w:r>
        <w:t>: Pemantauan masa berlaku lisensi operasional perusahaan, kepatuhan pelaporan pajak, dan kepatuhan HR/SOP masih bersifat reaktif.</w:t>
      </w:r>
    </w:p>
    <w:p>
      <w:pPr>
        <w:pStyle w:val="ListBullet"/>
      </w:pPr>
      <w:r/>
      <w:r>
        <w:rPr>
          <w:b/>
        </w:rPr>
        <w:t>Potensi Sanksi Pemerintah</w:t>
      </w:r>
      <w:r>
        <w:t>: Keterlambatan memperbarui izin usaha atau pelaporan dokumen compliance berisiko mendatangkan sanksi administratif hingga pembekuan izin operasional.</w:t>
      </w:r>
    </w:p>
    <w:p>
      <w:pPr>
        <w:pStyle w:val="Heading2"/>
      </w:pPr>
      <w:r>
        <w:rPr>
          <w:b/>
          <w:color w:val="1B365D"/>
        </w:rPr>
        <w:t>2. Tujuan Strategis Sistem Terpadu (Objectives)</w:t>
      </w:r>
    </w:p>
    <w:p>
      <w:r>
        <w:t>Implementasi aplikasi GLC MRA dirancang untuk mentransformasi cara kerja manual menjadi digital dan terintegrasi:</w:t>
      </w:r>
    </w:p>
    <w:p>
      <w:r>
        <w:t>```mermaid</w:t>
      </w:r>
    </w:p>
    <w:p>
      <w:r>
        <w:t>graph TD</w:t>
      </w:r>
    </w:p>
    <w:p>
      <w:r>
        <w:t xml:space="preserve">    subgraph Core ["DATABASE PUSAT (Supabase &amp; Postgres)"]</w:t>
      </w:r>
    </w:p>
    <w:p>
      <w:r>
        <w:t xml:space="preserve">        M[Master Data: Company, Brand, LOB, Vendor, CoA]</w:t>
      </w:r>
    </w:p>
    <w:p>
      <w:r>
        <w:t xml:space="preserve">    end</w:t>
      </w:r>
    </w:p>
    <w:p>
      <w:r>
        <w:t xml:space="preserve">    subgraph Modules ["MODUL APLIKASI TERPADU"]</w:t>
      </w:r>
    </w:p>
    <w:p>
      <w:r>
        <w:t xml:space="preserve">        GA[General Affairs - Aset &amp; Kendaraan]</w:t>
      </w:r>
    </w:p>
    <w:p>
      <w:r>
        <w:t xml:space="preserve">        LG[Legal - Kontrak &amp; Litigasi]</w:t>
      </w:r>
    </w:p>
    <w:p>
      <w:r>
        <w:t xml:space="preserve">        CP[Compliance - Lisensi &amp; Pajak]</w:t>
      </w:r>
    </w:p>
    <w:p>
      <w:r>
        <w:t xml:space="preserve">        MB[Marketing Budget - Rencana &amp; Realisasi]</w:t>
      </w:r>
    </w:p>
    <w:p>
      <w:r>
        <w:t xml:space="preserve">    end</w:t>
      </w:r>
    </w:p>
    <w:p>
      <w:r>
        <w:t xml:space="preserve">    M --&gt; GA</w:t>
      </w:r>
    </w:p>
    <w:p>
      <w:r>
        <w:t xml:space="preserve">    M --&gt; LG</w:t>
      </w:r>
    </w:p>
    <w:p>
      <w:r>
        <w:t xml:space="preserve">    M --&gt; CP</w:t>
      </w:r>
    </w:p>
    <w:p>
      <w:r>
        <w:t xml:space="preserve">    M --&gt; MB</w:t>
      </w:r>
    </w:p>
    <w:p>
      <w:r>
        <w:t xml:space="preserve">    style Core fill:#f9f9f9,stroke:#333,stroke-width:2px</w:t>
      </w:r>
    </w:p>
    <w:p>
      <w:r>
        <w:t xml:space="preserve">    style Modules fill:#e1f5fe,stroke:#0288d1,stroke-width:2px</w:t>
      </w:r>
    </w:p>
    <w:p>
      <w:r>
        <w:t>```</w:t>
      </w:r>
    </w:p>
    <w:p>
      <w:pPr>
        <w:pStyle w:val="Heading3"/>
      </w:pPr>
      <w:r>
        <w:rPr>
          <w:b/>
          <w:color w:val="2E75B6"/>
        </w:rPr>
        <w:t>🟢 Modul Marketing Budget: Efisiensi &amp; Kontrol Anggaran</w:t>
      </w:r>
    </w:p>
    <w:p>
      <w:pPr>
        <w:pStyle w:val="ListBullet"/>
      </w:pPr>
      <w:r/>
      <w:r>
        <w:rPr>
          <w:b/>
        </w:rPr>
        <w:t>Sistem Anggaran Tersentralisasi</w:t>
      </w:r>
      <w:r>
        <w:t>: Menginput kampanye iklan terstruktur lengkap dengan Brand, LOB, dan Cabang.</w:t>
      </w:r>
    </w:p>
    <w:p>
      <w:pPr>
        <w:pStyle w:val="ListBullet"/>
      </w:pPr>
      <w:r/>
      <w:r>
        <w:rPr>
          <w:b/>
        </w:rPr>
        <w:t>Magic Link Approval</w:t>
      </w:r>
      <w:r>
        <w:t>: Mempercepat persetujuan nominal anggaran langsung lewat email penerima tanpa wajib login.</w:t>
      </w:r>
    </w:p>
    <w:p>
      <w:pPr>
        <w:pStyle w:val="ListBullet"/>
      </w:pPr>
      <w:r/>
      <w:r>
        <w:rPr>
          <w:b/>
        </w:rPr>
        <w:t>Budget Locking</w:t>
      </w:r>
      <w:r>
        <w:t>: Membatasi realisasi pembayaran agar tidak melebihi sisa saldo anggaran awal.</w:t>
      </w:r>
    </w:p>
    <w:p>
      <w:pPr>
        <w:pStyle w:val="Heading3"/>
      </w:pPr>
      <w:r>
        <w:rPr>
          <w:b/>
          <w:color w:val="2E75B6"/>
        </w:rPr>
        <w:t>🟢 Modul General Affairs (GA): Optimasi Siklus Aset</w:t>
      </w:r>
    </w:p>
    <w:p>
      <w:pPr>
        <w:pStyle w:val="ListBullet"/>
      </w:pPr>
      <w:r/>
      <w:r>
        <w:rPr>
          <w:b/>
        </w:rPr>
        <w:t>Digital Asset Inventory &amp; Barcoding</w:t>
      </w:r>
      <w:r>
        <w:t>: Inventarisasi aset secara digital yang terintegrasi dengan kode QR/barcode untuk pelacakan fisik yang akurat.</w:t>
      </w:r>
    </w:p>
    <w:p>
      <w:pPr>
        <w:pStyle w:val="ListBullet"/>
      </w:pPr>
      <w:r/>
      <w:r>
        <w:rPr>
          <w:b/>
        </w:rPr>
        <w:t>Preventive Maintenance Scheduling</w:t>
      </w:r>
      <w:r>
        <w:t>: Otomatisasi pengingat servis rutin kendaraan dan aset operasional kantor.</w:t>
      </w:r>
    </w:p>
    <w:p>
      <w:pPr>
        <w:pStyle w:val="ListBullet"/>
      </w:pPr>
      <w:r/>
      <w:r>
        <w:rPr>
          <w:b/>
        </w:rPr>
        <w:t>Rental Lifecycle Management</w:t>
      </w:r>
      <w:r>
        <w:t>: Dasbor pemantauan sewa perangkat IT agar pengembalian dilakukan tepat waktu sebelum terkena denda.</w:t>
      </w:r>
    </w:p>
    <w:p>
      <w:pPr>
        <w:pStyle w:val="Heading3"/>
      </w:pPr>
      <w:r>
        <w:rPr>
          <w:b/>
          <w:color w:val="2E75B6"/>
        </w:rPr>
        <w:t>🟢 Modul Legal: Manajemen Risiko Hukum</w:t>
      </w:r>
    </w:p>
    <w:p>
      <w:pPr>
        <w:pStyle w:val="ListBullet"/>
      </w:pPr>
      <w:r/>
      <w:r>
        <w:rPr>
          <w:b/>
        </w:rPr>
        <w:t>Secure Contract Repository</w:t>
      </w:r>
      <w:r>
        <w:t>: Wadah penyimpanan digital terpusat untuk semua draf kontrak, akta, dan dokumen legal dengan kontrol akses yang aman.</w:t>
      </w:r>
    </w:p>
    <w:p>
      <w:pPr>
        <w:pStyle w:val="ListBullet"/>
      </w:pPr>
      <w:r/>
      <w:r>
        <w:rPr>
          <w:b/>
        </w:rPr>
        <w:t>Milestone Alerts</w:t>
      </w:r>
      <w:r>
        <w:t>: Sistem notifikasi otomatis 30/60/90 hari sebelum tanggal kedaluwarsa dokumen hukum berakhir.</w:t>
      </w:r>
    </w:p>
    <w:p>
      <w:pPr>
        <w:pStyle w:val="ListBullet"/>
      </w:pPr>
      <w:r/>
      <w:r>
        <w:rPr>
          <w:b/>
        </w:rPr>
        <w:t>Litigation Tracker</w:t>
      </w:r>
      <w:r>
        <w:t>: Pemantauan tahapan kasus hukum/litigasi perusahaan secara transparan bagi manajemen.</w:t>
      </w:r>
    </w:p>
    <w:p>
      <w:pPr>
        <w:pStyle w:val="Heading3"/>
      </w:pPr>
      <w:r>
        <w:rPr>
          <w:b/>
          <w:color w:val="2E75B6"/>
        </w:rPr>
        <w:t>🟢 Modul Compliance: Perlindungan Kepatuhan Operasional</w:t>
      </w:r>
    </w:p>
    <w:p>
      <w:pPr>
        <w:pStyle w:val="ListBullet"/>
      </w:pPr>
      <w:r/>
      <w:r>
        <w:rPr>
          <w:b/>
        </w:rPr>
        <w:t>Compliance Matrix &amp; Reminders</w:t>
      </w:r>
      <w:r>
        <w:t>: Kalender pemantauan tanggal jatuh tempo pelaporan pajak daerah/pusat dan pembaruan izin operasional.</w:t>
      </w:r>
    </w:p>
    <w:p>
      <w:pPr>
        <w:pStyle w:val="ListBullet"/>
      </w:pPr>
      <w:r/>
      <w:r>
        <w:rPr>
          <w:b/>
        </w:rPr>
        <w:t>SOP Digitalization</w:t>
      </w:r>
      <w:r>
        <w:t>: Sentralisasi panduan operasional perusahaan agar dapat diakses dengan mudah oleh seluruh departemen yang relevan.</w:t>
      </w:r>
    </w:p>
    <w:p>
      <w:pPr>
        <w:pStyle w:val="Heading2"/>
      </w:pPr>
      <w:r>
        <w:rPr>
          <w:b/>
          <w:color w:val="1B365D"/>
        </w:rPr>
        <w:t>3. Indikator Kinerja Utama (Key Performance Indicators - KPIs)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Departemen / Modul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Metrik Evaluasi (KPI)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Target Setelah Sistem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1"/>
              </w:rPr>
              <w:t>Dampak Bisnis (Business Impact)</w:t>
            </w:r>
          </w:p>
        </w:tc>
      </w:tr>
      <w:tr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**Marketing Budget**</w:t>
            </w:r>
          </w:p>
        </w:tc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Waktu Proses Persetujuan Anggaran</w:t>
            </w:r>
          </w:p>
        </w:tc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**&lt; 24 Jam** (Sebelumnya 3-7 hari kerja)</w:t>
            </w:r>
          </w:p>
        </w:tc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Pengambilan keputusan promosi lebih lincah dan cepat masuk ke pasar (*time-to-market*).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Kasus Belanja Melebihi Anggaran (*Over-budget*)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**0 Kasus**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Pengendalian arus kas perusahaan yang ketat dan efisiensi biaya promosi.</w:t>
            </w:r>
          </w:p>
        </w:tc>
      </w:tr>
      <w:tr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**General Affairs (GA)**</w:t>
            </w:r>
          </w:p>
        </w:tc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Kehilangan/Penyusutan Aset Tidak Tercatat</w:t>
            </w:r>
          </w:p>
        </w:tc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**&lt; 1% per Tahun**</w:t>
            </w:r>
          </w:p>
        </w:tc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Proteksi nilai investasi fisik perusahaan dan transparansi audit inventaris.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Biaya Perbaikan Aset Kerusakan Berat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**Turun 30%** (berkat servis terjadwal)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Memperpanjang usia pakai kendaraan &amp; alat operasional kantor (*CAPEX saving*).</w:t>
            </w:r>
          </w:p>
        </w:tc>
      </w:tr>
      <w:tr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Kasus Keterlambatan Sewa IT</w:t>
            </w:r>
          </w:p>
        </w:tc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**0 Kasus Denda**</w:t>
            </w:r>
          </w:p>
        </w:tc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Efisiensi biaya pengeluaran operasional non-dasar (*OPEX saving*).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**Legal**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Keterlambatan Perpanjangan Kontrak/Izin Kerja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**0 Kasus Keterlambatan**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Menghindari penghentian kerja sama operasional dengan vendor utama akibat kelalaian hukum.</w:t>
            </w:r>
          </w:p>
        </w:tc>
      </w:tr>
      <w:tr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Kecepatan Temu Kembali Dokumen Hukum</w:t>
            </w:r>
          </w:p>
        </w:tc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**&lt; 3 Menit** (Sebelumnya mencari di berkas fisik berjam-jam)</w:t>
            </w:r>
          </w:p>
        </w:tc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Produktivitas tim legal meningkat dan proses pengambilan keputusan bisnis lebih cepat.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**Compliance**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Skor Kepatuhan Regulasi &amp; Lisensi (*Compliance Rate*)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**100% Patuh**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Menghilangkan denda administratif dari instansi pemerintah dan melindungi reputasi brand grup MRA.</w:t>
            </w:r>
          </w:p>
        </w:tc>
      </w:tr>
      <w:tr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Kepatuhan Pelaporan Pajak Berkala</w:t>
            </w:r>
          </w:p>
        </w:tc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**Tepat Waktu (100%)**</w:t>
            </w:r>
          </w:p>
        </w:tc>
        <w:tc>
          <w:tcPr>
            <w:tcW w:type="dxa" w:w="216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Menghindari sanksi bunga denda pajak dari kantor pelayanan pajak.</w:t>
            </w:r>
          </w:p>
        </w:tc>
      </w:tr>
    </w:tbl>
    <w:p/>
    <w:p>
      <w:pPr>
        <w:ind w:left="360"/>
      </w:pPr>
      <w:r>
        <w:rPr>
          <w:b/>
          <w:color w:val="C00000"/>
        </w:rPr>
        <w:t xml:space="preserve">[IMPORTANT] </w:t>
      </w:r>
      <w:r/>
    </w:p>
    <w:p>
      <w:pPr>
        <w:ind w:left="360"/>
      </w:pPr>
      <w:r/>
      <w:r>
        <w:rPr>
          <w:b/>
        </w:rPr>
        <w:t>Pesan Utama untuk Manajemen Eksekutif:</w:t>
      </w:r>
      <w:r/>
    </w:p>
    <w:p>
      <w:pPr>
        <w:ind w:left="360"/>
      </w:pPr>
      <w:r>
        <w:t xml:space="preserve">Keberadaan sistem </w:t>
      </w:r>
      <w:r>
        <w:rPr>
          <w:b/>
        </w:rPr>
        <w:t>GLC MRA</w:t>
      </w:r>
      <w:r>
        <w:t xml:space="preserve"> ini bukan sekadar alat administrasi baru, melainkan </w:t>
      </w:r>
      <w:r>
        <w:rPr>
          <w:b/>
        </w:rPr>
        <w:t>fondasi digitalisasi proses bisnis grup</w:t>
      </w:r>
      <w:r>
        <w:t xml:space="preserve"> yang mengintegrasikan aspek kepatuhan (*Compliance*), kepastian hukum (*Legal*), pengelolaan aset (*GA*), dan akuntabilitas keuangan (*Marketing Budget*) ke dalam satu platform tunggal yang aman, transparan, dan dapat diaudit setiap saat.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