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left"/>
      </w:pPr>
      <w:r>
        <w:rPr>
          <w:b/>
          <w:color w:val="F43F5E"/>
          <w:sz w:val="48"/>
        </w:rPr>
        <w:t>DOKUMENTASI TEKNIS &amp; PROSEDUR OPERASIONAL</w:t>
      </w:r>
    </w:p>
    <w:p>
      <w:r>
        <w:rPr>
          <w:i/>
          <w:color w:val="64748B"/>
          <w:sz w:val="28"/>
        </w:rPr>
        <w:t>Sistem Helpdesk, Inventarisasi Aset IT (Rent &amp; Owned), BAST Digital, dan Manajemen Periferal MRA Group</w:t>
      </w:r>
    </w:p>
    <w:p>
      <w:pPr>
        <w:spacing w:before="3600"/>
      </w:pPr>
    </w:p>
    <w:p>
      <w:pPr>
        <w:spacing w:line="312" w:lineRule="auto"/>
      </w:pPr>
      <w:r>
        <w:rPr>
          <w:color w:val="64748B"/>
          <w:sz w:val="20"/>
        </w:rPr>
        <w:t>Diproduksi oleh: IT Operations Department MRA Group</w:t>
        <w:br/>
        <w:t>Klasifikasi: Internal MRA Group</w:t>
        <w:br/>
        <w:t>Tanggal Rilis: Juni 2026</w:t>
        <w:br/>
        <w:t>Versi Dokumen: v2.1.0</w:t>
        <w:br/>
      </w:r>
    </w:p>
    <w:p>
      <w:r>
        <w:br w:type="page"/>
      </w:r>
    </w:p>
    <w:p>
      <w:pPr>
        <w:pStyle w:val="Heading1"/>
        <w:keepNext/>
        <w:spacing w:before="240" w:after="120"/>
      </w:pPr>
      <w:r>
        <w:rPr>
          <w:rFonts w:ascii="Segoe UI" w:hAnsi="Segoe UI"/>
          <w:b/>
          <w:color w:val="F43F5E"/>
          <w:sz w:val="32"/>
        </w:rPr>
        <w:t>1. Ringkasan Eksekutif</w:t>
      </w:r>
    </w:p>
    <w:p>
      <w:pPr>
        <w:spacing w:after="200" w:line="276" w:lineRule="auto"/>
      </w:pPr>
      <w:r>
        <w:t>Sistem Manajemen Aset dan Helpdesk IT MRA Group dirancang untuk mengintegrasikan seluruh proses administrasi operasional divisi teknologi informasi di lingkungan PT Mugi Rekso Abadi (MRA Group). Platform ini mencakup manajemen keluhan pengguna (IT Helpdesk), pelacakan siklus hidup perangkat keras (Asset Management), perhitungan proyeksi biaya sewa, pembuatan serah terima aset digital (BAST), serta pencatatan audit log aktivitas staf IT secara menyeluruh.</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4F60E5"/>
              <w:top w:val="none"/>
              <w:bottom w:val="none"/>
              <w:right w:val="none"/>
            </w:tcBorders>
          </w:tcPr>
          <w:p>
            <w:pPr>
              <w:spacing w:before="0" w:after="40"/>
            </w:pPr>
            <w:r>
              <w:rPr>
                <w:rFonts w:ascii="Segoe UI" w:hAnsi="Segoe UI"/>
                <w:b/>
                <w:color w:val="0F172A"/>
                <w:sz w:val="20"/>
              </w:rPr>
              <w:t xml:space="preserve">[ARSITEKTUR TERPUSAT] </w:t>
            </w:r>
            <w:r>
              <w:rPr>
                <w:rFonts w:ascii="Segoe UI" w:hAnsi="Segoe UI"/>
                <w:i/>
                <w:color w:val="0F172A"/>
                <w:sz w:val="19"/>
              </w:rPr>
              <w:t>Seluruh data operasional, aset sewa (rental), aset milik sendiri (owned), serta periferal jaringan terpusat pada satu database PostgreSQL (Supabase) dengan skema helpdesk terisolasi.</w:t>
            </w:r>
          </w:p>
        </w:tc>
      </w:tr>
    </w:tbl>
    <w:p>
      <w:pPr>
        <w:spacing w:before="0" w:after="120"/>
      </w:pPr>
    </w:p>
    <w:p>
      <w:pPr>
        <w:pStyle w:val="Heading1"/>
        <w:keepNext/>
        <w:spacing w:before="240" w:after="120"/>
      </w:pPr>
      <w:r>
        <w:rPr>
          <w:rFonts w:ascii="Segoe UI" w:hAnsi="Segoe UI"/>
          <w:b/>
          <w:color w:val="F43F5E"/>
          <w:sz w:val="32"/>
        </w:rPr>
        <w:t>2. Modul Utama Sistem</w:t>
      </w:r>
    </w:p>
    <w:tbl>
      <w:tblPr>
        <w:tblW w:type="auto" w:w="0"/>
        <w:jc w:val="center"/>
        <w:tblLook w:firstColumn="1" w:firstRow="1" w:lastColumn="0" w:lastRow="0" w:noHBand="0" w:noVBand="1" w:val="04A0"/>
      </w:tblPr>
      <w:tblGrid>
        <w:gridCol w:w="3120"/>
        <w:gridCol w:w="3120"/>
        <w:gridCol w:w="3120"/>
      </w:tblGrid>
      <w:tr>
        <w:tc>
          <w:tcPr>
            <w:tcW w:type="dxa" w:w="3120"/>
            <w:shd w:fill="F43F5E"/>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r>
              <w:rPr>
                <w:b/>
                <w:color w:val="FFFFFF"/>
                <w:sz w:val="19"/>
              </w:rPr>
              <w:t>Nama Modul</w:t>
            </w:r>
          </w:p>
        </w:tc>
        <w:tc>
          <w:tcPr>
            <w:tcW w:type="dxa" w:w="3120"/>
            <w:shd w:fill="F43F5E"/>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r>
              <w:rPr>
                <w:b/>
                <w:color w:val="FFFFFF"/>
                <w:sz w:val="19"/>
              </w:rPr>
              <w:t>Deskripsi Fitur</w:t>
            </w:r>
          </w:p>
        </w:tc>
        <w:tc>
          <w:tcPr>
            <w:tcW w:type="dxa" w:w="3120"/>
            <w:shd w:fill="F43F5E"/>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r>
              <w:rPr>
                <w:b/>
                <w:color w:val="FFFFFF"/>
                <w:sz w:val="19"/>
              </w:rPr>
              <w:t>Skema Terkait</w:t>
            </w:r>
          </w:p>
        </w:tc>
      </w:tr>
      <w:tr>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b/>
                <w:sz w:val="18"/>
              </w:rPr>
              <w:t>IT Helpdesk</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sz w:val="18"/>
              </w:rPr>
              <w:t>Melacak alur incident tickets berdasarkan matriks SLA Respon dan SLA Penyelesaian. Dilengkapi auto-email via SMTP Yahoo.</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sz w:val="18"/>
              </w:rPr>
              <w:t>Ticket, User</w:t>
            </w:r>
          </w:p>
        </w:tc>
      </w:tr>
      <w:tr>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shd w:fill="F1F5F9"/>
          </w:tcPr>
          <w:p>
            <w:r>
              <w:rPr>
                <w:b/>
                <w:sz w:val="18"/>
              </w:rPr>
              <w:t>Asset IT</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shd w:fill="F1F5F9"/>
          </w:tcPr>
          <w:p>
            <w:r>
              <w:rPr>
                <w:sz w:val="18"/>
              </w:rPr>
              <w:t>Pencatatan spesifikasi hardware (Laptop vs Smartphone) baik status sewa (RENT) maupun milik sendiri (OWNED).</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shd w:fill="F1F5F9"/>
          </w:tcPr>
          <w:p>
            <w:r>
              <w:rPr>
                <w:sz w:val="18"/>
              </w:rPr>
              <w:t>Asset, Company</w:t>
            </w:r>
          </w:p>
        </w:tc>
      </w:tr>
      <w:tr>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b/>
                <w:sz w:val="18"/>
              </w:rPr>
              <w:t>BAST Digital</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sz w:val="18"/>
              </w:rPr>
              <w:t>Modul serah terima unit secara digital (BAST) yang dapat dikustomisasi, dicetak (Print CSS A4), dan ditandatangani.</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sz w:val="18"/>
              </w:rPr>
              <w:t>Asset, User</w:t>
            </w:r>
          </w:p>
        </w:tc>
      </w:tr>
      <w:tr>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shd w:fill="F1F5F9"/>
          </w:tcPr>
          <w:p>
            <w:r>
              <w:rPr>
                <w:b/>
                <w:sz w:val="18"/>
              </w:rPr>
              <w:t>Analisa Sewa</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shd w:fill="F1F5F9"/>
          </w:tcPr>
          <w:p>
            <w:r>
              <w:rPr>
                <w:sz w:val="18"/>
              </w:rPr>
              <w:t>Proyeksi anggaran sewa bulanan dan tahunan per unit bisnis, visualisasi bagan interaktif SVG, dan progress limit budget.</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shd w:fill="F1F5F9"/>
          </w:tcPr>
          <w:p>
            <w:r>
              <w:rPr>
                <w:sz w:val="18"/>
              </w:rPr>
              <w:t>User, CompanyMaster</w:t>
            </w:r>
          </w:p>
        </w:tc>
      </w:tr>
      <w:tr>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b/>
                <w:sz w:val="18"/>
              </w:rPr>
              <w:t>IT Peripherals</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sz w:val="18"/>
              </w:rPr>
              <w:t>Pencatatan aksesoris massal (CCTV, Switch, NVR, dll) dengan filter cerdas autocomplete brand dan alur approval hapus.</w:t>
            </w:r>
          </w:p>
        </w:tc>
        <w:tc>
          <w:tcPr>
            <w:tcW w:type="dxa" w:w="312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sz w:val="18"/>
              </w:rPr>
              <w:t>PeripheralAsset</w:t>
            </w:r>
          </w:p>
        </w:tc>
      </w:tr>
    </w:tbl>
    <w:p>
      <w:pPr>
        <w:spacing w:after="240"/>
      </w:pPr>
    </w:p>
    <w:p>
      <w:pPr>
        <w:pStyle w:val="Heading1"/>
        <w:keepNext/>
        <w:spacing w:before="240" w:after="120"/>
      </w:pPr>
      <w:r>
        <w:rPr>
          <w:rFonts w:ascii="Segoe UI" w:hAnsi="Segoe UI"/>
          <w:b/>
          <w:color w:val="F43F5E"/>
          <w:sz w:val="32"/>
        </w:rPr>
        <w:t>3. Visualisasi Alur Bisnis</w:t>
      </w:r>
    </w:p>
    <w:p>
      <w:pPr>
        <w:pStyle w:val="Heading2"/>
        <w:keepNext/>
        <w:spacing w:before="240" w:after="120"/>
      </w:pPr>
      <w:r>
        <w:rPr>
          <w:rFonts w:ascii="Segoe UI" w:hAnsi="Segoe UI"/>
          <w:b/>
          <w:color w:val="0F172A"/>
          <w:sz w:val="24"/>
        </w:rPr>
        <w:t>3.1. Siklus Hidup Tiket &amp; Matriks SLA</w:t>
      </w:r>
    </w:p>
    <w:p>
      <w:pPr>
        <w:spacing w:after="160"/>
      </w:pPr>
      <w:r>
        <w:t>SLA (Service Level Agreement) dihitung sejak tiket dibuat hingga waktu tanggapan pertama (First Responded At) serta penyelesaian akhir (Resolved At). Admin memiliki hak istimewa untuk mengubah timestamp First Responded At secara manual disertai alasan audit log jika terjadi kesalahan sistem pencatatan.</w:t>
      </w:r>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low_ticket.png"/>
                    <pic:cNvPicPr/>
                  </pic:nvPicPr>
                  <pic:blipFill>
                    <a:blip r:embed="rId9"/>
                    <a:stretch>
                      <a:fillRect/>
                    </a:stretch>
                  </pic:blipFill>
                  <pic:spPr>
                    <a:xfrm>
                      <a:off x="0" y="0"/>
                      <a:ext cx="5669280" cy="2267712"/>
                    </a:xfrm>
                    <a:prstGeom prst="rect"/>
                  </pic:spPr>
                </pic:pic>
              </a:graphicData>
            </a:graphic>
          </wp:inline>
        </w:drawing>
      </w:r>
    </w:p>
    <w:p>
      <w:pPr>
        <w:spacing w:after="320"/>
        <w:jc w:val="center"/>
      </w:pPr>
      <w:r>
        <w:rPr>
          <w:i/>
          <w:color w:val="64748B"/>
          <w:sz w:val="17"/>
        </w:rPr>
        <w:t>Gambar 3.1: Alur Siklus Hidup Incident Ticket &amp; Kontrol SLA</w:t>
      </w:r>
    </w:p>
    <w:p>
      <w:pPr>
        <w:pStyle w:val="Heading2"/>
        <w:keepNext/>
        <w:spacing w:before="240" w:after="120"/>
      </w:pPr>
      <w:r>
        <w:rPr>
          <w:rFonts w:ascii="Segoe UI" w:hAnsi="Segoe UI"/>
          <w:b/>
          <w:color w:val="0F172A"/>
          <w:sz w:val="24"/>
        </w:rPr>
        <w:t>3.2. Penempatan Aset IT &amp; Prosedur BAST</w:t>
      </w:r>
    </w:p>
    <w:p>
      <w:pPr>
        <w:spacing w:after="160"/>
      </w:pPr>
      <w:r>
        <w:t>Aset IT yang disewakan (Rentals) atau dimiliki sendiri (Owned) dikelola secara terpusat. Aset rental yang masa sewanya telah berakhir (melebihi tanggal berjalan) akan didekatkan ke status 'DISPOSED' (Pensiun) secara otomatis. Untuk serah terima aset yang berstatus 'ASSIGNED' (Dipakai Karyawan) atau 'Shared / Cabang', IT Agent wajib mencetak dokumen BAST fisik berbasis template legalitas perusahaan.</w:t>
      </w:r>
    </w:p>
    <w:p>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flow_asset.png"/>
                    <pic:cNvPicPr/>
                  </pic:nvPicPr>
                  <pic:blipFill>
                    <a:blip r:embed="rId10"/>
                    <a:stretch>
                      <a:fillRect/>
                    </a:stretch>
                  </pic:blipFill>
                  <pic:spPr>
                    <a:xfrm>
                      <a:off x="0" y="0"/>
                      <a:ext cx="5669280" cy="2267712"/>
                    </a:xfrm>
                    <a:prstGeom prst="rect"/>
                  </pic:spPr>
                </pic:pic>
              </a:graphicData>
            </a:graphic>
          </wp:inline>
        </w:drawing>
      </w:r>
    </w:p>
    <w:p>
      <w:pPr>
        <w:spacing w:after="320"/>
        <w:jc w:val="center"/>
      </w:pPr>
      <w:r>
        <w:rPr>
          <w:i/>
          <w:color w:val="64748B"/>
          <w:sz w:val="17"/>
        </w:rPr>
        <w:t>Gambar 3.2: Alur Penempatan Inventaris Aset IT &amp; Pembuatan Dokumen BAST</w:t>
      </w:r>
    </w:p>
    <w:p>
      <w:pPr>
        <w:pStyle w:val="Heading2"/>
        <w:keepNext/>
        <w:spacing w:before="240" w:after="120"/>
      </w:pPr>
      <w:r>
        <w:rPr>
          <w:rFonts w:ascii="Segoe UI" w:hAnsi="Segoe UI"/>
          <w:b/>
          <w:color w:val="0F172A"/>
          <w:sz w:val="24"/>
        </w:rPr>
        <w:t>3.3. Restriksi Penghapusan &amp; Alur Otorisasi</w:t>
      </w:r>
    </w:p>
    <w:p>
      <w:pPr>
        <w:spacing w:after="160"/>
      </w:pPr>
      <w:r>
        <w:t>Guna mencegah penghapusan data penting (Aset IT, Sublangganan Software, Wi-Fi Access Point) yang tidak disengaja, sistem menerapkan pembatasan hak akses. IT Agent hanya dapat mengajukan permohonan hapus (ApprovalRequest), sementara keputusan akhir berupa persetujuan (Approve) atau penolakan (Reject) dilakukan oleh IT Admin.</w:t>
      </w: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flow_approval.png"/>
                    <pic:cNvPicPr/>
                  </pic:nvPicPr>
                  <pic:blipFill>
                    <a:blip r:embed="rId11"/>
                    <a:stretch>
                      <a:fillRect/>
                    </a:stretch>
                  </pic:blipFill>
                  <pic:spPr>
                    <a:xfrm>
                      <a:off x="0" y="0"/>
                      <a:ext cx="5669280" cy="2267712"/>
                    </a:xfrm>
                    <a:prstGeom prst="rect"/>
                  </pic:spPr>
                </pic:pic>
              </a:graphicData>
            </a:graphic>
          </wp:inline>
        </w:drawing>
      </w:r>
    </w:p>
    <w:p>
      <w:pPr>
        <w:spacing w:after="320"/>
        <w:jc w:val="center"/>
      </w:pPr>
      <w:r>
        <w:rPr>
          <w:i/>
          <w:color w:val="64748B"/>
          <w:sz w:val="17"/>
        </w:rPr>
        <w:t>Gambar 3.3: Mekanisme Intersept Penghapusan &amp; Alur Otorisasi Admin</w:t>
      </w:r>
    </w:p>
    <w:p>
      <w:pPr>
        <w:pStyle w:val="Heading1"/>
        <w:keepNext/>
        <w:spacing w:before="240" w:after="120"/>
      </w:pPr>
      <w:r/>
      <w:r>
        <w:rPr>
          <w:rFonts w:ascii="Segoe UI" w:hAnsi="Segoe UI"/>
          <w:b/>
          <w:color w:val="F43F5E"/>
          <w:sz w:val="32"/>
        </w:rPr>
        <w:t>5. Matriks Akses Peran Pengguna (Roles)</w:t>
      </w:r>
    </w:p>
    <w:p>
      <w:pPr>
        <w:spacing w:after="160"/>
      </w:pPr>
      <w:r>
        <w:t>Sistem IT Operations membagi hak akses ke dalam 3 peran (Role) internal utama dan 1 peran auditor tamu guna menjamin akuntabilitas data:</w:t>
      </w:r>
    </w:p>
    <w:p>
      <w:pPr>
        <w:pStyle w:val="ListBullet"/>
        <w:spacing w:after="80"/>
      </w:pPr>
      <w:r>
        <w:rPr>
          <w:b/>
        </w:rPr>
        <w:t xml:space="preserve">IT Administrator (ADMIN): </w:t>
      </w:r>
      <w:r>
        <w:t>Memiliki kontrol penuh atas seluruh sistem, termasuk pengaturan user, reset password, persetujuan hapus data, manual override SLA, dan modifikasi kategori database.</w:t>
      </w:r>
    </w:p>
    <w:p>
      <w:pPr>
        <w:pStyle w:val="ListBullet"/>
        <w:spacing w:after="80"/>
      </w:pPr>
      <w:r>
        <w:rPr>
          <w:b/>
        </w:rPr>
        <w:t xml:space="preserve">IT Agent (AGENT): </w:t>
      </w:r>
      <w:r>
        <w:t>Peran operasional harian. Dapat menginput tiket, mendaftarkan aset dan periferal baru, mengajukan request hapus, mendaftarkan user baru (NIP Karyawan), dan mencetak BAST.</w:t>
      </w:r>
    </w:p>
    <w:p>
      <w:pPr>
        <w:pStyle w:val="ListBullet"/>
        <w:spacing w:after="80"/>
      </w:pPr>
      <w:r>
        <w:rPr>
          <w:b/>
        </w:rPr>
        <w:t xml:space="preserve">IT Auditor (AUDITOR): </w:t>
      </w:r>
      <w:r>
        <w:t>Akses khusus pengawasan. Hanya diperbolehkan membuka halaman Delete Approvals dan System Audit Logs untuk mengevaluasi kepatuhan prosedur tanpa izin mengubah data operasional.</w:t>
      </w:r>
    </w:p>
    <w:p>
      <w:pPr>
        <w:spacing w:after="240"/>
      </w:pPr>
    </w:p>
    <w:p>
      <w:pPr>
        <w:pStyle w:val="Heading1"/>
        <w:keepNext/>
        <w:spacing w:before="240" w:after="120"/>
      </w:pPr>
      <w:r/>
      <w:r>
        <w:rPr>
          <w:rFonts w:ascii="Segoe UI" w:hAnsi="Segoe UI"/>
          <w:b/>
          <w:color w:val="F43F5E"/>
          <w:sz w:val="32"/>
        </w:rPr>
        <w:t>6. Panduan Konfigurasi Produksi (Vercel &amp; Supabase)</w:t>
      </w:r>
    </w:p>
    <w:p>
      <w:pPr>
        <w:spacing w:after="200"/>
      </w:pPr>
      <w:r>
        <w:t>Saat melakukan publikasi ke server production di Vercel, pastikan parameter konfigurasi database dan batasan koneksi diatur dengan tepat guna menghindari kegagalan sistem database Supabase (Error 500).</w:t>
      </w:r>
    </w:p>
    <w:p>
      <w:pPr>
        <w:pStyle w:val="Heading2"/>
        <w:keepNext/>
        <w:spacing w:before="240" w:after="120"/>
      </w:pPr>
      <w:r/>
      <w:r>
        <w:rPr>
          <w:rFonts w:ascii="Segoe UI" w:hAnsi="Segoe UI"/>
          <w:b/>
          <w:color w:val="0F172A"/>
          <w:sz w:val="24"/>
        </w:rPr>
        <w:t>6.1. Database Transaction Pooler (DATABASE_URL)</w:t>
      </w:r>
    </w:p>
    <w:p>
      <w:pPr>
        <w:spacing w:after="120"/>
      </w:pPr>
      <w:r>
        <w:t>Pastikan nilai DATABASE_URL di Environment Variables Vercel mengarah ke port PgBouncer (6543) dan dibatasi menggunakan parameter connection_limit=1 untuk meminimalkan beban koneksi serverless:</w:t>
      </w:r>
    </w:p>
    <w:p/>
    <w:tbl>
      <w:tblPr>
        <w:tblW w:type="auto" w:w="0"/>
        <w:jc w:val="center"/>
        <w:tblLook w:firstColumn="1" w:firstRow="1" w:lastColumn="0" w:lastRow="0" w:noHBand="0" w:noVBand="1" w:val="04A0"/>
      </w:tblPr>
      <w:tblGrid>
        <w:gridCol w:w="9360"/>
      </w:tblGrid>
      <w:tr>
        <w:tc>
          <w:tcPr>
            <w:tcW w:type="dxa" w:w="9360"/>
            <w:shd w:fill="F1F5F9"/>
            <w:tcMar>
              <w:top w:w="60" w:type="dxa"/>
              <w:bottom w:w="60" w:type="dxa"/>
              <w:left w:w="100" w:type="dxa"/>
              <w:right w:w="100" w:type="dxa"/>
            </w:tcMar>
            <w:tcBorders>
              <w:top w:val="single" w:sz="2" w:space="0" w:color="CBD5E1"/>
              <w:left w:val="single" w:sz="2" w:space="0" w:color="CBD5E1"/>
              <w:bottom w:val="single" w:sz="2" w:space="0" w:color="CBD5E1"/>
              <w:right w:val="single" w:sz="2" w:space="0" w:color="CBD5E1"/>
            </w:tcBorders>
          </w:tcPr>
          <w:p>
            <w:r>
              <w:rPr>
                <w:rFonts w:ascii="Consolas" w:hAnsi="Consolas"/>
                <w:color w:val="0F172A"/>
                <w:sz w:val="17"/>
              </w:rPr>
              <w:t>postgresql://[user]:[password]@aws-1-ap-northeast-1.pooler.supabase.com:6543/postgres?pgbouncer=true&amp;schema=helpdesk&amp;connection_limit=1</w:t>
            </w:r>
          </w:p>
        </w:tc>
      </w:tr>
    </w:tbl>
    <w:p>
      <w:pPr>
        <w:spacing w:after="120"/>
      </w:pPr>
    </w:p>
    <w:p>
      <w:pPr>
        <w:pStyle w:val="Heading2"/>
        <w:keepNext/>
        <w:spacing w:before="240" w:after="120"/>
      </w:pPr>
      <w:r/>
      <w:r>
        <w:rPr>
          <w:rFonts w:ascii="Segoe UI" w:hAnsi="Segoe UI"/>
          <w:b/>
          <w:color w:val="0F172A"/>
          <w:sz w:val="24"/>
        </w:rPr>
        <w:t>6.2. Mode Penguncian Pengembangan (ADMIN_ONLY_MODE)</w:t>
      </w:r>
    </w:p>
    <w:p>
      <w:pPr>
        <w:spacing w:after="120"/>
      </w:pPr>
      <w:r>
        <w:t>Sistem mendukung penguncian aplikasi selama masa konstruksi. Jika variabel berikut diset pada lingkungan Vercel, maka staf IT Agent biasa tidak diizinkan masuk ke dashboard demi keamanan pengujian data.</w:t>
      </w:r>
    </w:p>
    <w:tbl>
      <w:tblPr>
        <w:tblW w:type="auto" w:w="0"/>
        <w:jc w:val="center"/>
        <w:tblLook w:firstColumn="1" w:firstRow="1" w:lastColumn="0" w:lastRow="0" w:noHBand="0" w:noVBand="1" w:val="04A0"/>
      </w:tblPr>
      <w:tblGrid>
        <w:gridCol w:w="3120"/>
        <w:gridCol w:w="3120"/>
        <w:gridCol w:w="3120"/>
      </w:tblGrid>
      <w:tr>
        <w:tc>
          <w:tcPr>
            <w:tcW w:type="dxa" w:w="3120"/>
            <w:shd w:fill="F1F5F9"/>
            <w:tcBorders>
              <w:top w:val="single" w:sz="4" w:space="0" w:color="CBD5E1"/>
              <w:left w:val="single" w:sz="4" w:space="0" w:color="CBD5E1"/>
              <w:bottom w:val="single" w:sz="4" w:space="0" w:color="CBD5E1"/>
              <w:right w:val="single" w:sz="4" w:space="0" w:color="CBD5E1"/>
            </w:tcBorders>
          </w:tcPr>
          <w:p>
            <w:r>
              <w:rPr>
                <w:b/>
                <w:sz w:val="18"/>
              </w:rPr>
              <w:t>Key</w:t>
            </w:r>
          </w:p>
        </w:tc>
        <w:tc>
          <w:tcPr>
            <w:tcW w:type="dxa" w:w="3120"/>
            <w:shd w:fill="F1F5F9"/>
            <w:tcBorders>
              <w:top w:val="single" w:sz="4" w:space="0" w:color="CBD5E1"/>
              <w:left w:val="single" w:sz="4" w:space="0" w:color="CBD5E1"/>
              <w:bottom w:val="single" w:sz="4" w:space="0" w:color="CBD5E1"/>
              <w:right w:val="single" w:sz="4" w:space="0" w:color="CBD5E1"/>
            </w:tcBorders>
          </w:tcPr>
          <w:p>
            <w:r>
              <w:rPr>
                <w:b/>
                <w:sz w:val="18"/>
              </w:rPr>
              <w:t>Value</w:t>
            </w:r>
          </w:p>
        </w:tc>
        <w:tc>
          <w:tcPr>
            <w:tcW w:type="dxa" w:w="3120"/>
            <w:shd w:fill="F1F5F9"/>
            <w:tcBorders>
              <w:top w:val="single" w:sz="4" w:space="0" w:color="CBD5E1"/>
              <w:left w:val="single" w:sz="4" w:space="0" w:color="CBD5E1"/>
              <w:bottom w:val="single" w:sz="4" w:space="0" w:color="CBD5E1"/>
              <w:right w:val="single" w:sz="4" w:space="0" w:color="CBD5E1"/>
            </w:tcBorders>
          </w:tcPr>
          <w:p>
            <w:r>
              <w:rPr>
                <w:b/>
                <w:sz w:val="18"/>
              </w:rPr>
              <w:t>Dampak Perilaku</w:t>
            </w:r>
          </w:p>
        </w:tc>
      </w:tr>
      <w:tr>
        <w:tc>
          <w:tcPr>
            <w:tcW w:type="dxa" w:w="3120"/>
            <w:tcBorders>
              <w:top w:val="single" w:sz="4" w:space="0" w:color="CBD5E1"/>
              <w:left w:val="single" w:sz="4" w:space="0" w:color="CBD5E1"/>
              <w:bottom w:val="single" w:sz="4" w:space="0" w:color="CBD5E1"/>
              <w:right w:val="single" w:sz="4" w:space="0" w:color="CBD5E1"/>
            </w:tcBorders>
          </w:tcPr>
          <w:p>
            <w:r>
              <w:rPr>
                <w:rFonts w:ascii="Consolas" w:hAnsi="Consolas"/>
                <w:sz w:val="17"/>
              </w:rPr>
              <w:t>ADMIN_ONLY_MODE</w:t>
            </w:r>
          </w:p>
        </w:tc>
        <w:tc>
          <w:tcPr>
            <w:tcW w:type="dxa" w:w="3120"/>
            <w:tcBorders>
              <w:top w:val="single" w:sz="4" w:space="0" w:color="CBD5E1"/>
              <w:left w:val="single" w:sz="4" w:space="0" w:color="CBD5E1"/>
              <w:bottom w:val="single" w:sz="4" w:space="0" w:color="CBD5E1"/>
              <w:right w:val="single" w:sz="4" w:space="0" w:color="CBD5E1"/>
            </w:tcBorders>
          </w:tcPr>
          <w:p>
            <w:r>
              <w:rPr>
                <w:sz w:val="17"/>
              </w:rPr>
              <w:t>true</w:t>
            </w:r>
          </w:p>
        </w:tc>
        <w:tc>
          <w:tcPr>
            <w:tcW w:type="dxa" w:w="3120"/>
            <w:tcBorders>
              <w:top w:val="single" w:sz="4" w:space="0" w:color="CBD5E1"/>
              <w:left w:val="single" w:sz="4" w:space="0" w:color="CBD5E1"/>
              <w:bottom w:val="single" w:sz="4" w:space="0" w:color="CBD5E1"/>
              <w:right w:val="single" w:sz="4" w:space="0" w:color="CBD5E1"/>
            </w:tcBorders>
          </w:tcPr>
          <w:p>
            <w:r>
              <w:rPr>
                <w:sz w:val="17"/>
              </w:rPr>
              <w:t>Hanya akun dengan role ADMIN yang bisa login. Akun AGENT dan AUDITOR ditolak otomatis.</w:t>
            </w:r>
          </w:p>
        </w:tc>
      </w:tr>
      <w:tr>
        <w:tc>
          <w:tcPr>
            <w:tcW w:type="dxa" w:w="3120"/>
            <w:tcBorders>
              <w:top w:val="single" w:sz="4" w:space="0" w:color="CBD5E1"/>
              <w:left w:val="single" w:sz="4" w:space="0" w:color="CBD5E1"/>
              <w:bottom w:val="single" w:sz="4" w:space="0" w:color="CBD5E1"/>
              <w:right w:val="single" w:sz="4" w:space="0" w:color="CBD5E1"/>
            </w:tcBorders>
          </w:tcPr>
          <w:p>
            <w:r>
              <w:rPr>
                <w:rFonts w:ascii="Consolas" w:hAnsi="Consolas"/>
                <w:sz w:val="17"/>
              </w:rPr>
              <w:t>ADMIN_ONLY_MODE</w:t>
            </w:r>
          </w:p>
        </w:tc>
        <w:tc>
          <w:tcPr>
            <w:tcW w:type="dxa" w:w="3120"/>
            <w:tcBorders>
              <w:top w:val="single" w:sz="4" w:space="0" w:color="CBD5E1"/>
              <w:left w:val="single" w:sz="4" w:space="0" w:color="CBD5E1"/>
              <w:bottom w:val="single" w:sz="4" w:space="0" w:color="CBD5E1"/>
              <w:right w:val="single" w:sz="4" w:space="0" w:color="CBD5E1"/>
            </w:tcBorders>
          </w:tcPr>
          <w:p>
            <w:r>
              <w:rPr>
                <w:sz w:val="17"/>
              </w:rPr>
              <w:t>false</w:t>
            </w:r>
          </w:p>
        </w:tc>
        <w:tc>
          <w:tcPr>
            <w:tcW w:type="dxa" w:w="3120"/>
            <w:tcBorders>
              <w:top w:val="single" w:sz="4" w:space="0" w:color="CBD5E1"/>
              <w:left w:val="single" w:sz="4" w:space="0" w:color="CBD5E1"/>
              <w:bottom w:val="single" w:sz="4" w:space="0" w:color="CBD5E1"/>
              <w:right w:val="single" w:sz="4" w:space="0" w:color="CBD5E1"/>
            </w:tcBorders>
          </w:tcPr>
          <w:p>
            <w:r>
              <w:rPr>
                <w:sz w:val="17"/>
              </w:rPr>
              <w:t>Mode normal. IT Agent dan IT Auditor dapat login dan melakukan tugas operasional harian.</w:t>
            </w:r>
          </w:p>
        </w:tc>
      </w:tr>
    </w:tbl>
    <w:p>
      <w:pPr>
        <w:spacing w:after="480"/>
      </w:pPr>
    </w:p>
    <w:p>
      <w:pPr>
        <w:jc w:val="right"/>
      </w:pPr>
      <w:r>
        <w:rPr>
          <w:i/>
          <w:color w:val="64748B"/>
          <w:sz w:val="16"/>
        </w:rPr>
        <w:t>IT Operations &amp; SLA Division - Wisma MRA Lantai 5</w:t>
      </w:r>
    </w:p>
    <w:p>
      <w:pPr>
        <w:pStyle w:val="Heading1"/>
        <w:keepNext/>
        <w:spacing w:before="240" w:after="120"/>
      </w:pPr>
      <w:r>
        <w:rPr>
          <w:rFonts w:ascii="Segoe UI" w:hAnsi="Segoe UI"/>
          <w:b/>
          <w:color w:val="F43F5E"/>
          <w:sz w:val="32"/>
        </w:rPr>
        <w:t>4. Penyelarasan Bisnis &amp; Teknologi (Business-IT Alignment)</w:t>
      </w:r>
    </w:p>
    <w:p>
      <w:pPr>
        <w:spacing w:after="200" w:line="276" w:lineRule="auto"/>
      </w:pPr>
      <w:r>
        <w:t>Untuk memaksimalkan kontribusi teknologi informasi terhadap kinerja grup, sistem IT Helpdesk dan Manajemen Aset IT MRA Group ini dianalisis menggunakan kerangka Penyelarasan Bisnis dan IT (Business-IT Alignment Framework). Kerangka ini memetakan tujuan strategis korporasi ke dalam alur proses bisnis, modul aplikasi, serta infrastruktur teknologi pendukung secara terintegrasi (End-to-End).</w:t>
      </w:r>
    </w:p>
    <w:p>
      <w:r>
        <w:drawing>
          <wp:inline xmlns:a="http://schemas.openxmlformats.org/drawingml/2006/main" xmlns:pic="http://schemas.openxmlformats.org/drawingml/2006/picture">
            <wp:extent cx="5669280" cy="3685032"/>
            <wp:docPr id="4" name="Picture 4"/>
            <wp:cNvGraphicFramePr>
              <a:graphicFrameLocks noChangeAspect="1"/>
            </wp:cNvGraphicFramePr>
            <a:graphic>
              <a:graphicData uri="http://schemas.openxmlformats.org/drawingml/2006/picture">
                <pic:pic>
                  <pic:nvPicPr>
                    <pic:cNvPr id="0" name="flow_business_it.png"/>
                    <pic:cNvPicPr/>
                  </pic:nvPicPr>
                  <pic:blipFill>
                    <a:blip r:embed="rId12"/>
                    <a:stretch>
                      <a:fillRect/>
                    </a:stretch>
                  </pic:blipFill>
                  <pic:spPr>
                    <a:xfrm>
                      <a:off x="0" y="0"/>
                      <a:ext cx="5669280" cy="3685032"/>
                    </a:xfrm>
                    <a:prstGeom prst="rect"/>
                  </pic:spPr>
                </pic:pic>
              </a:graphicData>
            </a:graphic>
          </wp:inline>
        </w:drawing>
      </w:r>
    </w:p>
    <w:p>
      <w:pPr>
        <w:spacing w:after="320"/>
        <w:jc w:val="center"/>
      </w:pPr>
      <w:r>
        <w:rPr>
          <w:i/>
          <w:color w:val="64748B"/>
          <w:sz w:val="17"/>
        </w:rPr>
        <w:t>Gambar 4.1: Framework Penyelarasan Bisnis &amp; TI (Business-IT Alignment) MRA Group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