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E7490"/>
          <w:sz w:val="48"/>
        </w:rPr>
        <w:t>PRODUCT REQUIREMENT DOCUMENT (PRD)</w:t>
      </w:r>
    </w:p>
    <w:p>
      <w:pPr>
        <w:spacing w:after="400"/>
      </w:pPr>
      <w:r>
        <w:rPr>
          <w:color w:val="64748B"/>
          <w:sz w:val="28"/>
        </w:rPr>
        <w:t>IT Helpdesk &amp; Asset Management MRA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1.0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Antigravity AI Systems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01 Juli 2026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b/>
              </w:rPr>
              <w:t>Target System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>Helpdesk MRA (React/Vite &amp; Express + Prisma ORM)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1. Executive Summary &amp; Product Overview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1.1 Background</w:t>
      </w:r>
    </w:p>
    <w:p>
      <w:pPr>
        <w:spacing w:after="160"/>
      </w:pPr>
      <w:r>
        <w:t>MRA Group mengelola berbagai entitas bisnis (Radio, Media, Retail, F&amp;B, General). Saat ini, operasional penanganan aduan IT dan manajemen inventaris perangkat (baik dibeli/owned maupun sewa/rental) masih terfragmentasi, memicu keterlambatan respons masalah (SLA breach) dan kebocoran anggaran sewa perangkat IT.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1.2 Product Vision</w:t>
      </w:r>
    </w:p>
    <w:p>
      <w:pPr>
        <w:spacing w:after="80"/>
      </w:pPr>
      <w:r>
        <w:t>Membangun satu sistem terpadu (IT Helpdesk &amp; Asset Management MRA) untuk:</w:t>
      </w:r>
    </w:p>
    <w:p>
      <w:pPr>
        <w:pStyle w:val="ListBullet"/>
        <w:spacing w:after="80"/>
      </w:pPr>
      <w:r>
        <w:t>Mengotomatiskan siklus hidup tiket aduan TI dari pelaporan hingga penyelesaian.</w:t>
      </w:r>
    </w:p>
    <w:p>
      <w:pPr>
        <w:pStyle w:val="ListBullet"/>
        <w:spacing w:after="80"/>
      </w:pPr>
      <w:r>
        <w:t>Mencegah kebocoran anggaran dengan pelacakan leasing schedule aset rental dan alokasi budget per karyawan/cabang.</w:t>
      </w:r>
    </w:p>
    <w:p>
      <w:pPr>
        <w:pStyle w:val="ListBullet"/>
        <w:spacing w:after="80"/>
      </w:pPr>
      <w:r>
        <w:t>Menyediakan transparansi alokasi operasional TI lintas unit bisnis melalui model perhitungan biaya Shared Service.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2. User Personas &amp; Roles</w:t>
      </w:r>
    </w:p>
    <w:p>
      <w:pPr>
        <w:spacing w:after="160"/>
      </w:pPr>
      <w:r>
        <w:t>Sistem mendukung 4 level otorisasi pengguna (Role enum):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4320"/>
      </w:tblGrid>
      <w:tr>
        <w:tc>
          <w:tcPr>
            <w:tcW w:type="dxa" w:w="312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Deskripsi</w:t>
            </w:r>
          </w:p>
        </w:tc>
        <w:tc>
          <w:tcPr>
            <w:tcW w:type="dxa" w:w="3120"/>
            <w:shd w:fill="0E74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Hak Akses Utama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Seluruh karyawan di lingkungan MRA Group.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Membuat tiket aduan, melihat status tiket milik sendiri, melihat detail aset IT yang sedang dialokasikan padanya.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b/>
              </w:rPr>
              <w:t>AGENT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Staf IT Support / Helpdesk Engineer.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Menerima &amp; mengeskalasi tiket, memperbarui status tiket, mendaftarkan aset baru, mengajukan penghapusan aset.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IT Manager / GA Manager.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t>Memantau KPI dashboard, menyetujui/menolak pengajuan penghapusan aset (Approval Request), mengelola anggaran master perusahaan, mengonfigurasi skema menu.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Pihak kepatuhan internal/eksternal.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Hak akses baca-saja (read-only) ke seluruh sistem audit log, histori pembaruan, dan laporan keuangan aset.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3. Functional Requirements (Kebutuhan Fungsional)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3.1 Module 1: Core Ticketing System</w:t>
      </w:r>
    </w:p>
    <w:p>
      <w:pPr>
        <w:pStyle w:val="ListBullet"/>
        <w:spacing w:after="80"/>
      </w:pPr>
      <w:r>
        <w:t>FR-1.1: Pengguna dapat membuat tiket dengan memilih Category (Hardware, Software, Network, Access), deskripsi, prioritas (LOW, MEDIUM, HIGH, CRITICAL), dan melampirkan informasi tambahan.</w:t>
      </w:r>
    </w:p>
    <w:p>
      <w:pPr>
        <w:pStyle w:val="ListBullet"/>
        <w:spacing w:after="80"/>
      </w:pPr>
      <w:r>
        <w:t>FR-1.2: Agen dapat memperbarui status tiket (OPEN -&gt; IN_PROGRESS -&gt; PENDING -&gt; RESOLVED -&gt; CLOSED).</w:t>
      </w:r>
    </w:p>
    <w:p>
      <w:pPr>
        <w:pStyle w:val="ListBullet"/>
        <w:spacing w:after="80"/>
      </w:pPr>
      <w:r>
        <w:t>FR-1.3: Setiap perubahan status atau alokasi agen ke tiket wajib terekam ke dalam tabel AuditLog secara otomatis.</w:t>
      </w:r>
    </w:p>
    <w:p>
      <w:pPr>
        <w:pStyle w:val="ListBullet"/>
        <w:spacing w:after="80"/>
      </w:pPr>
      <w:r>
        <w:t>FR-1.4: Sistem mendukung pencatatan Source tiket (Walk-in, Email, Phone Call, Instant Messaging, Direct Instruction, On-site Visit, System Alert).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3.2 Module 2: SLA (Service Level Agreement) Engine</w:t>
      </w:r>
    </w:p>
    <w:p>
      <w:pPr>
        <w:pStyle w:val="ListBullet"/>
        <w:spacing w:after="80"/>
      </w:pPr>
      <w:r>
        <w:t>FR-2.1: Saat tiket dibuat, sistem otomatis menghitung slaResponseLimit dan slaResolutionLimit berdasarkan tingkat prioritas tiket.</w:t>
      </w:r>
    </w:p>
    <w:p>
      <w:pPr>
        <w:pStyle w:val="ListBullet"/>
        <w:spacing w:after="80"/>
      </w:pPr>
      <w:r>
        <w:t>FR-2.2: SLA Pause (Pending State): Jika status tiket diubah ke PENDING, sistem harus mencatat lastPausedAt dan menangguhkan hitungan durasi SLA. Saat status kembali aktif, akumulasi waktu ditambahkan ke totalPausedMs.</w:t>
      </w:r>
    </w:p>
    <w:p>
      <w:pPr>
        <w:pStyle w:val="ListBullet"/>
        <w:spacing w:after="80"/>
      </w:pPr>
      <w:r>
        <w:t>FR-2.3: Jika tiket diselesaikan melampaui limit setelah dikurangi durasi pause, field isSlaBreached otomatis ditandai true.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3.3 Module 3: Centralized Asset &amp; Peripheral Inventory</w:t>
      </w:r>
    </w:p>
    <w:p>
      <w:pPr>
        <w:pStyle w:val="ListBullet"/>
        <w:spacing w:after="80"/>
      </w:pPr>
      <w:r>
        <w:t>FR-3.1: Pencatatan aset utama (Asset) wajib melacak tipe kepemilikan (ownershipType: RENTAL vs OWNED) dan status (status: AVAILABLE, ASSIGNED, MAINTENANCE, DISPOSED).</w:t>
      </w:r>
    </w:p>
    <w:p>
      <w:pPr>
        <w:pStyle w:val="ListBullet"/>
        <w:spacing w:after="80"/>
      </w:pPr>
      <w:r>
        <w:t>FR-3.2: Setiap aset sewa wajib terikat pada rentalStart, rentalEnd, dan rentalCost (biaya sewa bulanan).</w:t>
      </w:r>
    </w:p>
    <w:p>
      <w:pPr>
        <w:pStyle w:val="ListBullet"/>
        <w:spacing w:after="80"/>
      </w:pPr>
      <w:r>
        <w:t>FR-3.3: Asset Journey Log: Setiap mutasi perangkat (serah terima karyawan, pindah cabang, perbaikan) wajib tercatat di field journey sebagai log historis terformat.</w:t>
      </w:r>
    </w:p>
    <w:p>
      <w:pPr>
        <w:pStyle w:val="ListBullet"/>
        <w:spacing w:after="80"/>
      </w:pPr>
      <w:r>
        <w:t>FR-3.4: Peripheral Asset Tracking: Mendukung pencatatan item eceran/aksesoris (CCTV, Kabel, RAM) melalui model PeripheralAsset yang dikelompokkan berdasarkan nomor invoice induk (PeripheralInvoice).</w:t>
      </w:r>
    </w:p>
    <w:p>
      <w:pPr>
        <w:pStyle w:val="ListBullet"/>
        <w:spacing w:after="80"/>
      </w:pPr>
      <w:r>
        <w:t>FR-3.5: Penginputan invoice peripheral mendukung file attachment bukti fisik via link url (fileLink).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3.4 Module 4: IT Subscription Tracker</w:t>
      </w:r>
    </w:p>
    <w:p>
      <w:pPr>
        <w:pStyle w:val="ListBullet"/>
        <w:spacing w:after="80"/>
      </w:pPr>
      <w:r>
        <w:t>FR-4.1: Melacak langganan tahunan/bulanan (Hosting, Domain, VPN) dengan parameter tanggal kedaluwarsa (expiryDate).</w:t>
      </w:r>
    </w:p>
    <w:p>
      <w:pPr>
        <w:pStyle w:val="ListBullet"/>
        <w:spacing w:after="80"/>
      </w:pPr>
      <w:r>
        <w:t>FR-4.2: Sistem otomatis mengirimkan alert/peringatan kepada Admin jika langganan memasuki masa kedaluwarsa dalam 30 hari.</w:t>
      </w:r>
    </w:p>
    <w:p>
      <w:pPr>
        <w:pStyle w:val="ListBullet"/>
        <w:spacing w:after="80"/>
      </w:pPr>
      <w:r>
        <w:t>FR-4.3: Mendukung skema Contract Replacement (replacedSubscriptionId) untuk menghubungkan kontrak perpanjangan baru dengan data kontrak lama yang digantikan.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3.5 Module 5: Security Approval Workflow</w:t>
      </w:r>
    </w:p>
    <w:p>
      <w:pPr>
        <w:pStyle w:val="ListBullet"/>
        <w:spacing w:after="80"/>
      </w:pPr>
      <w:r>
        <w:t>FR-5.1: Agen tidak diizinkan melakukan hard delete terhadap entitas kritis (Asset, ITSubscription, WifiAccessPoint).</w:t>
      </w:r>
    </w:p>
    <w:p>
      <w:pPr>
        <w:pStyle w:val="ListBullet"/>
        <w:spacing w:after="80"/>
      </w:pPr>
      <w:r>
        <w:t>FR-5.2: Tindakan penghapusan akan membuat entri baru di tabel ApprovalRequest dengan status PENDING.</w:t>
      </w:r>
    </w:p>
    <w:p>
      <w:pPr>
        <w:pStyle w:val="ListBullet"/>
        <w:spacing w:after="80"/>
      </w:pPr>
      <w:r>
        <w:t>FR-5.3: Hanya Admin yang dapat menyetujui (APPROVED) atau menolak (REJECTED) permintaan penghapusan tersebut. Jika disetujui, sistem baru mengeksekusi penghapusan data sebenarnya dan mencatatnya ke SystemAuditLog.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3.6 Module 6: Shared Service Billing &amp; Cost Analytics</w:t>
      </w:r>
    </w:p>
    <w:p>
      <w:pPr>
        <w:pStyle w:val="ListBullet"/>
        <w:spacing w:after="80"/>
      </w:pPr>
      <w:r>
        <w:t>FR-6.1: Sistem harus menghitung alokasi biaya per tiket (Cost per Ticket - CPT) bulanan secara otomatis berdasarkan formula CPT = Total Pengeluaran Operasional / Total Tiket.</w:t>
      </w:r>
    </w:p>
    <w:p>
      <w:pPr>
        <w:pStyle w:val="ListBullet"/>
        <w:spacing w:after="80"/>
      </w:pPr>
      <w:r>
        <w:t>FR-6.2: Menyediakan sub-dashboard Alokasi Biaya Anak Perusahaan untuk membebankan tagihan shared service ke masing-masing entitas MRA (e.g. Bvlgari Retail, Radio) berdasarkan volume tiket yang diajukan oleh karyawan mereka.</w:t>
      </w:r>
    </w:p>
    <w:p>
      <w:pPr>
        <w:pStyle w:val="ListBullet"/>
        <w:spacing w:after="80"/>
      </w:pPr>
      <w:r>
        <w:t>FR-6.3: Menyediakan kalkulasi konversi tenaga kerja ke satuan Man-Hours Rate untuk penugasan onsite atau pengerjaan project ad-hoc.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4. Non-Functional Requirements (Kebutuhan Non-Fungsional)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4.1 Security &amp; Compliance</w:t>
      </w:r>
    </w:p>
    <w:p>
      <w:pPr>
        <w:pStyle w:val="ListBullet"/>
        <w:spacing w:after="80"/>
      </w:pPr>
      <w:r>
        <w:t>NFR-4.1.1: Enkripsi password menggunakan bcryptjs sebelum disimpan ke database.</w:t>
      </w:r>
    </w:p>
    <w:p>
      <w:pPr>
        <w:pStyle w:val="ListBullet"/>
        <w:spacing w:after="80"/>
      </w:pPr>
      <w:r>
        <w:t>NFR-4.1.2: Transmisi data client-server wajib menggunakan otentikasi JWT (JSON Web Token) yang disematkan pada HTTP Authorization Header.</w:t>
      </w:r>
    </w:p>
    <w:p>
      <w:pPr>
        <w:pStyle w:val="ListBullet"/>
        <w:spacing w:after="80"/>
      </w:pPr>
      <w:r>
        <w:t>NFR-4.1.3: Rute API sensitif wajib dilewati melalui middleware pengecekan peran (verifyToken &amp; Role restriction).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4.2 Performance</w:t>
      </w:r>
    </w:p>
    <w:p>
      <w:pPr>
        <w:pStyle w:val="ListBullet"/>
        <w:spacing w:after="80"/>
      </w:pPr>
      <w:r>
        <w:t>NFR-4.2.1: Waktu pemuatan halaman dashboard utama harus di bawah 2 detik pada kecepatan koneksi standar.</w:t>
      </w:r>
    </w:p>
    <w:p>
      <w:pPr>
        <w:pStyle w:val="ListBullet"/>
        <w:spacing w:after="80"/>
      </w:pPr>
      <w:r>
        <w:t>NFR-4.2.2: API response time untuk pencarian/penyaringan data tiket di bawah 500ms.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4.3 High Availability &amp; Data Integrity</w:t>
      </w:r>
    </w:p>
    <w:p>
      <w:pPr>
        <w:pStyle w:val="ListBullet"/>
        <w:spacing w:after="80"/>
      </w:pPr>
      <w:r>
        <w:t>NFR-4.3.1: Koneksi database transaksi menggunakan PgBouncer pooler (port 6543) untuk menangani lonjakan request konkuren secara efisien.</w:t>
      </w:r>
    </w:p>
    <w:p>
      <w:pPr>
        <w:pStyle w:val="ListBullet"/>
        <w:spacing w:after="80"/>
      </w:pPr>
      <w:r>
        <w:t>NFR-4.3.2: Setiap aksi mutasi data wajib tercatat dalam log audit yang tidak dapat dimanipulasi oleh agen biasa.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5. Shared Service Cost Analysis &amp; Benchmarks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5.1 Cost per Ticket (CPT) Allocation</w:t>
      </w:r>
    </w:p>
    <w:p>
      <w:pPr>
        <w:spacing w:after="80"/>
      </w:pPr>
      <w:r>
        <w:t>Menggunakan alokasi pay-per-use berdasarkan iuran volume tiket terpakai. Estimasi model CPT:</w:t>
      </w:r>
    </w:p>
    <w:p>
      <w:pPr>
        <w:pStyle w:val="ListBullet"/>
        <w:spacing w:after="80"/>
      </w:pPr>
      <w:r>
        <w:t>Total Biaya Operasional Bulanan Helpdesk (Asumsi 3 Agents + 1 Team Lead + Server/Software): Rp35.000.000</w:t>
      </w:r>
    </w:p>
    <w:p>
      <w:pPr>
        <w:pStyle w:val="ListBullet"/>
        <w:spacing w:after="80"/>
      </w:pPr>
      <w:r>
        <w:t>Volume Tiket Bulanan Lintas Bisnis MRA: 800 Tiket</w:t>
      </w:r>
    </w:p>
    <w:p>
      <w:pPr>
        <w:pStyle w:val="ListBullet"/>
        <w:spacing w:after="80"/>
      </w:pPr>
      <w:r>
        <w:t>Biaya Per Tiket (CPT): Rp43.750 per Tiket</w:t>
      </w:r>
    </w:p>
    <w:p>
      <w:pPr>
        <w:pStyle w:val="ListBullet"/>
        <w:spacing w:after="80"/>
      </w:pPr>
      <w:r>
        <w:t>Benchmark Industri Lokal (Indonesia): Rp35.000 – Rp75.000 per tiket.</w:t>
      </w:r>
    </w:p>
    <w:p>
      <w:pPr>
        <w:pStyle w:val="ListBullet"/>
        <w:spacing w:after="80"/>
      </w:pPr>
      <w:r>
        <w:t>Benchmark Industri Global (HDI): $6 – $40 (Rp90.000 – Rp600.000) per tiket.</w:t>
      </w:r>
    </w:p>
    <w:p>
      <w:pPr>
        <w:pStyle w:val="Heading2"/>
        <w:keepNext/>
        <w:spacing w:before="240" w:after="80"/>
      </w:pPr>
      <w:r>
        <w:rPr>
          <w:rFonts w:ascii="Segoe UI" w:hAnsi="Segoe UI"/>
          <w:b/>
          <w:color w:val="475569"/>
          <w:sz w:val="28"/>
        </w:rPr>
        <w:t>5.2 Jam Kerja (Man-Hours) &amp; Jasa Harian (Daily Rate)</w:t>
      </w:r>
    </w:p>
    <w:p>
      <w:pPr>
        <w:pStyle w:val="ListBullet"/>
        <w:spacing w:after="80"/>
      </w:pPr>
      <w:r>
        <w:t>Rate Internal Man-Hours: ~Rp54.687 per Jam</w:t>
      </w:r>
    </w:p>
    <w:p>
      <w:pPr>
        <w:pStyle w:val="ListBullet"/>
        <w:spacing w:after="80"/>
      </w:pPr>
      <w:r>
        <w:t>Rate Jasa Harian (Daily Rate): ~Rp437.500 per Hari (8 Jam kerja per staf)</w:t>
      </w:r>
    </w:p>
    <w:p>
      <w:pPr>
        <w:pStyle w:val="ListBullet"/>
        <w:spacing w:after="80"/>
      </w:pPr>
      <w:r>
        <w:t>Outsourcing IT Ad-hoc Benchmark (Indonesia): Rp1.000.000 – Rp3.000.000 per hari (kunjungan onsite).</w:t>
      </w:r>
    </w:p>
    <w:p>
      <w:pPr>
        <w:pStyle w:val="ListBullet"/>
        <w:spacing w:after="80"/>
      </w:pPr>
      <w:r>
        <w:t>Dedicated Outsourcing Staffing: Rp5.000.000 – Rp15.000.000 per orang per bulan.</w:t>
      </w:r>
    </w:p>
    <w:p>
      <w:pPr>
        <w:pStyle w:val="Heading1"/>
        <w:keepNext/>
        <w:spacing w:before="240" w:after="80"/>
      </w:pPr>
      <w:r>
        <w:rPr>
          <w:rFonts w:ascii="Segoe UI" w:hAnsi="Segoe UI"/>
          <w:b/>
          <w:color w:val="0E7490"/>
          <w:sz w:val="36"/>
        </w:rPr>
        <w:t>6. Release &amp; Implementation Roadmap</w:t>
      </w:r>
    </w:p>
    <w:p>
      <w:pPr>
        <w:spacing w:after="120"/>
      </w:pPr>
      <w:r>
        <w:t>Roadmap peluncuran sistem dibagi ke dalam 3 Fase utama:</w:t>
      </w:r>
    </w:p>
    <w:p>
      <w:pPr>
        <w:pStyle w:val="ListBullet"/>
        <w:spacing w:after="80"/>
      </w:pPr>
      <w:r>
        <w:rPr>
          <w:b/>
        </w:rPr>
        <w:t xml:space="preserve">Fase 1: Core Helpdesk &amp; Asset Registry: </w:t>
      </w:r>
      <w:r>
        <w:t>Siklus hidup tiket &amp; input manual inventaris aset utama. Setup database schema &amp; custom auth. (Status: Complete)</w:t>
      </w:r>
    </w:p>
    <w:p>
      <w:pPr>
        <w:pStyle w:val="ListBullet"/>
        <w:spacing w:after="80"/>
      </w:pPr>
      <w:r>
        <w:rPr>
          <w:b/>
        </w:rPr>
        <w:t xml:space="preserve">Fase 2: SLA Engine, Journey &amp; Approvals: </w:t>
      </w:r>
      <w:r>
        <w:t>Penerapan SLA tracking &amp; auto-pause (Pending state). Asset Journey vertical timeline &amp; fileLink invoice attachment. Form input and security approval workflow. (Status: Ready for UAT)</w:t>
      </w:r>
    </w:p>
    <w:p>
      <w:pPr>
        <w:pStyle w:val="ListBullet"/>
        <w:spacing w:after="80"/>
      </w:pPr>
      <w:r>
        <w:rPr>
          <w:b/>
        </w:rPr>
        <w:t xml:space="preserve">Fase 3: Shared Service Billing &amp; Integration: </w:t>
      </w:r>
      <w:r>
        <w:t>Modul kalkulasi Cost per Ticket &amp; dashboard alokasi biaya anak perusahaan. Integrasi database silang (Cross-schema query) dengan GA System Inventory MRA. (Status: Backlog)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