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b/>
          <w:color w:val="1B365D"/>
          <w:sz w:val="52"/>
        </w:rPr>
        <w:t>MRA Executive Dashboard</w:t>
      </w:r>
    </w:p>
    <w:p>
      <w:pPr>
        <w:spacing w:after="480"/>
      </w:pPr>
      <w:r>
        <w:rPr>
          <w:color w:val="0C4A60"/>
          <w:sz w:val="28"/>
        </w:rPr>
        <w:t>Product Requirements (PRD) Business Mapping &amp; Integration Roadmap</w:t>
      </w:r>
    </w:p>
    <w:p>
      <w:pPr>
        <w:spacing w:after="360"/>
      </w:pPr>
      <w:r>
        <w:rPr>
          <w:color w:val="94A3B8"/>
          <w:sz w:val="20"/>
        </w:rPr>
        <w:t>―――――――――――――――――――――――――――――――――――――――――――――</w:t>
      </w:r>
    </w:p>
    <w:p>
      <w:pPr>
        <w:spacing w:after="240" w:line="276" w:lineRule="auto"/>
      </w:pPr>
      <w:r>
        <w:t>Dokumen ini menyediakan pemetaan komprehensif atas seluruh 60 metrik bisnis dan variabel yang tercantum dalam Product Requirement Document (PRD) MRA Executive Dashboard. Pemetaan ini dirancang khusus untuk memandu tim manajemen bisnis dan integrasi sistem IT dalam merencanakan koneksi data riil dari sistem ERP NetSuite, ERP Retailsoft, atau API eksternal.</w:t>
      </w:r>
    </w:p>
    <w:p>
      <w:pPr>
        <w:spacing w:before="320" w:after="160"/>
      </w:pPr>
      <w:r>
        <w:rPr>
          <w:b/>
          <w:color w:val="1B365D"/>
          <w:sz w:val="24"/>
        </w:rPr>
        <w:t>Alur Kerja Data &amp; Visualisasi Arsitektur Integrasi:</w:t>
      </w:r>
    </w:p>
    <w:p>
      <w:pPr>
        <w:spacing w:before="200" w:after="200"/>
        <w:jc w:val="center"/>
      </w:pPr>
      <w:r>
        <w:drawing>
          <wp:inline xmlns:a="http://schemas.openxmlformats.org/drawingml/2006/main" xmlns:pic="http://schemas.openxmlformats.org/drawingml/2006/picture">
            <wp:extent cx="5669280" cy="5669280"/>
            <wp:docPr id="1" name="Picture 1"/>
            <wp:cNvGraphicFramePr>
              <a:graphicFrameLocks noChangeAspect="1"/>
            </wp:cNvGraphicFramePr>
            <a:graphic>
              <a:graphicData uri="http://schemas.openxmlformats.org/drawingml/2006/picture">
                <pic:pic>
                  <pic:nvPicPr>
                    <pic:cNvPr id="0" name="dashboard_data_flow_chart_netsuite_1780800406497.png"/>
                    <pic:cNvPicPr/>
                  </pic:nvPicPr>
                  <pic:blipFill>
                    <a:blip r:embed="rId9"/>
                    <a:stretch>
                      <a:fillRect/>
                    </a:stretch>
                  </pic:blipFill>
                  <pic:spPr>
                    <a:xfrm>
                      <a:off x="0" y="0"/>
                      <a:ext cx="5669280" cy="5669280"/>
                    </a:xfrm>
                    <a:prstGeom prst="rect"/>
                  </pic:spPr>
                </pic:pic>
              </a:graphicData>
            </a:graphic>
          </wp:inline>
        </w:drawing>
      </w:r>
    </w:p>
    <w:p>
      <w:pPr>
        <w:spacing w:after="360"/>
        <w:jc w:val="center"/>
      </w:pPr>
      <w:r>
        <w:rPr>
          <w:i/>
          <w:color w:val="94A3B8"/>
          <w:sz w:val="17"/>
        </w:rPr>
        <w:t>Gambar 1: Alur Kerja Integrasi Data (NetSuite &amp; Retailsoft -&gt; Database -&gt; Frontend Dashboard)</w:t>
      </w:r>
    </w:p>
    <w:p>
      <w:pPr>
        <w:spacing w:before="320" w:after="120"/>
      </w:pPr>
      <w:r>
        <w:rPr>
          <w:b/>
          <w:color w:val="1B365D"/>
          <w:sz w:val="24"/>
        </w:rPr>
        <w:t>Metode Konektivitas Target (Production):</w:t>
      </w:r>
    </w:p>
    <w:p>
      <w:pPr>
        <w:pStyle w:val="ListBullet"/>
        <w:spacing w:after="60"/>
      </w:pPr>
      <w:r>
        <w:rPr>
          <w:b/>
        </w:rPr>
        <w:t xml:space="preserve">ERP Connection: </w:t>
      </w:r>
      <w:r>
        <w:t>Koneksi langsung ke database buku besar terpusat NetSuite untuk memantau data keuangan grup.</w:t>
      </w:r>
    </w:p>
    <w:p>
      <w:pPr>
        <w:pStyle w:val="ListBullet"/>
        <w:spacing w:after="60"/>
      </w:pPr>
      <w:r>
        <w:rPr>
          <w:b/>
        </w:rPr>
        <w:t xml:space="preserve">POS API Connection: </w:t>
      </w:r>
      <w:r>
        <w:t>Koneksi API real-time dari Retailsoft ERP/POS untuk melacak transaksi penjualan harian outlet.</w:t>
      </w:r>
    </w:p>
    <w:p>
      <w:pPr>
        <w:pStyle w:val="ListBullet"/>
        <w:spacing w:after="60"/>
      </w:pPr>
      <w:r>
        <w:rPr>
          <w:b/>
        </w:rPr>
        <w:t xml:space="preserve">API Integration: </w:t>
      </w:r>
      <w:r>
        <w:t>Koneksi ke layanan pihak ketiga (seperti API Kurs ECB atau sistem absensi/data HRIS Talenta).</w:t>
      </w:r>
    </w:p>
    <w:p>
      <w:pPr>
        <w:pStyle w:val="ListBullet"/>
        <w:spacing w:after="360"/>
      </w:pPr>
      <w:r>
        <w:rPr>
          <w:b/>
        </w:rPr>
        <w:t xml:space="preserve">Manual Upload: </w:t>
      </w:r>
      <w:r>
        <w:t>Pengunggahan berkas berkala (seperti Excel) melalui admin panel untuk data kepatuhan hukum yang tidak memiliki database otomatis.</w:t>
      </w:r>
    </w:p>
    <w:p>
      <w:r>
        <w:br w:type="page"/>
      </w:r>
    </w:p>
    <w:p>
      <w:pPr>
        <w:spacing w:before="400" w:after="200"/>
      </w:pPr>
      <w:r>
        <w:rPr>
          <w:b/>
          <w:color w:val="1B365D"/>
          <w:sz w:val="28"/>
        </w:rPr>
        <w:t>1. Matriks Pemetaan Variabel Bisnis &amp; Celah Pengembangan (Gaps)</w:t>
      </w:r>
    </w:p>
    <w:tbl>
      <w:tblPr>
        <w:tblW w:type="auto" w:w="0"/>
        <w:tblLayout w:type="autofit"/>
        <w:tblLook w:firstColumn="1" w:firstRow="1" w:lastColumn="0" w:lastRow="0" w:noHBand="0" w:noVBand="1" w:val="04A0"/>
      </w:tblPr>
      <w:tblGrid>
        <w:gridCol w:w="2484"/>
        <w:gridCol w:w="2484"/>
        <w:gridCol w:w="2484"/>
        <w:gridCol w:w="2484"/>
      </w:tblGrid>
      <w:tr>
        <w:tc>
          <w:tcPr>
            <w:tcW w:type="dxa" w:w="2484"/>
            <w:shd w:fill="1B365D"/>
            <w:tcMar>
              <w:top w:w="100" w:type="dxa"/>
              <w:bottom w:w="100" w:type="dxa"/>
              <w:left w:w="120" w:type="dxa"/>
              <w:right w:w="120" w:type="dxa"/>
            </w:tcMar>
          </w:tcPr>
          <w:p>
            <w:pPr>
              <w:spacing w:before="120" w:after="120"/>
            </w:pPr>
            <w:r>
              <w:rPr>
                <w:b/>
                <w:color w:val="FFFFFF"/>
                <w:sz w:val="19"/>
              </w:rPr>
              <w:t>Metrik / Variabel PRD</w:t>
            </w:r>
          </w:p>
        </w:tc>
        <w:tc>
          <w:tcPr>
            <w:tcW w:type="dxa" w:w="2484"/>
            <w:shd w:fill="1B365D"/>
            <w:tcMar>
              <w:top w:w="100" w:type="dxa"/>
              <w:bottom w:w="100" w:type="dxa"/>
              <w:left w:w="120" w:type="dxa"/>
              <w:right w:w="120" w:type="dxa"/>
            </w:tcMar>
          </w:tcPr>
          <w:p>
            <w:pPr>
              <w:spacing w:before="120" w:after="120"/>
            </w:pPr>
            <w:r>
              <w:rPr>
                <w:b/>
                <w:color w:val="FFFFFF"/>
                <w:sz w:val="19"/>
              </w:rPr>
              <w:t>Target Koneksi</w:t>
            </w:r>
          </w:p>
        </w:tc>
        <w:tc>
          <w:tcPr>
            <w:tcW w:type="dxa" w:w="2484"/>
            <w:shd w:fill="1B365D"/>
            <w:tcMar>
              <w:top w:w="100" w:type="dxa"/>
              <w:bottom w:w="100" w:type="dxa"/>
              <w:left w:w="120" w:type="dxa"/>
              <w:right w:w="120" w:type="dxa"/>
            </w:tcMar>
          </w:tcPr>
          <w:p>
            <w:pPr>
              <w:spacing w:before="120" w:after="120"/>
            </w:pPr>
            <w:r>
              <w:rPr>
                <w:b/>
                <w:color w:val="FFFFFF"/>
                <w:sz w:val="19"/>
              </w:rPr>
              <w:t>Deskripsi Fungsional Bisnis</w:t>
            </w:r>
          </w:p>
        </w:tc>
        <w:tc>
          <w:tcPr>
            <w:tcW w:type="dxa" w:w="2484"/>
            <w:shd w:fill="1B365D"/>
            <w:tcMar>
              <w:top w:w="100" w:type="dxa"/>
              <w:bottom w:w="100" w:type="dxa"/>
              <w:left w:w="120" w:type="dxa"/>
              <w:right w:w="120" w:type="dxa"/>
            </w:tcMar>
          </w:tcPr>
          <w:p>
            <w:pPr>
              <w:spacing w:before="120" w:after="120"/>
            </w:pPr>
            <w:r>
              <w:rPr>
                <w:b/>
                <w:color w:val="FFFFFF"/>
                <w:sz w:val="19"/>
              </w:rPr>
              <w:t>Strategic Enhancement / Gaps</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FINANCIAL &amp; PERFORMANCE METRICS</w:t>
            </w:r>
          </w:p>
        </w:tc>
      </w:tr>
      <w:tr>
        <w:tc>
          <w:tcPr>
            <w:tcW w:type="dxa" w:w="2484"/>
            <w:tcMar>
              <w:top w:w="80" w:type="dxa"/>
              <w:bottom w:w="80" w:type="dxa"/>
              <w:left w:w="100" w:type="dxa"/>
              <w:right w:w="100" w:type="dxa"/>
            </w:tcMar>
            <w:shd w:fill="F9FAFB"/>
          </w:tcPr>
          <w:p>
            <w:pPr>
              <w:spacing w:before="80" w:after="80"/>
            </w:pPr>
            <w:r>
              <w:rPr>
                <w:sz w:val="17"/>
              </w:rPr>
              <w:t>Group Revenue</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Consolidates total gross sales performance across Retail, F&amp;B, and Media segments. Enables executives to monitor gross sales velocity, track segment contribution, and view unified metrics in real-time. Features currency conversion to support multi-currency board reviews and security masking to hide numeric data when displaying the dashboard publicly.</w:t>
            </w:r>
          </w:p>
        </w:tc>
        <w:tc>
          <w:tcPr>
            <w:tcW w:type="dxa" w:w="2484"/>
            <w:tcMar>
              <w:top w:w="80" w:type="dxa"/>
              <w:bottom w:w="80" w:type="dxa"/>
              <w:left w:w="100" w:type="dxa"/>
              <w:right w:w="100" w:type="dxa"/>
            </w:tcMar>
            <w:shd w:fill="F9FAFB"/>
          </w:tcPr>
          <w:p>
            <w:pPr>
              <w:spacing w:before="80" w:after="80"/>
            </w:pPr>
            <w:r>
              <w:rPr>
                <w:sz w:val="17"/>
              </w:rPr>
              <w:t>Future roadmap should integrate automated daily API data extraction directly from NetSuite or Retailsoft ERPs to replace mock baselines and support live sales updates.</w:t>
            </w:r>
          </w:p>
        </w:tc>
      </w:tr>
      <w:tr>
        <w:tc>
          <w:tcPr>
            <w:tcW w:type="dxa" w:w="2484"/>
            <w:tcMar>
              <w:top w:w="80" w:type="dxa"/>
              <w:bottom w:w="80" w:type="dxa"/>
              <w:left w:w="100" w:type="dxa"/>
              <w:right w:w="100" w:type="dxa"/>
            </w:tcMar>
            <w:shd w:fill="FFFFFF"/>
          </w:tcPr>
          <w:p>
            <w:pPr>
              <w:spacing w:before="80" w:after="80"/>
            </w:pPr>
            <w:r>
              <w:rPr>
                <w:sz w:val="17"/>
              </w:rPr>
              <w:t>Operational expense summary</w:t>
            </w:r>
          </w:p>
        </w:tc>
        <w:tc>
          <w:tcPr>
            <w:tcW w:type="dxa" w:w="2484"/>
            <w:tcMar>
              <w:top w:w="80" w:type="dxa"/>
              <w:bottom w:w="80" w:type="dxa"/>
              <w:left w:w="100" w:type="dxa"/>
              <w:right w:w="100" w:type="dxa"/>
            </w:tcMar>
            <w:shd w:fill="FFFFFF"/>
          </w:tcPr>
          <w:p>
            <w:pPr>
              <w:spacing w:before="80" w:after="80"/>
            </w:pPr>
            <w:r>
              <w:rPr>
                <w:sz w:val="17"/>
              </w:rPr>
              <w:t>ERP Connection</w:t>
            </w:r>
          </w:p>
        </w:tc>
        <w:tc>
          <w:tcPr>
            <w:tcW w:type="dxa" w:w="2484"/>
            <w:tcMar>
              <w:top w:w="80" w:type="dxa"/>
              <w:bottom w:w="80" w:type="dxa"/>
              <w:left w:w="100" w:type="dxa"/>
              <w:right w:w="100" w:type="dxa"/>
            </w:tcMar>
            <w:shd w:fill="FFFFFF"/>
          </w:tcPr>
          <w:p>
            <w:pPr>
              <w:spacing w:before="80" w:after="80"/>
            </w:pPr>
            <w:r>
              <w:rPr>
                <w:sz w:val="17"/>
              </w:rPr>
              <w:t>Aggregates general operational overheads (salaries, rent, marketing, utilities) to monitor cash outflows. Includes an interactive OPEX Efficiency simulator that allows executives to test cost-reduction scenarios (e.g. scaling OPEX down) to instantly forecast profitability impacts.</w:t>
            </w:r>
          </w:p>
        </w:tc>
        <w:tc>
          <w:tcPr>
            <w:tcW w:type="dxa" w:w="2484"/>
            <w:tcMar>
              <w:top w:w="80" w:type="dxa"/>
              <w:bottom w:w="80" w:type="dxa"/>
              <w:left w:w="100" w:type="dxa"/>
              <w:right w:w="100" w:type="dxa"/>
            </w:tcMar>
            <w:shd w:fill="FFFFFF"/>
          </w:tcPr>
          <w:p>
            <w:pPr>
              <w:spacing w:before="80" w:after="80"/>
            </w:pPr>
            <w:r>
              <w:rPr>
                <w:sz w:val="17"/>
              </w:rPr>
              <w:t>Lacks granular sub-ledger categories directly in the main grid. Future enhancement should integrate NetSuite cost center transaction ledgers to detail office-level travel, lease, or IT support expenses.</w:t>
            </w:r>
          </w:p>
        </w:tc>
      </w:tr>
      <w:tr>
        <w:tc>
          <w:tcPr>
            <w:tcW w:type="dxa" w:w="2484"/>
            <w:tcMar>
              <w:top w:w="80" w:type="dxa"/>
              <w:bottom w:w="80" w:type="dxa"/>
              <w:left w:w="100" w:type="dxa"/>
              <w:right w:w="100" w:type="dxa"/>
            </w:tcMar>
            <w:shd w:fill="F9FAFB"/>
          </w:tcPr>
          <w:p>
            <w:pPr>
              <w:spacing w:before="80" w:after="80"/>
            </w:pPr>
            <w:r>
              <w:rPr>
                <w:sz w:val="17"/>
              </w:rPr>
              <w:t>EBITDA</w:t>
            </w:r>
          </w:p>
        </w:tc>
        <w:tc>
          <w:tcPr>
            <w:tcW w:type="dxa" w:w="2484"/>
            <w:tcMar>
              <w:top w:w="80" w:type="dxa"/>
              <w:bottom w:w="80" w:type="dxa"/>
              <w:left w:w="100" w:type="dxa"/>
              <w:right w:w="100" w:type="dxa"/>
            </w:tcMar>
            <w:shd w:fill="F9FAFB"/>
          </w:tcPr>
          <w:p>
            <w:pPr>
              <w:spacing w:before="80" w:after="80"/>
            </w:pPr>
            <w:r>
              <w:rPr>
                <w:sz w:val="17"/>
              </w:rPr>
              <w:t>ERP Calculation</w:t>
            </w:r>
          </w:p>
        </w:tc>
        <w:tc>
          <w:tcPr>
            <w:tcW w:type="dxa" w:w="2484"/>
            <w:tcMar>
              <w:top w:w="80" w:type="dxa"/>
              <w:bottom w:w="80" w:type="dxa"/>
              <w:left w:w="100" w:type="dxa"/>
              <w:right w:w="100" w:type="dxa"/>
            </w:tcMar>
            <w:shd w:fill="F9FAFB"/>
          </w:tcPr>
          <w:p>
            <w:pPr>
              <w:spacing w:before="80" w:after="80"/>
            </w:pPr>
            <w:r>
              <w:rPr>
                <w:sz w:val="17"/>
              </w:rPr>
              <w:t>Measures operating profitability before interest, tax, depreciation, and amortization to assess core business unit efficiency. Serves as a key metric to compare performance across highly diverse brands (e.g. F&amp;B vs Luxury Retail). Scales dynamically with scenario simulation variables.</w:t>
            </w:r>
          </w:p>
        </w:tc>
        <w:tc>
          <w:tcPr>
            <w:tcW w:type="dxa" w:w="2484"/>
            <w:tcMar>
              <w:top w:w="80" w:type="dxa"/>
              <w:bottom w:w="80" w:type="dxa"/>
              <w:left w:w="100" w:type="dxa"/>
              <w:right w:w="100" w:type="dxa"/>
            </w:tcMar>
            <w:shd w:fill="F9FAFB"/>
          </w:tcPr>
          <w:p>
            <w:pPr>
              <w:spacing w:before="80" w:after="80"/>
            </w:pPr>
            <w:r>
              <w:rPr>
                <w:sz w:val="17"/>
              </w:rPr>
              <w:t>Head office corporate overhead costs are currently unallocated. Recommend defining corporate cost allocation keys (e.g., based on brand revenue share or headcount) to attribute central NetSuite expenses to individual subsidiaries.</w:t>
            </w:r>
          </w:p>
        </w:tc>
      </w:tr>
      <w:tr>
        <w:tc>
          <w:tcPr>
            <w:tcW w:type="dxa" w:w="2484"/>
            <w:tcMar>
              <w:top w:w="80" w:type="dxa"/>
              <w:bottom w:w="80" w:type="dxa"/>
              <w:left w:w="100" w:type="dxa"/>
              <w:right w:w="100" w:type="dxa"/>
            </w:tcMar>
            <w:shd w:fill="FFFFFF"/>
          </w:tcPr>
          <w:p>
            <w:pPr>
              <w:spacing w:before="80" w:after="80"/>
            </w:pPr>
            <w:r>
              <w:rPr>
                <w:sz w:val="17"/>
              </w:rPr>
              <w:t>Gross Profit</w:t>
            </w:r>
          </w:p>
        </w:tc>
        <w:tc>
          <w:tcPr>
            <w:tcW w:type="dxa" w:w="2484"/>
            <w:tcMar>
              <w:top w:w="80" w:type="dxa"/>
              <w:bottom w:w="80" w:type="dxa"/>
              <w:left w:w="100" w:type="dxa"/>
              <w:right w:w="100" w:type="dxa"/>
            </w:tcMar>
            <w:shd w:fill="FFFFFF"/>
          </w:tcPr>
          <w:p>
            <w:pPr>
              <w:spacing w:before="80" w:after="80"/>
            </w:pPr>
            <w:r>
              <w:rPr>
                <w:sz w:val="17"/>
              </w:rPr>
              <w:t>ERP Calculation</w:t>
            </w:r>
          </w:p>
        </w:tc>
        <w:tc>
          <w:tcPr>
            <w:tcW w:type="dxa" w:w="2484"/>
            <w:tcMar>
              <w:top w:w="80" w:type="dxa"/>
              <w:bottom w:w="80" w:type="dxa"/>
              <w:left w:w="100" w:type="dxa"/>
              <w:right w:w="100" w:type="dxa"/>
            </w:tcMar>
            <w:shd w:fill="FFFFFF"/>
          </w:tcPr>
          <w:p>
            <w:pPr>
              <w:spacing w:before="80" w:after="80"/>
            </w:pPr>
            <w:r>
              <w:rPr>
                <w:sz w:val="17"/>
              </w:rPr>
              <w:t>Tracks revenue minus direct Cost of Goods Sold (COGS). Allows the management to evaluate product pricing strategies, sourcing efficiency, and inventory margin health across all business units.</w:t>
            </w:r>
          </w:p>
        </w:tc>
        <w:tc>
          <w:tcPr>
            <w:tcW w:type="dxa" w:w="2484"/>
            <w:tcMar>
              <w:top w:w="80" w:type="dxa"/>
              <w:bottom w:w="80" w:type="dxa"/>
              <w:left w:w="100" w:type="dxa"/>
              <w:right w:w="100" w:type="dxa"/>
            </w:tcMar>
            <w:shd w:fill="FFFFFF"/>
          </w:tcPr>
          <w:p>
            <w:pPr>
              <w:spacing w:before="80" w:after="80"/>
            </w:pPr>
            <w:r>
              <w:rPr>
                <w:sz w:val="17"/>
              </w:rPr>
              <w:t>Does not support itemized product category margin analysis (e.g., F&amp;B raw food materials margins vs Retail high-end luxury items margins). Recommend building a product category profit margin drilldown.</w:t>
            </w:r>
          </w:p>
        </w:tc>
      </w:tr>
      <w:tr>
        <w:tc>
          <w:tcPr>
            <w:tcW w:type="dxa" w:w="2484"/>
            <w:tcMar>
              <w:top w:w="80" w:type="dxa"/>
              <w:bottom w:w="80" w:type="dxa"/>
              <w:left w:w="100" w:type="dxa"/>
              <w:right w:w="100" w:type="dxa"/>
            </w:tcMar>
            <w:shd w:fill="F9FAFB"/>
          </w:tcPr>
          <w:p>
            <w:pPr>
              <w:spacing w:before="80" w:after="80"/>
            </w:pPr>
            <w:r>
              <w:rPr>
                <w:sz w:val="17"/>
              </w:rPr>
              <w:t>Net Profit</w:t>
            </w:r>
          </w:p>
        </w:tc>
        <w:tc>
          <w:tcPr>
            <w:tcW w:type="dxa" w:w="2484"/>
            <w:tcMar>
              <w:top w:w="80" w:type="dxa"/>
              <w:bottom w:w="80" w:type="dxa"/>
              <w:left w:w="100" w:type="dxa"/>
              <w:right w:w="100" w:type="dxa"/>
            </w:tcMar>
            <w:shd w:fill="F9FAFB"/>
          </w:tcPr>
          <w:p>
            <w:pPr>
              <w:spacing w:before="80" w:after="80"/>
            </w:pPr>
            <w:r>
              <w:rPr>
                <w:sz w:val="17"/>
              </w:rPr>
              <w:t>ERP Calculation</w:t>
            </w:r>
          </w:p>
        </w:tc>
        <w:tc>
          <w:tcPr>
            <w:tcW w:type="dxa" w:w="2484"/>
            <w:tcMar>
              <w:top w:w="80" w:type="dxa"/>
              <w:bottom w:w="80" w:type="dxa"/>
              <w:left w:w="100" w:type="dxa"/>
              <w:right w:w="100" w:type="dxa"/>
            </w:tcMar>
            <w:shd w:fill="F9FAFB"/>
          </w:tcPr>
          <w:p>
            <w:pPr>
              <w:spacing w:before="80" w:after="80"/>
            </w:pPr>
            <w:r>
              <w:rPr>
                <w:sz w:val="17"/>
              </w:rPr>
              <w:t>Represents the ultimate bottom-line profitability after all costs, interest, and taxes are deducted. Used by the Board to calculate return on equity (ROE) and plan dividend distributions. Computes corporate tax rate dynamically at 22%.</w:t>
            </w:r>
          </w:p>
        </w:tc>
        <w:tc>
          <w:tcPr>
            <w:tcW w:type="dxa" w:w="2484"/>
            <w:tcMar>
              <w:top w:w="80" w:type="dxa"/>
              <w:bottom w:w="80" w:type="dxa"/>
              <w:left w:w="100" w:type="dxa"/>
              <w:right w:w="100" w:type="dxa"/>
            </w:tcMar>
            <w:shd w:fill="F9FAFB"/>
          </w:tcPr>
          <w:p>
            <w:pPr>
              <w:spacing w:before="80" w:after="80"/>
            </w:pPr>
            <w:r>
              <w:rPr>
                <w:sz w:val="17"/>
              </w:rPr>
              <w:t>Ignores extraordinary items, discontinued operations, or deferred taxes. Tax calculations are set to a static rate. Future versions should support input fields for deferred tax assets/liabilities and interest expenses in NetSuite.</w:t>
            </w:r>
          </w:p>
        </w:tc>
      </w:tr>
      <w:tr>
        <w:tc>
          <w:tcPr>
            <w:tcW w:type="dxa" w:w="2484"/>
            <w:tcMar>
              <w:top w:w="80" w:type="dxa"/>
              <w:bottom w:w="80" w:type="dxa"/>
              <w:left w:w="100" w:type="dxa"/>
              <w:right w:w="100" w:type="dxa"/>
            </w:tcMar>
            <w:shd w:fill="FFFFFF"/>
          </w:tcPr>
          <w:p>
            <w:pPr>
              <w:spacing w:before="80" w:after="80"/>
            </w:pPr>
            <w:r>
              <w:rPr>
                <w:sz w:val="17"/>
              </w:rPr>
              <w:t>Revenue Growth YoY</w:t>
            </w:r>
          </w:p>
        </w:tc>
        <w:tc>
          <w:tcPr>
            <w:tcW w:type="dxa" w:w="2484"/>
            <w:tcMar>
              <w:top w:w="80" w:type="dxa"/>
              <w:bottom w:w="80" w:type="dxa"/>
              <w:left w:w="100" w:type="dxa"/>
              <w:right w:w="100" w:type="dxa"/>
            </w:tcMar>
            <w:shd w:fill="FFFFFF"/>
          </w:tcPr>
          <w:p>
            <w:pPr>
              <w:spacing w:before="80" w:after="80"/>
            </w:pPr>
            <w:r>
              <w:rPr>
                <w:sz w:val="17"/>
              </w:rPr>
              <w:t>API/ERP Calculation</w:t>
            </w:r>
          </w:p>
        </w:tc>
        <w:tc>
          <w:tcPr>
            <w:tcW w:type="dxa" w:w="2484"/>
            <w:tcMar>
              <w:top w:w="80" w:type="dxa"/>
              <w:bottom w:w="80" w:type="dxa"/>
              <w:left w:w="100" w:type="dxa"/>
              <w:right w:w="100" w:type="dxa"/>
            </w:tcMar>
            <w:shd w:fill="FFFFFF"/>
          </w:tcPr>
          <w:p>
            <w:pPr>
              <w:spacing w:before="80" w:after="80"/>
            </w:pPr>
            <w:r>
              <w:rPr>
                <w:sz w:val="17"/>
              </w:rPr>
              <w:t>Compares sales performance of the current period against the same period of the prior year. Serves as a primary metric to assess market expansion, brand traction, and organic growth speed.</w:t>
            </w:r>
          </w:p>
        </w:tc>
        <w:tc>
          <w:tcPr>
            <w:tcW w:type="dxa" w:w="2484"/>
            <w:tcMar>
              <w:top w:w="80" w:type="dxa"/>
              <w:bottom w:w="80" w:type="dxa"/>
              <w:left w:w="100" w:type="dxa"/>
              <w:right w:w="100" w:type="dxa"/>
            </w:tcMar>
            <w:shd w:fill="FFFFFF"/>
          </w:tcPr>
          <w:p>
            <w:pPr>
              <w:spacing w:before="80" w:after="80"/>
            </w:pPr>
            <w:r>
              <w:rPr>
                <w:sz w:val="17"/>
              </w:rPr>
              <w:t>Does not support multi-year historical trend line comparisons. Future expansion should include a line-overlay chart comparing monthly trends for the last three fiscal years.</w:t>
            </w:r>
          </w:p>
        </w:tc>
      </w:tr>
      <w:tr>
        <w:tc>
          <w:tcPr>
            <w:tcW w:type="dxa" w:w="2484"/>
            <w:tcMar>
              <w:top w:w="80" w:type="dxa"/>
              <w:bottom w:w="80" w:type="dxa"/>
              <w:left w:w="100" w:type="dxa"/>
              <w:right w:w="100" w:type="dxa"/>
            </w:tcMar>
            <w:shd w:fill="F9FAFB"/>
          </w:tcPr>
          <w:p>
            <w:pPr>
              <w:spacing w:before="80" w:after="80"/>
            </w:pPr>
            <w:r>
              <w:rPr>
                <w:sz w:val="17"/>
              </w:rPr>
              <w:t>Bisnis Unit Performance (F&amp;B, Retail, Media)</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Provides segmented data filters that allow executives to isolate and evaluate the performance of individual business divisions (F&amp;B, Retail, Media) separately from consolidated group data.</w:t>
            </w:r>
          </w:p>
        </w:tc>
        <w:tc>
          <w:tcPr>
            <w:tcW w:type="dxa" w:w="2484"/>
            <w:tcMar>
              <w:top w:w="80" w:type="dxa"/>
              <w:bottom w:w="80" w:type="dxa"/>
              <w:left w:w="100" w:type="dxa"/>
              <w:right w:w="100" w:type="dxa"/>
            </w:tcMar>
            <w:shd w:fill="F9FAFB"/>
          </w:tcPr>
          <w:p>
            <w:pPr>
              <w:spacing w:before="80" w:after="80"/>
            </w:pPr>
            <w:r>
              <w:rPr>
                <w:sz w:val="17"/>
              </w:rPr>
              <w:t>Inter-company transactions (e.g., internal media services billed to retail brands) are not yet eliminated, which could inflate consolidated revenue. Recommend adding an 'Eliminations' column/account to balance inter-segment sales.</w:t>
            </w:r>
          </w:p>
        </w:tc>
      </w:tr>
      <w:tr>
        <w:tc>
          <w:tcPr>
            <w:tcW w:type="dxa" w:w="2484"/>
            <w:tcMar>
              <w:top w:w="80" w:type="dxa"/>
              <w:bottom w:w="80" w:type="dxa"/>
              <w:left w:w="100" w:type="dxa"/>
              <w:right w:w="100" w:type="dxa"/>
            </w:tcMar>
            <w:shd w:fill="FFFFFF"/>
          </w:tcPr>
          <w:p>
            <w:pPr>
              <w:spacing w:before="80" w:after="80"/>
            </w:pPr>
            <w:r>
              <w:rPr>
                <w:sz w:val="17"/>
              </w:rPr>
              <w:t>Budget vs Actual</w:t>
            </w:r>
          </w:p>
        </w:tc>
        <w:tc>
          <w:tcPr>
            <w:tcW w:type="dxa" w:w="2484"/>
            <w:tcMar>
              <w:top w:w="80" w:type="dxa"/>
              <w:bottom w:w="80" w:type="dxa"/>
              <w:left w:w="100" w:type="dxa"/>
              <w:right w:w="100" w:type="dxa"/>
            </w:tcMar>
            <w:shd w:fill="FFFFFF"/>
          </w:tcPr>
          <w:p>
            <w:pPr>
              <w:spacing w:before="80" w:after="80"/>
            </w:pPr>
            <w:r>
              <w:rPr>
                <w:sz w:val="17"/>
              </w:rPr>
              <w:t>ERP / Manual Upload</w:t>
            </w:r>
          </w:p>
        </w:tc>
        <w:tc>
          <w:tcPr>
            <w:tcW w:type="dxa" w:w="2484"/>
            <w:tcMar>
              <w:top w:w="80" w:type="dxa"/>
              <w:bottom w:w="80" w:type="dxa"/>
              <w:left w:w="100" w:type="dxa"/>
              <w:right w:w="100" w:type="dxa"/>
            </w:tcMar>
            <w:shd w:fill="FFFFFF"/>
          </w:tcPr>
          <w:p>
            <w:pPr>
              <w:spacing w:before="80" w:after="80"/>
            </w:pPr>
            <w:r>
              <w:rPr>
                <w:sz w:val="17"/>
              </w:rPr>
              <w:t>Measures target achievement rate to evaluate whether brands are meeting their financial goals. Visualized as dynamic progress bars showing budget fulfillment percentages across brands.</w:t>
            </w:r>
          </w:p>
        </w:tc>
        <w:tc>
          <w:tcPr>
            <w:tcW w:type="dxa" w:w="2484"/>
            <w:tcMar>
              <w:top w:w="80" w:type="dxa"/>
              <w:bottom w:w="80" w:type="dxa"/>
              <w:left w:w="100" w:type="dxa"/>
              <w:right w:w="100" w:type="dxa"/>
            </w:tcMar>
            <w:shd w:fill="FFFFFF"/>
          </w:tcPr>
          <w:p>
            <w:pPr>
              <w:spacing w:before="80" w:after="80"/>
            </w:pPr>
            <w:r>
              <w:rPr>
                <w:sz w:val="17"/>
              </w:rPr>
              <w:t>Budgets are distributed linearly across months without seasonal weight factors. F&amp;B and Retail segments have heavy seasonal sales curves (e.g. Eid, Christmas). Recommend implementing custom budget upload sheets that support seasonality weights.</w:t>
            </w:r>
          </w:p>
        </w:tc>
      </w:tr>
      <w:tr>
        <w:tc>
          <w:tcPr>
            <w:tcW w:type="dxa" w:w="2484"/>
            <w:tcMar>
              <w:top w:w="80" w:type="dxa"/>
              <w:bottom w:w="80" w:type="dxa"/>
              <w:left w:w="100" w:type="dxa"/>
              <w:right w:w="100" w:type="dxa"/>
            </w:tcMar>
            <w:shd w:fill="F9FAFB"/>
          </w:tcPr>
          <w:p>
            <w:pPr>
              <w:spacing w:before="80" w:after="80"/>
            </w:pPr>
            <w:r>
              <w:rPr>
                <w:sz w:val="17"/>
              </w:rPr>
              <w:t>Actual vs Last Year</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Direct trend comparison against prior year performance, helping identify seasonal shifts or declining product demand.</w:t>
            </w:r>
          </w:p>
        </w:tc>
        <w:tc>
          <w:tcPr>
            <w:tcW w:type="dxa" w:w="2484"/>
            <w:tcMar>
              <w:top w:w="80" w:type="dxa"/>
              <w:bottom w:w="80" w:type="dxa"/>
              <w:left w:w="100" w:type="dxa"/>
              <w:right w:w="100" w:type="dxa"/>
            </w:tcMar>
            <w:shd w:fill="F9FAFB"/>
          </w:tcPr>
          <w:p>
            <w:pPr>
              <w:spacing w:before="80" w:after="80"/>
            </w:pPr>
            <w:r>
              <w:rPr>
                <w:sz w:val="17"/>
              </w:rPr>
              <w:t>Lacks segment-level YoY distribution comparison tables. Recommend adding a toggle to view segment contribution to overall YoY growth in a clean data grid.</w:t>
            </w:r>
          </w:p>
        </w:tc>
      </w:tr>
      <w:tr>
        <w:tc>
          <w:tcPr>
            <w:tcW w:type="dxa" w:w="2484"/>
            <w:tcMar>
              <w:top w:w="80" w:type="dxa"/>
              <w:bottom w:w="80" w:type="dxa"/>
              <w:left w:w="100" w:type="dxa"/>
              <w:right w:w="100" w:type="dxa"/>
            </w:tcMar>
            <w:shd w:fill="FFFFFF"/>
          </w:tcPr>
          <w:p>
            <w:pPr>
              <w:spacing w:before="80" w:after="80"/>
            </w:pPr>
            <w:r>
              <w:rPr>
                <w:sz w:val="17"/>
              </w:rPr>
              <w:t>Actual vs 4Cast</w:t>
            </w:r>
          </w:p>
        </w:tc>
        <w:tc>
          <w:tcPr>
            <w:tcW w:type="dxa" w:w="2484"/>
            <w:tcMar>
              <w:top w:w="80" w:type="dxa"/>
              <w:bottom w:w="80" w:type="dxa"/>
              <w:left w:w="100" w:type="dxa"/>
              <w:right w:w="100" w:type="dxa"/>
            </w:tcMar>
            <w:shd w:fill="FFFFFF"/>
          </w:tcPr>
          <w:p>
            <w:pPr>
              <w:spacing w:before="80" w:after="80"/>
            </w:pPr>
            <w:r>
              <w:rPr>
                <w:sz w:val="17"/>
              </w:rPr>
              <w:t>ERP / Manual Upload</w:t>
            </w:r>
          </w:p>
        </w:tc>
        <w:tc>
          <w:tcPr>
            <w:tcW w:type="dxa" w:w="2484"/>
            <w:tcMar>
              <w:top w:w="80" w:type="dxa"/>
              <w:bottom w:w="80" w:type="dxa"/>
              <w:left w:w="100" w:type="dxa"/>
              <w:right w:w="100" w:type="dxa"/>
            </w:tcMar>
            <w:shd w:fill="FFFFFF"/>
          </w:tcPr>
          <w:p>
            <w:pPr>
              <w:spacing w:before="80" w:after="80"/>
            </w:pPr>
            <w:r>
              <w:rPr>
                <w:sz w:val="17"/>
              </w:rPr>
              <w:t>Compares actual results with rolling forecasts, helping management adjust production, headcount, or inventory budgets.</w:t>
            </w:r>
          </w:p>
        </w:tc>
        <w:tc>
          <w:tcPr>
            <w:tcW w:type="dxa" w:w="2484"/>
            <w:tcMar>
              <w:top w:w="80" w:type="dxa"/>
              <w:bottom w:w="80" w:type="dxa"/>
              <w:left w:w="100" w:type="dxa"/>
              <w:right w:w="100" w:type="dxa"/>
            </w:tcMar>
            <w:shd w:fill="FFFFFF"/>
          </w:tcPr>
          <w:p>
            <w:pPr>
              <w:spacing w:before="80" w:after="80"/>
            </w:pPr>
            <w:r>
              <w:rPr>
                <w:sz w:val="17"/>
              </w:rPr>
              <w:t>Forecast models use simple regression; does not support user-defined forecast overrides or machine learning models on a rolling basis.</w:t>
            </w:r>
          </w:p>
        </w:tc>
      </w:tr>
      <w:tr>
        <w:tc>
          <w:tcPr>
            <w:tcW w:type="dxa" w:w="2484"/>
            <w:tcMar>
              <w:top w:w="80" w:type="dxa"/>
              <w:bottom w:w="80" w:type="dxa"/>
              <w:left w:w="100" w:type="dxa"/>
              <w:right w:w="100" w:type="dxa"/>
            </w:tcMar>
            <w:shd w:fill="F9FAFB"/>
          </w:tcPr>
          <w:p>
            <w:pPr>
              <w:spacing w:before="80" w:after="80"/>
            </w:pPr>
            <w:r>
              <w:rPr>
                <w:sz w:val="17"/>
              </w:rPr>
              <w:t>Cash Position</w:t>
            </w:r>
          </w:p>
        </w:tc>
        <w:tc>
          <w:tcPr>
            <w:tcW w:type="dxa" w:w="2484"/>
            <w:tcMar>
              <w:top w:w="80" w:type="dxa"/>
              <w:bottom w:w="80" w:type="dxa"/>
              <w:left w:w="100" w:type="dxa"/>
              <w:right w:w="100" w:type="dxa"/>
            </w:tcMar>
            <w:shd w:fill="F9FAFB"/>
          </w:tcPr>
          <w:p>
            <w:pPr>
              <w:spacing w:before="80" w:after="80"/>
            </w:pPr>
            <w:r>
              <w:rPr>
                <w:sz w:val="17"/>
              </w:rPr>
              <w:t>API Integration</w:t>
            </w:r>
          </w:p>
        </w:tc>
        <w:tc>
          <w:tcPr>
            <w:tcW w:type="dxa" w:w="2484"/>
            <w:tcMar>
              <w:top w:w="80" w:type="dxa"/>
              <w:bottom w:w="80" w:type="dxa"/>
              <w:left w:w="100" w:type="dxa"/>
              <w:right w:w="100" w:type="dxa"/>
            </w:tcMar>
            <w:shd w:fill="F9FAFB"/>
          </w:tcPr>
          <w:p>
            <w:pPr>
              <w:spacing w:before="80" w:after="80"/>
            </w:pPr>
            <w:r>
              <w:rPr>
                <w:sz w:val="17"/>
              </w:rPr>
              <w:t>Displays available liquid cash to support short-term liquidity planning and treasury allocations.</w:t>
            </w:r>
          </w:p>
        </w:tc>
        <w:tc>
          <w:tcPr>
            <w:tcW w:type="dxa" w:w="2484"/>
            <w:tcMar>
              <w:top w:w="80" w:type="dxa"/>
              <w:bottom w:w="80" w:type="dxa"/>
              <w:left w:w="100" w:type="dxa"/>
              <w:right w:w="100" w:type="dxa"/>
            </w:tcMar>
            <w:shd w:fill="F9FAFB"/>
          </w:tcPr>
          <w:p>
            <w:pPr>
              <w:spacing w:before="80" w:after="80"/>
            </w:pPr>
            <w:r>
              <w:rPr>
                <w:sz w:val="17"/>
              </w:rPr>
              <w:t>Lacks bank-level breakdown or account status (operational vs deposits). Recommend linking to treasury APIs for live bank balance reconciliation in a detailed Treasury tab.</w:t>
            </w:r>
          </w:p>
        </w:tc>
      </w:tr>
      <w:tr>
        <w:tc>
          <w:tcPr>
            <w:tcW w:type="dxa" w:w="2484"/>
            <w:tcMar>
              <w:top w:w="80" w:type="dxa"/>
              <w:bottom w:w="80" w:type="dxa"/>
              <w:left w:w="100" w:type="dxa"/>
              <w:right w:w="100" w:type="dxa"/>
            </w:tcMar>
            <w:shd w:fill="FFFFFF"/>
          </w:tcPr>
          <w:p>
            <w:pPr>
              <w:spacing w:before="80" w:after="80"/>
            </w:pPr>
            <w:r>
              <w:rPr>
                <w:sz w:val="17"/>
              </w:rPr>
              <w:t>Free Cash Position</w:t>
            </w:r>
          </w:p>
        </w:tc>
        <w:tc>
          <w:tcPr>
            <w:tcW w:type="dxa" w:w="2484"/>
            <w:tcMar>
              <w:top w:w="80" w:type="dxa"/>
              <w:bottom w:w="80" w:type="dxa"/>
              <w:left w:w="100" w:type="dxa"/>
              <w:right w:w="100" w:type="dxa"/>
            </w:tcMar>
            <w:shd w:fill="FFFFFF"/>
          </w:tcPr>
          <w:p>
            <w:pPr>
              <w:spacing w:before="80" w:after="80"/>
            </w:pPr>
            <w:r>
              <w:rPr>
                <w:sz w:val="17"/>
              </w:rPr>
              <w:t>ERP Calculation</w:t>
            </w:r>
          </w:p>
        </w:tc>
        <w:tc>
          <w:tcPr>
            <w:tcW w:type="dxa" w:w="2484"/>
            <w:tcMar>
              <w:top w:w="80" w:type="dxa"/>
              <w:bottom w:w="80" w:type="dxa"/>
              <w:left w:w="100" w:type="dxa"/>
              <w:right w:w="100" w:type="dxa"/>
            </w:tcMar>
            <w:shd w:fill="FFFFFF"/>
          </w:tcPr>
          <w:p>
            <w:pPr>
              <w:spacing w:before="80" w:after="80"/>
            </w:pPr>
            <w:r>
              <w:rPr>
                <w:sz w:val="17"/>
              </w:rPr>
              <w:t>Tracks liquid cash generated after capital investments, indicating capital available for dividends, expansion, or debt payment.</w:t>
            </w:r>
          </w:p>
        </w:tc>
        <w:tc>
          <w:tcPr>
            <w:tcW w:type="dxa" w:w="2484"/>
            <w:tcMar>
              <w:top w:w="80" w:type="dxa"/>
              <w:bottom w:w="80" w:type="dxa"/>
              <w:left w:w="100" w:type="dxa"/>
              <w:right w:w="100" w:type="dxa"/>
            </w:tcMar>
            <w:shd w:fill="FFFFFF"/>
          </w:tcPr>
          <w:p>
            <w:pPr>
              <w:spacing w:before="80" w:after="80"/>
            </w:pPr>
            <w:r>
              <w:rPr>
                <w:sz w:val="17"/>
              </w:rPr>
              <w:t>Currently derived as a simple ratio of overall cash position. Recommend linking directly to operating cash flows minus capital expenditures (FCF = CFO - CAPEX).</w:t>
            </w:r>
          </w:p>
        </w:tc>
      </w:tr>
      <w:tr>
        <w:tc>
          <w:tcPr>
            <w:tcW w:type="dxa" w:w="2484"/>
            <w:tcMar>
              <w:top w:w="80" w:type="dxa"/>
              <w:bottom w:w="80" w:type="dxa"/>
              <w:left w:w="100" w:type="dxa"/>
              <w:right w:w="100" w:type="dxa"/>
            </w:tcMar>
            <w:shd w:fill="F9FAFB"/>
          </w:tcPr>
          <w:p>
            <w:pPr>
              <w:spacing w:before="80" w:after="80"/>
            </w:pPr>
            <w:r>
              <w:rPr>
                <w:sz w:val="17"/>
              </w:rPr>
              <w:t>Inventory Position</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Measures capital tied up in unsold stock, critical for working capital optimization and cash conversion cycle management.</w:t>
            </w:r>
          </w:p>
        </w:tc>
        <w:tc>
          <w:tcPr>
            <w:tcW w:type="dxa" w:w="2484"/>
            <w:tcMar>
              <w:top w:w="80" w:type="dxa"/>
              <w:bottom w:w="80" w:type="dxa"/>
              <w:left w:w="100" w:type="dxa"/>
              <w:right w:w="100" w:type="dxa"/>
            </w:tcMar>
            <w:shd w:fill="F9FAFB"/>
          </w:tcPr>
          <w:p>
            <w:pPr>
              <w:spacing w:before="80" w:after="80"/>
            </w:pPr>
            <w:r>
              <w:rPr>
                <w:sz w:val="17"/>
              </w:rPr>
              <w:t>Missing stock aging, valuation methods (FIFO/LIFO), or slow-moving stock write-downs. Recommend adding inventory aging reports and connecting to store-level POS inventory modules.</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FINANCIAL PLANNING &amp; LEDGER UTILITIES</w:t>
            </w:r>
          </w:p>
        </w:tc>
      </w:tr>
      <w:tr>
        <w:tc>
          <w:tcPr>
            <w:tcW w:type="dxa" w:w="2484"/>
            <w:tcMar>
              <w:top w:w="80" w:type="dxa"/>
              <w:bottom w:w="80" w:type="dxa"/>
              <w:left w:w="100" w:type="dxa"/>
              <w:right w:w="100" w:type="dxa"/>
            </w:tcMar>
            <w:shd w:fill="FFFFFF"/>
          </w:tcPr>
          <w:p>
            <w:pPr>
              <w:spacing w:before="80" w:after="80"/>
            </w:pPr>
            <w:r>
              <w:rPr>
                <w:sz w:val="17"/>
              </w:rPr>
              <w:t>P&amp;L Summary</w:t>
            </w:r>
          </w:p>
        </w:tc>
        <w:tc>
          <w:tcPr>
            <w:tcW w:type="dxa" w:w="2484"/>
            <w:tcMar>
              <w:top w:w="80" w:type="dxa"/>
              <w:bottom w:w="80" w:type="dxa"/>
              <w:left w:w="100" w:type="dxa"/>
              <w:right w:w="100" w:type="dxa"/>
            </w:tcMar>
            <w:shd w:fill="FFFFFF"/>
          </w:tcPr>
          <w:p>
            <w:pPr>
              <w:spacing w:before="80" w:after="80"/>
            </w:pPr>
            <w:r>
              <w:rPr>
                <w:sz w:val="17"/>
              </w:rPr>
              <w:t>ERP Calculation</w:t>
            </w:r>
          </w:p>
        </w:tc>
        <w:tc>
          <w:tcPr>
            <w:tcW w:type="dxa" w:w="2484"/>
            <w:tcMar>
              <w:top w:w="80" w:type="dxa"/>
              <w:bottom w:w="80" w:type="dxa"/>
              <w:left w:w="100" w:type="dxa"/>
              <w:right w:w="100" w:type="dxa"/>
            </w:tcMar>
            <w:shd w:fill="FFFFFF"/>
          </w:tcPr>
          <w:p>
            <w:pPr>
              <w:spacing w:before="80" w:after="80"/>
            </w:pPr>
            <w:r>
              <w:rPr>
                <w:sz w:val="17"/>
              </w:rPr>
              <w:t>Unified mathematically sound profit and loss statement structure. Displays revenue down to Net Profit with dynamic styling.</w:t>
            </w:r>
          </w:p>
        </w:tc>
        <w:tc>
          <w:tcPr>
            <w:tcW w:type="dxa" w:w="2484"/>
            <w:tcMar>
              <w:top w:w="80" w:type="dxa"/>
              <w:bottom w:w="80" w:type="dxa"/>
              <w:left w:w="100" w:type="dxa"/>
              <w:right w:w="100" w:type="dxa"/>
            </w:tcMar>
            <w:shd w:fill="FFFFFF"/>
          </w:tcPr>
          <w:p>
            <w:pPr>
              <w:spacing w:before="80" w:after="80"/>
            </w:pPr>
            <w:r>
              <w:rPr>
                <w:sz w:val="17"/>
              </w:rPr>
              <w:t>Grid lacks columns comparing budget vs actual variance in absolute or percentage terms. Recommend adding variance columns (Var IDR, Var %) with color-coded conditional formats.</w:t>
            </w:r>
          </w:p>
        </w:tc>
      </w:tr>
      <w:tr>
        <w:tc>
          <w:tcPr>
            <w:tcW w:type="dxa" w:w="2484"/>
            <w:tcMar>
              <w:top w:w="80" w:type="dxa"/>
              <w:bottom w:w="80" w:type="dxa"/>
              <w:left w:w="100" w:type="dxa"/>
              <w:right w:w="100" w:type="dxa"/>
            </w:tcMar>
            <w:shd w:fill="F9FAFB"/>
          </w:tcPr>
          <w:p>
            <w:pPr>
              <w:spacing w:before="80" w:after="80"/>
            </w:pPr>
            <w:r>
              <w:rPr>
                <w:sz w:val="17"/>
              </w:rPr>
              <w:t>EBITDA Margin</w:t>
            </w:r>
          </w:p>
        </w:tc>
        <w:tc>
          <w:tcPr>
            <w:tcW w:type="dxa" w:w="2484"/>
            <w:tcMar>
              <w:top w:w="80" w:type="dxa"/>
              <w:bottom w:w="80" w:type="dxa"/>
              <w:left w:w="100" w:type="dxa"/>
              <w:right w:w="100" w:type="dxa"/>
            </w:tcMar>
            <w:shd w:fill="F9FAFB"/>
          </w:tcPr>
          <w:p>
            <w:pPr>
              <w:spacing w:before="80" w:after="80"/>
            </w:pPr>
            <w:r>
              <w:rPr>
                <w:sz w:val="17"/>
              </w:rPr>
              <w:t>ERP Calculation</w:t>
            </w:r>
          </w:p>
        </w:tc>
        <w:tc>
          <w:tcPr>
            <w:tcW w:type="dxa" w:w="2484"/>
            <w:tcMar>
              <w:top w:w="80" w:type="dxa"/>
              <w:bottom w:w="80" w:type="dxa"/>
              <w:left w:w="100" w:type="dxa"/>
              <w:right w:w="100" w:type="dxa"/>
            </w:tcMar>
            <w:shd w:fill="F9FAFB"/>
          </w:tcPr>
          <w:p>
            <w:pPr>
              <w:spacing w:before="80" w:after="80"/>
            </w:pPr>
            <w:r>
              <w:rPr>
                <w:sz w:val="17"/>
              </w:rPr>
              <w:t>Displays EBITDA as a percentage of revenue, indicating operational efficiency and pricing power.</w:t>
            </w:r>
          </w:p>
        </w:tc>
        <w:tc>
          <w:tcPr>
            <w:tcW w:type="dxa" w:w="2484"/>
            <w:tcMar>
              <w:top w:w="80" w:type="dxa"/>
              <w:bottom w:w="80" w:type="dxa"/>
              <w:left w:w="100" w:type="dxa"/>
              <w:right w:w="100" w:type="dxa"/>
            </w:tcMar>
            <w:shd w:fill="F9FAFB"/>
          </w:tcPr>
          <w:p>
            <w:pPr>
              <w:spacing w:before="80" w:after="80"/>
            </w:pPr>
            <w:r>
              <w:rPr>
                <w:sz w:val="17"/>
              </w:rPr>
              <w:t>Referencing is based on a static group reference line (18%). Needs custom margins for each brand unit depending on historical industry benchmarks.</w:t>
            </w:r>
          </w:p>
        </w:tc>
      </w:tr>
      <w:tr>
        <w:tc>
          <w:tcPr>
            <w:tcW w:type="dxa" w:w="2484"/>
            <w:tcMar>
              <w:top w:w="80" w:type="dxa"/>
              <w:bottom w:w="80" w:type="dxa"/>
              <w:left w:w="100" w:type="dxa"/>
              <w:right w:w="100" w:type="dxa"/>
            </w:tcMar>
            <w:shd w:fill="FFFFFF"/>
          </w:tcPr>
          <w:p>
            <w:pPr>
              <w:spacing w:before="80" w:after="80"/>
            </w:pPr>
            <w:r>
              <w:rPr>
                <w:sz w:val="17"/>
              </w:rPr>
              <w:t>OPEX Monitoring</w:t>
            </w:r>
          </w:p>
        </w:tc>
        <w:tc>
          <w:tcPr>
            <w:tcW w:type="dxa" w:w="2484"/>
            <w:tcMar>
              <w:top w:w="80" w:type="dxa"/>
              <w:bottom w:w="80" w:type="dxa"/>
              <w:left w:w="100" w:type="dxa"/>
              <w:right w:w="100" w:type="dxa"/>
            </w:tcMar>
            <w:shd w:fill="FFFFFF"/>
          </w:tcPr>
          <w:p>
            <w:pPr>
              <w:spacing w:before="80" w:after="80"/>
            </w:pPr>
            <w:r>
              <w:rPr>
                <w:sz w:val="17"/>
              </w:rPr>
              <w:t>ERP Connection</w:t>
            </w:r>
          </w:p>
        </w:tc>
        <w:tc>
          <w:tcPr>
            <w:tcW w:type="dxa" w:w="2484"/>
            <w:tcMar>
              <w:top w:w="80" w:type="dxa"/>
              <w:bottom w:w="80" w:type="dxa"/>
              <w:left w:w="100" w:type="dxa"/>
              <w:right w:w="100" w:type="dxa"/>
            </w:tcMar>
            <w:shd w:fill="FFFFFF"/>
          </w:tcPr>
          <w:p>
            <w:pPr>
              <w:spacing w:before="80" w:after="80"/>
            </w:pPr>
            <w:r>
              <w:rPr>
                <w:sz w:val="17"/>
              </w:rPr>
              <w:t>Enables tracking and auditing of monthly operational expenses by category, assisting in cost control and overhead reduction.</w:t>
            </w:r>
          </w:p>
        </w:tc>
        <w:tc>
          <w:tcPr>
            <w:tcW w:type="dxa" w:w="2484"/>
            <w:tcMar>
              <w:top w:w="80" w:type="dxa"/>
              <w:bottom w:w="80" w:type="dxa"/>
              <w:left w:w="100" w:type="dxa"/>
              <w:right w:w="100" w:type="dxa"/>
            </w:tcMar>
            <w:shd w:fill="FFFFFF"/>
          </w:tcPr>
          <w:p>
            <w:pPr>
              <w:spacing w:before="80" w:after="80"/>
            </w:pPr>
            <w:r>
              <w:rPr>
                <w:sz w:val="17"/>
              </w:rPr>
              <w:t>Lacks cost center filter. Recommend adding departmental/branch tags to the transaction ledger to allow specific store-level overhead auditing.</w:t>
            </w:r>
          </w:p>
        </w:tc>
      </w:tr>
      <w:tr>
        <w:tc>
          <w:tcPr>
            <w:tcW w:type="dxa" w:w="2484"/>
            <w:tcMar>
              <w:top w:w="80" w:type="dxa"/>
              <w:bottom w:w="80" w:type="dxa"/>
              <w:left w:w="100" w:type="dxa"/>
              <w:right w:w="100" w:type="dxa"/>
            </w:tcMar>
            <w:shd w:fill="F9FAFB"/>
          </w:tcPr>
          <w:p>
            <w:pPr>
              <w:spacing w:before="80" w:after="80"/>
            </w:pPr>
            <w:r>
              <w:rPr>
                <w:sz w:val="17"/>
              </w:rPr>
              <w:t>AP &amp; AR Aging</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Tracks credit terms, payment aging buckets, and outstanding invoices to optimize working capital and minimize bad debt risks.</w:t>
            </w:r>
          </w:p>
        </w:tc>
        <w:tc>
          <w:tcPr>
            <w:tcW w:type="dxa" w:w="2484"/>
            <w:tcMar>
              <w:top w:w="80" w:type="dxa"/>
              <w:bottom w:w="80" w:type="dxa"/>
              <w:left w:w="100" w:type="dxa"/>
              <w:right w:w="100" w:type="dxa"/>
            </w:tcMar>
            <w:shd w:fill="F9FAFB"/>
          </w:tcPr>
          <w:p>
            <w:pPr>
              <w:spacing w:before="80" w:after="80"/>
            </w:pPr>
            <w:r>
              <w:rPr>
                <w:sz w:val="17"/>
              </w:rPr>
              <w:t>Does not support invoice-level lookup or debtor/creditor lists. Recommend linking to accounts receivable ledger tables and adding client detail modals.</w:t>
            </w:r>
          </w:p>
        </w:tc>
      </w:tr>
      <w:tr>
        <w:tc>
          <w:tcPr>
            <w:tcW w:type="dxa" w:w="2484"/>
            <w:tcMar>
              <w:top w:w="80" w:type="dxa"/>
              <w:bottom w:w="80" w:type="dxa"/>
              <w:left w:w="100" w:type="dxa"/>
              <w:right w:w="100" w:type="dxa"/>
            </w:tcMar>
            <w:shd w:fill="FFFFFF"/>
          </w:tcPr>
          <w:p>
            <w:pPr>
              <w:spacing w:before="80" w:after="80"/>
            </w:pPr>
            <w:r>
              <w:rPr>
                <w:sz w:val="17"/>
              </w:rPr>
              <w:t>Cash Flow Monitoring</w:t>
            </w:r>
          </w:p>
        </w:tc>
        <w:tc>
          <w:tcPr>
            <w:tcW w:type="dxa" w:w="2484"/>
            <w:tcMar>
              <w:top w:w="80" w:type="dxa"/>
              <w:bottom w:w="80" w:type="dxa"/>
              <w:left w:w="100" w:type="dxa"/>
              <w:right w:w="100" w:type="dxa"/>
            </w:tcMar>
            <w:shd w:fill="FFFFFF"/>
          </w:tcPr>
          <w:p>
            <w:pPr>
              <w:spacing w:before="80" w:after="80"/>
            </w:pPr>
            <w:r>
              <w:rPr>
                <w:sz w:val="17"/>
              </w:rPr>
              <w:t>ERP Calculation</w:t>
            </w:r>
          </w:p>
        </w:tc>
        <w:tc>
          <w:tcPr>
            <w:tcW w:type="dxa" w:w="2484"/>
            <w:tcMar>
              <w:top w:w="80" w:type="dxa"/>
              <w:bottom w:w="80" w:type="dxa"/>
              <w:left w:w="100" w:type="dxa"/>
              <w:right w:w="100" w:type="dxa"/>
            </w:tcMar>
            <w:shd w:fill="FFFFFF"/>
          </w:tcPr>
          <w:p>
            <w:pPr>
              <w:spacing w:before="80" w:after="80"/>
            </w:pPr>
            <w:r>
              <w:rPr>
                <w:sz w:val="17"/>
              </w:rPr>
              <w:t>Tracks operational, investing, and financing cash movements to ensure the group maintains healthy solvency levels.</w:t>
            </w:r>
          </w:p>
        </w:tc>
        <w:tc>
          <w:tcPr>
            <w:tcW w:type="dxa" w:w="2484"/>
            <w:tcMar>
              <w:top w:w="80" w:type="dxa"/>
              <w:bottom w:w="80" w:type="dxa"/>
              <w:left w:w="100" w:type="dxa"/>
              <w:right w:w="100" w:type="dxa"/>
            </w:tcMar>
            <w:shd w:fill="FFFFFF"/>
          </w:tcPr>
          <w:p>
            <w:pPr>
              <w:spacing w:before="80" w:after="80"/>
            </w:pPr>
            <w:r>
              <w:rPr>
                <w:sz w:val="17"/>
              </w:rPr>
              <w:t>Lacks automated indirect method cash flow reports. Recommend linking statement structure to general ledger account codes to generate balance sheet variance cash flows.</w:t>
            </w:r>
          </w:p>
        </w:tc>
      </w:tr>
      <w:tr>
        <w:tc>
          <w:tcPr>
            <w:tcW w:type="dxa" w:w="2484"/>
            <w:tcMar>
              <w:top w:w="80" w:type="dxa"/>
              <w:bottom w:w="80" w:type="dxa"/>
              <w:left w:w="100" w:type="dxa"/>
              <w:right w:w="100" w:type="dxa"/>
            </w:tcMar>
            <w:shd w:fill="F9FAFB"/>
          </w:tcPr>
          <w:p>
            <w:pPr>
              <w:spacing w:before="80" w:after="80"/>
            </w:pPr>
            <w:r>
              <w:rPr>
                <w:sz w:val="17"/>
              </w:rPr>
              <w:t>CAPEX Tracking</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Monitors capital investments against budgeted limits to ensure major asset purchases do not exceed capital allocations.</w:t>
            </w:r>
          </w:p>
        </w:tc>
        <w:tc>
          <w:tcPr>
            <w:tcW w:type="dxa" w:w="2484"/>
            <w:tcMar>
              <w:top w:w="80" w:type="dxa"/>
              <w:bottom w:w="80" w:type="dxa"/>
              <w:left w:w="100" w:type="dxa"/>
              <w:right w:w="100" w:type="dxa"/>
            </w:tcMar>
            <w:shd w:fill="F9FAFB"/>
          </w:tcPr>
          <w:p>
            <w:pPr>
              <w:spacing w:before="80" w:after="80"/>
            </w:pPr>
            <w:r>
              <w:rPr>
                <w:sz w:val="17"/>
              </w:rPr>
              <w:t>Lacks capitalization status or depreciation schedule link. Recommend linking to physical asset tagging registry and project completion dates.</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HUMAN RESOURCES (HR)</w:t>
            </w:r>
          </w:p>
        </w:tc>
      </w:tr>
      <w:tr>
        <w:tc>
          <w:tcPr>
            <w:tcW w:type="dxa" w:w="2484"/>
            <w:tcMar>
              <w:top w:w="80" w:type="dxa"/>
              <w:bottom w:w="80" w:type="dxa"/>
              <w:left w:w="100" w:type="dxa"/>
              <w:right w:w="100" w:type="dxa"/>
            </w:tcMar>
            <w:shd w:fill="FFFFFF"/>
          </w:tcPr>
          <w:p>
            <w:pPr>
              <w:spacing w:before="80" w:after="80"/>
            </w:pPr>
            <w:r>
              <w:rPr>
                <w:sz w:val="17"/>
              </w:rPr>
              <w:t>Headcount</w:t>
            </w:r>
          </w:p>
        </w:tc>
        <w:tc>
          <w:tcPr>
            <w:tcW w:type="dxa" w:w="2484"/>
            <w:tcMar>
              <w:top w:w="80" w:type="dxa"/>
              <w:bottom w:w="80" w:type="dxa"/>
              <w:left w:w="100" w:type="dxa"/>
              <w:right w:w="100" w:type="dxa"/>
            </w:tcMar>
            <w:shd w:fill="FFFFFF"/>
          </w:tcPr>
          <w:p>
            <w:pPr>
              <w:spacing w:before="80" w:after="80"/>
            </w:pPr>
            <w:r>
              <w:rPr>
                <w:sz w:val="17"/>
              </w:rPr>
              <w:t>API Integration</w:t>
            </w:r>
          </w:p>
        </w:tc>
        <w:tc>
          <w:tcPr>
            <w:tcW w:type="dxa" w:w="2484"/>
            <w:tcMar>
              <w:top w:w="80" w:type="dxa"/>
              <w:bottom w:w="80" w:type="dxa"/>
              <w:left w:w="100" w:type="dxa"/>
              <w:right w:w="100" w:type="dxa"/>
            </w:tcMar>
            <w:shd w:fill="FFFFFF"/>
          </w:tcPr>
          <w:p>
            <w:pPr>
              <w:spacing w:before="80" w:after="80"/>
            </w:pPr>
            <w:r>
              <w:rPr>
                <w:sz w:val="17"/>
              </w:rPr>
              <w:t>Tracks total workforce size and distribution across segments to manage staffing levels and plan recruitment.</w:t>
            </w:r>
          </w:p>
        </w:tc>
        <w:tc>
          <w:tcPr>
            <w:tcW w:type="dxa" w:w="2484"/>
            <w:tcMar>
              <w:top w:w="80" w:type="dxa"/>
              <w:bottom w:w="80" w:type="dxa"/>
              <w:left w:w="100" w:type="dxa"/>
              <w:right w:w="100" w:type="dxa"/>
            </w:tcMar>
            <w:shd w:fill="FFFFFF"/>
          </w:tcPr>
          <w:p>
            <w:pPr>
              <w:spacing w:before="80" w:after="80"/>
            </w:pPr>
            <w:r>
              <w:rPr>
                <w:sz w:val="17"/>
              </w:rPr>
              <w:t>Demographics (age, gender, tenure) are missing. Recommend adding employee cohort analysis charts to track employee demographics trends.</w:t>
            </w:r>
          </w:p>
        </w:tc>
      </w:tr>
      <w:tr>
        <w:tc>
          <w:tcPr>
            <w:tcW w:type="dxa" w:w="2484"/>
            <w:tcMar>
              <w:top w:w="80" w:type="dxa"/>
              <w:bottom w:w="80" w:type="dxa"/>
              <w:left w:w="100" w:type="dxa"/>
              <w:right w:w="100" w:type="dxa"/>
            </w:tcMar>
            <w:shd w:fill="F9FAFB"/>
          </w:tcPr>
          <w:p>
            <w:pPr>
              <w:spacing w:before="80" w:after="80"/>
            </w:pPr>
            <w:r>
              <w:rPr>
                <w:sz w:val="17"/>
              </w:rPr>
              <w:t>Employee Cost</w:t>
            </w:r>
          </w:p>
        </w:tc>
        <w:tc>
          <w:tcPr>
            <w:tcW w:type="dxa" w:w="2484"/>
            <w:tcMar>
              <w:top w:w="80" w:type="dxa"/>
              <w:bottom w:w="80" w:type="dxa"/>
              <w:left w:w="100" w:type="dxa"/>
              <w:right w:w="100" w:type="dxa"/>
            </w:tcMar>
            <w:shd w:fill="F9FAFB"/>
          </w:tcPr>
          <w:p>
            <w:pPr>
              <w:spacing w:before="80" w:after="80"/>
            </w:pPr>
            <w:r>
              <w:rPr>
                <w:sz w:val="17"/>
              </w:rPr>
              <w:t>API / ERP Connection</w:t>
            </w:r>
          </w:p>
        </w:tc>
        <w:tc>
          <w:tcPr>
            <w:tcW w:type="dxa" w:w="2484"/>
            <w:tcMar>
              <w:top w:w="80" w:type="dxa"/>
              <w:bottom w:w="80" w:type="dxa"/>
              <w:left w:w="100" w:type="dxa"/>
              <w:right w:w="100" w:type="dxa"/>
            </w:tcMar>
            <w:shd w:fill="F9FAFB"/>
          </w:tcPr>
          <w:p>
            <w:pPr>
              <w:spacing w:before="80" w:after="80"/>
            </w:pPr>
            <w:r>
              <w:rPr>
                <w:sz w:val="17"/>
              </w:rPr>
              <w:t>Monitors payroll and benefits expenses as a percentage of revenue to ensure labor productivity aligns with business growth.</w:t>
            </w:r>
          </w:p>
        </w:tc>
        <w:tc>
          <w:tcPr>
            <w:tcW w:type="dxa" w:w="2484"/>
            <w:tcMar>
              <w:top w:w="80" w:type="dxa"/>
              <w:bottom w:w="80" w:type="dxa"/>
              <w:left w:w="100" w:type="dxa"/>
              <w:right w:w="100" w:type="dxa"/>
            </w:tcMar>
            <w:shd w:fill="F9FAFB"/>
          </w:tcPr>
          <w:p>
            <w:pPr>
              <w:spacing w:before="80" w:after="80"/>
            </w:pPr>
            <w:r>
              <w:rPr>
                <w:sz w:val="17"/>
              </w:rPr>
              <w:t>Missing details on salary bands or cost elements (basic salary, allowance, bonuses). Recommend salary grade distribution view for executive planning.</w:t>
            </w:r>
          </w:p>
        </w:tc>
      </w:tr>
      <w:tr>
        <w:tc>
          <w:tcPr>
            <w:tcW w:type="dxa" w:w="2484"/>
            <w:tcMar>
              <w:top w:w="80" w:type="dxa"/>
              <w:bottom w:w="80" w:type="dxa"/>
              <w:left w:w="100" w:type="dxa"/>
              <w:right w:w="100" w:type="dxa"/>
            </w:tcMar>
            <w:shd w:fill="FFFFFF"/>
          </w:tcPr>
          <w:p>
            <w:pPr>
              <w:spacing w:before="80" w:after="80"/>
            </w:pPr>
            <w:r>
              <w:rPr>
                <w:sz w:val="17"/>
              </w:rPr>
              <w:t>Turnover Rate</w:t>
            </w:r>
          </w:p>
        </w:tc>
        <w:tc>
          <w:tcPr>
            <w:tcW w:type="dxa" w:w="2484"/>
            <w:tcMar>
              <w:top w:w="80" w:type="dxa"/>
              <w:bottom w:w="80" w:type="dxa"/>
              <w:left w:w="100" w:type="dxa"/>
              <w:right w:w="100" w:type="dxa"/>
            </w:tcMar>
            <w:shd w:fill="FFFFFF"/>
          </w:tcPr>
          <w:p>
            <w:pPr>
              <w:spacing w:before="80" w:after="80"/>
            </w:pPr>
            <w:r>
              <w:rPr>
                <w:sz w:val="17"/>
              </w:rPr>
              <w:t>API Calculation</w:t>
            </w:r>
          </w:p>
        </w:tc>
        <w:tc>
          <w:tcPr>
            <w:tcW w:type="dxa" w:w="2484"/>
            <w:tcMar>
              <w:top w:w="80" w:type="dxa"/>
              <w:bottom w:w="80" w:type="dxa"/>
              <w:left w:w="100" w:type="dxa"/>
              <w:right w:w="100" w:type="dxa"/>
            </w:tcMar>
            <w:shd w:fill="FFFFFF"/>
          </w:tcPr>
          <w:p>
            <w:pPr>
              <w:spacing w:before="80" w:after="80"/>
            </w:pPr>
            <w:r>
              <w:rPr>
                <w:sz w:val="17"/>
              </w:rPr>
              <w:t>Tracks employee retention levels to evaluate workplace satisfaction, training effectiveness, and talent stability.</w:t>
            </w:r>
          </w:p>
        </w:tc>
        <w:tc>
          <w:tcPr>
            <w:tcW w:type="dxa" w:w="2484"/>
            <w:tcMar>
              <w:top w:w="80" w:type="dxa"/>
              <w:bottom w:w="80" w:type="dxa"/>
              <w:left w:w="100" w:type="dxa"/>
              <w:right w:w="100" w:type="dxa"/>
            </w:tcMar>
            <w:shd w:fill="FFFFFF"/>
          </w:tcPr>
          <w:p>
            <w:pPr>
              <w:spacing w:before="80" w:after="80"/>
            </w:pPr>
            <w:r>
              <w:rPr>
                <w:sz w:val="17"/>
              </w:rPr>
              <w:t>Does not classify voluntary vs involuntary leavers. Recommend tracking exit reasons and joining cohorts to pinpoint high-attrition manager segments.</w:t>
            </w:r>
          </w:p>
        </w:tc>
      </w:tr>
      <w:tr>
        <w:tc>
          <w:tcPr>
            <w:tcW w:type="dxa" w:w="2484"/>
            <w:tcMar>
              <w:top w:w="80" w:type="dxa"/>
              <w:bottom w:w="80" w:type="dxa"/>
              <w:left w:w="100" w:type="dxa"/>
              <w:right w:w="100" w:type="dxa"/>
            </w:tcMar>
            <w:shd w:fill="F9FAFB"/>
          </w:tcPr>
          <w:p>
            <w:pPr>
              <w:spacing w:before="80" w:after="80"/>
            </w:pPr>
            <w:r>
              <w:rPr>
                <w:sz w:val="17"/>
              </w:rPr>
              <w:t>Attendance</w:t>
            </w:r>
          </w:p>
        </w:tc>
        <w:tc>
          <w:tcPr>
            <w:tcW w:type="dxa" w:w="2484"/>
            <w:tcMar>
              <w:top w:w="80" w:type="dxa"/>
              <w:bottom w:w="80" w:type="dxa"/>
              <w:left w:w="100" w:type="dxa"/>
              <w:right w:w="100" w:type="dxa"/>
            </w:tcMar>
            <w:shd w:fill="F9FAFB"/>
          </w:tcPr>
          <w:p>
            <w:pPr>
              <w:spacing w:before="80" w:after="80"/>
            </w:pPr>
            <w:r>
              <w:rPr>
                <w:sz w:val="17"/>
              </w:rPr>
              <w:t>API Integration</w:t>
            </w:r>
          </w:p>
        </w:tc>
        <w:tc>
          <w:tcPr>
            <w:tcW w:type="dxa" w:w="2484"/>
            <w:tcMar>
              <w:top w:w="80" w:type="dxa"/>
              <w:bottom w:w="80" w:type="dxa"/>
              <w:left w:w="100" w:type="dxa"/>
              <w:right w:w="100" w:type="dxa"/>
            </w:tcMar>
            <w:shd w:fill="F9FAFB"/>
          </w:tcPr>
          <w:p>
            <w:pPr>
              <w:spacing w:before="80" w:after="80"/>
            </w:pPr>
            <w:r>
              <w:rPr>
                <w:sz w:val="17"/>
              </w:rPr>
              <w:t>Monitors workforce presence ratios to detect absenteeism patterns and manage shift schedules.</w:t>
            </w:r>
          </w:p>
        </w:tc>
        <w:tc>
          <w:tcPr>
            <w:tcW w:type="dxa" w:w="2484"/>
            <w:tcMar>
              <w:top w:w="80" w:type="dxa"/>
              <w:bottom w:w="80" w:type="dxa"/>
              <w:left w:w="100" w:type="dxa"/>
              <w:right w:w="100" w:type="dxa"/>
            </w:tcMar>
            <w:shd w:fill="F9FAFB"/>
          </w:tcPr>
          <w:p>
            <w:pPr>
              <w:spacing w:before="80" w:after="80"/>
            </w:pPr>
            <w:r>
              <w:rPr>
                <w:sz w:val="17"/>
              </w:rPr>
              <w:t>Leaves (sick, annual, casual) are not analyzed. Recommend integrating with biometric/HRIS attendance systems to automate overtime calculations.</w:t>
            </w:r>
          </w:p>
        </w:tc>
      </w:tr>
      <w:tr>
        <w:tc>
          <w:tcPr>
            <w:tcW w:type="dxa" w:w="2484"/>
            <w:tcMar>
              <w:top w:w="80" w:type="dxa"/>
              <w:bottom w:w="80" w:type="dxa"/>
              <w:left w:w="100" w:type="dxa"/>
              <w:right w:w="100" w:type="dxa"/>
            </w:tcMar>
            <w:shd w:fill="FFFFFF"/>
          </w:tcPr>
          <w:p>
            <w:pPr>
              <w:spacing w:before="80" w:after="80"/>
            </w:pPr>
            <w:r>
              <w:rPr>
                <w:sz w:val="17"/>
              </w:rPr>
              <w:t>Recruitment Status</w:t>
            </w:r>
          </w:p>
        </w:tc>
        <w:tc>
          <w:tcPr>
            <w:tcW w:type="dxa" w:w="2484"/>
            <w:tcMar>
              <w:top w:w="80" w:type="dxa"/>
              <w:bottom w:w="80" w:type="dxa"/>
              <w:left w:w="100" w:type="dxa"/>
              <w:right w:w="100" w:type="dxa"/>
            </w:tcMar>
            <w:shd w:fill="FFFFFF"/>
          </w:tcPr>
          <w:p>
            <w:pPr>
              <w:spacing w:before="80" w:after="80"/>
            </w:pPr>
            <w:r>
              <w:rPr>
                <w:sz w:val="17"/>
              </w:rPr>
              <w:t>API Integration</w:t>
            </w:r>
          </w:p>
        </w:tc>
        <w:tc>
          <w:tcPr>
            <w:tcW w:type="dxa" w:w="2484"/>
            <w:tcMar>
              <w:top w:w="80" w:type="dxa"/>
              <w:bottom w:w="80" w:type="dxa"/>
              <w:left w:w="100" w:type="dxa"/>
              <w:right w:w="100" w:type="dxa"/>
            </w:tcMar>
            <w:shd w:fill="FFFFFF"/>
          </w:tcPr>
          <w:p>
            <w:pPr>
              <w:spacing w:before="80" w:after="80"/>
            </w:pPr>
            <w:r>
              <w:rPr>
                <w:sz w:val="17"/>
              </w:rPr>
              <w:t>Tracks open positions and candidate pipeline status to ensure key vacancies are filled timely and reduce operational downtime.</w:t>
            </w:r>
          </w:p>
        </w:tc>
        <w:tc>
          <w:tcPr>
            <w:tcW w:type="dxa" w:w="2484"/>
            <w:tcMar>
              <w:top w:w="80" w:type="dxa"/>
              <w:bottom w:w="80" w:type="dxa"/>
              <w:left w:w="100" w:type="dxa"/>
              <w:right w:w="100" w:type="dxa"/>
            </w:tcMar>
            <w:shd w:fill="FFFFFF"/>
          </w:tcPr>
          <w:p>
            <w:pPr>
              <w:spacing w:before="80" w:after="80"/>
            </w:pPr>
            <w:r>
              <w:rPr>
                <w:sz w:val="17"/>
              </w:rPr>
              <w:t>Lacks applicant tracking database integration. Recommend adding API link to Jobstreet/ATS systems to show real-time candidate sourcing channels.</w:t>
            </w:r>
          </w:p>
        </w:tc>
      </w:tr>
      <w:tr>
        <w:tc>
          <w:tcPr>
            <w:tcW w:type="dxa" w:w="2484"/>
            <w:tcMar>
              <w:top w:w="80" w:type="dxa"/>
              <w:bottom w:w="80" w:type="dxa"/>
              <w:left w:w="100" w:type="dxa"/>
              <w:right w:w="100" w:type="dxa"/>
            </w:tcMar>
            <w:shd w:fill="F9FAFB"/>
          </w:tcPr>
          <w:p>
            <w:pPr>
              <w:spacing w:before="80" w:after="80"/>
            </w:pPr>
            <w:r>
              <w:rPr>
                <w:sz w:val="17"/>
              </w:rPr>
              <w:t>Training KPI</w:t>
            </w:r>
          </w:p>
        </w:tc>
        <w:tc>
          <w:tcPr>
            <w:tcW w:type="dxa" w:w="2484"/>
            <w:tcMar>
              <w:top w:w="80" w:type="dxa"/>
              <w:bottom w:w="80" w:type="dxa"/>
              <w:left w:w="100" w:type="dxa"/>
              <w:right w:w="100" w:type="dxa"/>
            </w:tcMar>
            <w:shd w:fill="F9FAFB"/>
          </w:tcPr>
          <w:p>
            <w:pPr>
              <w:spacing w:before="80" w:after="80"/>
            </w:pPr>
            <w:r>
              <w:rPr>
                <w:sz w:val="17"/>
              </w:rPr>
              <w:t>API / Manual Upload</w:t>
            </w:r>
          </w:p>
        </w:tc>
        <w:tc>
          <w:tcPr>
            <w:tcW w:type="dxa" w:w="2484"/>
            <w:tcMar>
              <w:top w:w="80" w:type="dxa"/>
              <w:bottom w:w="80" w:type="dxa"/>
              <w:left w:w="100" w:type="dxa"/>
              <w:right w:w="100" w:type="dxa"/>
            </w:tcMar>
            <w:shd w:fill="F9FAFB"/>
          </w:tcPr>
          <w:p>
            <w:pPr>
              <w:spacing w:before="80" w:after="80"/>
            </w:pPr>
            <w:r>
              <w:rPr>
                <w:sz w:val="17"/>
              </w:rPr>
              <w:t>Tracks average training completion rates and hours to measure employee skill development and compliance training coverage.</w:t>
            </w:r>
          </w:p>
        </w:tc>
        <w:tc>
          <w:tcPr>
            <w:tcW w:type="dxa" w:w="2484"/>
            <w:tcMar>
              <w:top w:w="80" w:type="dxa"/>
              <w:bottom w:w="80" w:type="dxa"/>
              <w:left w:w="100" w:type="dxa"/>
              <w:right w:w="100" w:type="dxa"/>
            </w:tcMar>
            <w:shd w:fill="F9FAFB"/>
          </w:tcPr>
          <w:p>
            <w:pPr>
              <w:spacing w:before="80" w:after="80"/>
            </w:pPr>
            <w:r>
              <w:rPr>
                <w:sz w:val="17"/>
              </w:rPr>
              <w:t>Missing training effectiveness score or budget ROI analysis. Recommend linking to LMS databases to measure skill gaps pre- and post-training.</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OPERATIONAL EFFICIENCY</w:t>
            </w:r>
          </w:p>
        </w:tc>
      </w:tr>
      <w:tr>
        <w:tc>
          <w:tcPr>
            <w:tcW w:type="dxa" w:w="2484"/>
            <w:tcMar>
              <w:top w:w="80" w:type="dxa"/>
              <w:bottom w:w="80" w:type="dxa"/>
              <w:left w:w="100" w:type="dxa"/>
              <w:right w:w="100" w:type="dxa"/>
            </w:tcMar>
            <w:shd w:fill="FFFFFF"/>
          </w:tcPr>
          <w:p>
            <w:pPr>
              <w:spacing w:before="80" w:after="80"/>
            </w:pPr>
            <w:r>
              <w:rPr>
                <w:sz w:val="17"/>
              </w:rPr>
              <w:t>Store Productivity by brand</w:t>
            </w:r>
          </w:p>
        </w:tc>
        <w:tc>
          <w:tcPr>
            <w:tcW w:type="dxa" w:w="2484"/>
            <w:tcMar>
              <w:top w:w="80" w:type="dxa"/>
              <w:bottom w:w="80" w:type="dxa"/>
              <w:left w:w="100" w:type="dxa"/>
              <w:right w:w="100" w:type="dxa"/>
            </w:tcMar>
            <w:shd w:fill="FFFFFF"/>
          </w:tcPr>
          <w:p>
            <w:pPr>
              <w:spacing w:before="80" w:after="80"/>
            </w:pPr>
            <w:r>
              <w:rPr>
                <w:sz w:val="17"/>
              </w:rPr>
              <w:t>ERP &amp; POS API</w:t>
            </w:r>
          </w:p>
        </w:tc>
        <w:tc>
          <w:tcPr>
            <w:tcW w:type="dxa" w:w="2484"/>
            <w:tcMar>
              <w:top w:w="80" w:type="dxa"/>
              <w:bottom w:w="80" w:type="dxa"/>
              <w:left w:w="100" w:type="dxa"/>
              <w:right w:w="100" w:type="dxa"/>
            </w:tcMar>
            <w:shd w:fill="FFFFFF"/>
          </w:tcPr>
          <w:p>
            <w:pPr>
              <w:spacing w:before="80" w:after="80"/>
            </w:pPr>
            <w:r>
              <w:rPr>
                <w:sz w:val="17"/>
              </w:rPr>
              <w:t>Evaluates outlet revenue per square meter to measure real estate efficiency and optimize store layouts.</w:t>
            </w:r>
          </w:p>
        </w:tc>
        <w:tc>
          <w:tcPr>
            <w:tcW w:type="dxa" w:w="2484"/>
            <w:tcMar>
              <w:top w:w="80" w:type="dxa"/>
              <w:bottom w:w="80" w:type="dxa"/>
              <w:left w:w="100" w:type="dxa"/>
              <w:right w:w="100" w:type="dxa"/>
            </w:tcMar>
            <w:shd w:fill="FFFFFF"/>
          </w:tcPr>
          <w:p>
            <w:pPr>
              <w:spacing w:before="80" w:after="80"/>
            </w:pPr>
            <w:r>
              <w:rPr>
                <w:sz w:val="17"/>
              </w:rPr>
              <w:t>Missing store lease tenure status or foot traffic conversion rates. Recommend adding sales per transaction size correlation and footfall counters.</w:t>
            </w:r>
          </w:p>
        </w:tc>
      </w:tr>
      <w:tr>
        <w:tc>
          <w:tcPr>
            <w:tcW w:type="dxa" w:w="2484"/>
            <w:tcMar>
              <w:top w:w="80" w:type="dxa"/>
              <w:bottom w:w="80" w:type="dxa"/>
              <w:left w:w="100" w:type="dxa"/>
              <w:right w:w="100" w:type="dxa"/>
            </w:tcMar>
            <w:shd w:fill="F9FAFB"/>
          </w:tcPr>
          <w:p>
            <w:pPr>
              <w:spacing w:before="80" w:after="80"/>
            </w:pPr>
            <w:r>
              <w:rPr>
                <w:sz w:val="17"/>
              </w:rPr>
              <w:t>Rental Cost Ratio</w:t>
            </w:r>
          </w:p>
        </w:tc>
        <w:tc>
          <w:tcPr>
            <w:tcW w:type="dxa" w:w="2484"/>
            <w:tcMar>
              <w:top w:w="80" w:type="dxa"/>
              <w:bottom w:w="80" w:type="dxa"/>
              <w:left w:w="100" w:type="dxa"/>
              <w:right w:w="100" w:type="dxa"/>
            </w:tcMar>
            <w:shd w:fill="F9FAFB"/>
          </w:tcPr>
          <w:p>
            <w:pPr>
              <w:spacing w:before="80" w:after="80"/>
            </w:pPr>
            <w:r>
              <w:rPr>
                <w:sz w:val="17"/>
              </w:rPr>
              <w:t>ERP / Manual Upload</w:t>
            </w:r>
          </w:p>
        </w:tc>
        <w:tc>
          <w:tcPr>
            <w:tcW w:type="dxa" w:w="2484"/>
            <w:tcMar>
              <w:top w:w="80" w:type="dxa"/>
              <w:bottom w:w="80" w:type="dxa"/>
              <w:left w:w="100" w:type="dxa"/>
              <w:right w:w="100" w:type="dxa"/>
            </w:tcMar>
            <w:shd w:fill="F9FAFB"/>
          </w:tcPr>
          <w:p>
            <w:pPr>
              <w:spacing w:before="80" w:after="80"/>
            </w:pPr>
            <w:r>
              <w:rPr>
                <w:sz w:val="17"/>
              </w:rPr>
              <w:t>Tracks rental costs relative to outlet sales to identify high-rent, low-productivity locations that require lease renegotiation.</w:t>
            </w:r>
          </w:p>
        </w:tc>
        <w:tc>
          <w:tcPr>
            <w:tcW w:type="dxa" w:w="2484"/>
            <w:tcMar>
              <w:top w:w="80" w:type="dxa"/>
              <w:bottom w:w="80" w:type="dxa"/>
              <w:left w:w="100" w:type="dxa"/>
              <w:right w:w="100" w:type="dxa"/>
            </w:tcMar>
            <w:shd w:fill="F9FAFB"/>
          </w:tcPr>
          <w:p>
            <w:pPr>
              <w:spacing w:before="80" w:after="80"/>
            </w:pPr>
            <w:r>
              <w:rPr>
                <w:sz w:val="17"/>
              </w:rPr>
              <w:t>Missing warning indicators for stores with lease expiries within 6 months. Recommend linking lease expiry alert to Operational dashboard to prevent sudden store closures.</w:t>
            </w:r>
          </w:p>
        </w:tc>
      </w:tr>
      <w:tr>
        <w:tc>
          <w:tcPr>
            <w:tcW w:type="dxa" w:w="2484"/>
            <w:tcMar>
              <w:top w:w="80" w:type="dxa"/>
              <w:bottom w:w="80" w:type="dxa"/>
              <w:left w:w="100" w:type="dxa"/>
              <w:right w:w="100" w:type="dxa"/>
            </w:tcMar>
            <w:shd w:fill="FFFFFF"/>
          </w:tcPr>
          <w:p>
            <w:pPr>
              <w:spacing w:before="80" w:after="80"/>
            </w:pPr>
            <w:r>
              <w:rPr>
                <w:sz w:val="17"/>
              </w:rPr>
              <w:t>Utilities Cost</w:t>
            </w:r>
          </w:p>
        </w:tc>
        <w:tc>
          <w:tcPr>
            <w:tcW w:type="dxa" w:w="2484"/>
            <w:tcMar>
              <w:top w:w="80" w:type="dxa"/>
              <w:bottom w:w="80" w:type="dxa"/>
              <w:left w:w="100" w:type="dxa"/>
              <w:right w:w="100" w:type="dxa"/>
            </w:tcMar>
            <w:shd w:fill="FFFFFF"/>
          </w:tcPr>
          <w:p>
            <w:pPr>
              <w:spacing w:before="80" w:after="80"/>
            </w:pPr>
            <w:r>
              <w:rPr>
                <w:sz w:val="17"/>
              </w:rPr>
              <w:t>API / Manual Upload</w:t>
            </w:r>
          </w:p>
        </w:tc>
        <w:tc>
          <w:tcPr>
            <w:tcW w:type="dxa" w:w="2484"/>
            <w:tcMar>
              <w:top w:w="80" w:type="dxa"/>
              <w:bottom w:w="80" w:type="dxa"/>
              <w:left w:w="100" w:type="dxa"/>
              <w:right w:w="100" w:type="dxa"/>
            </w:tcMar>
            <w:shd w:fill="FFFFFF"/>
          </w:tcPr>
          <w:p>
            <w:pPr>
              <w:spacing w:before="80" w:after="80"/>
            </w:pPr>
            <w:r>
              <w:rPr>
                <w:sz w:val="17"/>
              </w:rPr>
              <w:t>Monitors power, water, and connectivity bills across branches to optimize energy usage and track green initiatives.</w:t>
            </w:r>
          </w:p>
        </w:tc>
        <w:tc>
          <w:tcPr>
            <w:tcW w:type="dxa" w:w="2484"/>
            <w:tcMar>
              <w:top w:w="80" w:type="dxa"/>
              <w:bottom w:w="80" w:type="dxa"/>
              <w:left w:w="100" w:type="dxa"/>
              <w:right w:w="100" w:type="dxa"/>
            </w:tcMar>
            <w:shd w:fill="FFFFFF"/>
          </w:tcPr>
          <w:p>
            <w:pPr>
              <w:spacing w:before="80" w:after="80"/>
            </w:pPr>
            <w:r>
              <w:rPr>
                <w:sz w:val="17"/>
              </w:rPr>
              <w:t>Lacks correlation with peak seasonal ambient temperatures or green initiatives. Recommend adding energy efficiency ratios per outlet area (kWh/sqm).</w:t>
            </w:r>
          </w:p>
        </w:tc>
      </w:tr>
      <w:tr>
        <w:tc>
          <w:tcPr>
            <w:tcW w:type="dxa" w:w="2484"/>
            <w:tcMar>
              <w:top w:w="80" w:type="dxa"/>
              <w:bottom w:w="80" w:type="dxa"/>
              <w:left w:w="100" w:type="dxa"/>
              <w:right w:w="100" w:type="dxa"/>
            </w:tcMar>
            <w:shd w:fill="F9FAFB"/>
          </w:tcPr>
          <w:p>
            <w:pPr>
              <w:spacing w:before="80" w:after="80"/>
            </w:pPr>
            <w:r>
              <w:rPr>
                <w:sz w:val="17"/>
              </w:rPr>
              <w:t>Operational Efficiency KPI</w:t>
            </w:r>
          </w:p>
        </w:tc>
        <w:tc>
          <w:tcPr>
            <w:tcW w:type="dxa" w:w="2484"/>
            <w:tcMar>
              <w:top w:w="80" w:type="dxa"/>
              <w:bottom w:w="80" w:type="dxa"/>
              <w:left w:w="100" w:type="dxa"/>
              <w:right w:w="100" w:type="dxa"/>
            </w:tcMar>
            <w:shd w:fill="F9FAFB"/>
          </w:tcPr>
          <w:p>
            <w:pPr>
              <w:spacing w:before="80" w:after="80"/>
            </w:pPr>
            <w:r>
              <w:rPr>
                <w:sz w:val="17"/>
              </w:rPr>
              <w:t>API/ERP Calculation</w:t>
            </w:r>
          </w:p>
        </w:tc>
        <w:tc>
          <w:tcPr>
            <w:tcW w:type="dxa" w:w="2484"/>
            <w:tcMar>
              <w:top w:w="80" w:type="dxa"/>
              <w:bottom w:w="80" w:type="dxa"/>
              <w:left w:w="100" w:type="dxa"/>
              <w:right w:w="100" w:type="dxa"/>
            </w:tcMar>
            <w:shd w:fill="F9FAFB"/>
          </w:tcPr>
          <w:p>
            <w:pPr>
              <w:spacing w:before="80" w:after="80"/>
            </w:pPr>
            <w:r>
              <w:rPr>
                <w:sz w:val="17"/>
              </w:rPr>
              <w:t>Aggregates key store metrics like Same-Store Sales Growth, Transaction Counts, and Average Ticket Size to evaluate retail/F&amp;B health.</w:t>
            </w:r>
          </w:p>
        </w:tc>
        <w:tc>
          <w:tcPr>
            <w:tcW w:type="dxa" w:w="2484"/>
            <w:tcMar>
              <w:top w:w="80" w:type="dxa"/>
              <w:bottom w:w="80" w:type="dxa"/>
              <w:left w:w="100" w:type="dxa"/>
              <w:right w:w="100" w:type="dxa"/>
            </w:tcMar>
            <w:shd w:fill="F9FAFB"/>
          </w:tcPr>
          <w:p>
            <w:pPr>
              <w:spacing w:before="80" w:after="80"/>
            </w:pPr>
            <w:r>
              <w:rPr>
                <w:sz w:val="17"/>
              </w:rPr>
              <w:t>Missing customer satisfaction metrics. Recommend adding Net Promoter Score (NPS) indicators to correlate service efficiency with revenue trends.</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MARKETING MODULE</w:t>
            </w:r>
          </w:p>
        </w:tc>
      </w:tr>
      <w:tr>
        <w:tc>
          <w:tcPr>
            <w:tcW w:type="dxa" w:w="2484"/>
            <w:tcMar>
              <w:top w:w="80" w:type="dxa"/>
              <w:bottom w:w="80" w:type="dxa"/>
              <w:left w:w="100" w:type="dxa"/>
              <w:right w:w="100" w:type="dxa"/>
            </w:tcMar>
            <w:shd w:fill="FFFFFF"/>
          </w:tcPr>
          <w:p>
            <w:pPr>
              <w:spacing w:before="80" w:after="80"/>
            </w:pPr>
            <w:r>
              <w:rPr>
                <w:sz w:val="17"/>
              </w:rPr>
              <w:t>Total Marketing Spend</w:t>
            </w:r>
          </w:p>
        </w:tc>
        <w:tc>
          <w:tcPr>
            <w:tcW w:type="dxa" w:w="2484"/>
            <w:tcMar>
              <w:top w:w="80" w:type="dxa"/>
              <w:bottom w:w="80" w:type="dxa"/>
              <w:left w:w="100" w:type="dxa"/>
              <w:right w:w="100" w:type="dxa"/>
            </w:tcMar>
            <w:shd w:fill="FFFFFF"/>
          </w:tcPr>
          <w:p>
            <w:pPr>
              <w:spacing w:before="80" w:after="80"/>
            </w:pPr>
            <w:r>
              <w:rPr>
                <w:sz w:val="17"/>
              </w:rPr>
              <w:t>ERP &amp; Manual Upload</w:t>
            </w:r>
          </w:p>
        </w:tc>
        <w:tc>
          <w:tcPr>
            <w:tcW w:type="dxa" w:w="2484"/>
            <w:tcMar>
              <w:top w:w="80" w:type="dxa"/>
              <w:bottom w:w="80" w:type="dxa"/>
              <w:left w:w="100" w:type="dxa"/>
              <w:right w:w="100" w:type="dxa"/>
            </w:tcMar>
            <w:shd w:fill="FFFFFF"/>
          </w:tcPr>
          <w:p>
            <w:pPr>
              <w:spacing w:before="80" w:after="80"/>
            </w:pPr>
            <w:r>
              <w:rPr>
                <w:sz w:val="17"/>
              </w:rPr>
              <w:t>Monitors the overall marketing budget allocated across digital channels, physical event activation, KOL partnerships, and public relations (PR) campaigns to track brand support expenditures.</w:t>
            </w:r>
          </w:p>
        </w:tc>
        <w:tc>
          <w:tcPr>
            <w:tcW w:type="dxa" w:w="2484"/>
            <w:tcMar>
              <w:top w:w="80" w:type="dxa"/>
              <w:bottom w:w="80" w:type="dxa"/>
              <w:left w:w="100" w:type="dxa"/>
              <w:right w:w="100" w:type="dxa"/>
            </w:tcMar>
            <w:shd w:fill="FFFFFF"/>
          </w:tcPr>
          <w:p>
            <w:pPr>
              <w:spacing w:before="80" w:after="80"/>
            </w:pPr>
            <w:r>
              <w:rPr>
                <w:sz w:val="17"/>
              </w:rPr>
              <w:t>Lacks dynamic allocation rules matching seasonal campaigns. Future roadmap should support real-time sync with marketing agency invoicing tools.</w:t>
            </w:r>
          </w:p>
        </w:tc>
      </w:tr>
      <w:tr>
        <w:tc>
          <w:tcPr>
            <w:tcW w:type="dxa" w:w="2484"/>
            <w:tcMar>
              <w:top w:w="80" w:type="dxa"/>
              <w:bottom w:w="80" w:type="dxa"/>
              <w:left w:w="100" w:type="dxa"/>
              <w:right w:w="100" w:type="dxa"/>
            </w:tcMar>
            <w:shd w:fill="F9FAFB"/>
          </w:tcPr>
          <w:p>
            <w:pPr>
              <w:spacing w:before="80" w:after="80"/>
            </w:pPr>
            <w:r>
              <w:rPr>
                <w:sz w:val="17"/>
              </w:rPr>
              <w:t>Blended ROAS</w:t>
            </w:r>
          </w:p>
        </w:tc>
        <w:tc>
          <w:tcPr>
            <w:tcW w:type="dxa" w:w="2484"/>
            <w:tcMar>
              <w:top w:w="80" w:type="dxa"/>
              <w:bottom w:w="80" w:type="dxa"/>
              <w:left w:w="100" w:type="dxa"/>
              <w:right w:w="100" w:type="dxa"/>
            </w:tcMar>
            <w:shd w:fill="F9FAFB"/>
          </w:tcPr>
          <w:p>
            <w:pPr>
              <w:spacing w:before="80" w:after="80"/>
            </w:pPr>
            <w:r>
              <w:rPr>
                <w:sz w:val="17"/>
              </w:rPr>
              <w:t>API Integration</w:t>
            </w:r>
          </w:p>
        </w:tc>
        <w:tc>
          <w:tcPr>
            <w:tcW w:type="dxa" w:w="2484"/>
            <w:tcMar>
              <w:top w:w="80" w:type="dxa"/>
              <w:bottom w:w="80" w:type="dxa"/>
              <w:left w:w="100" w:type="dxa"/>
              <w:right w:w="100" w:type="dxa"/>
            </w:tcMar>
            <w:shd w:fill="F9FAFB"/>
          </w:tcPr>
          <w:p>
            <w:pPr>
              <w:spacing w:before="80" w:after="80"/>
            </w:pPr>
            <w:r>
              <w:rPr>
                <w:sz w:val="17"/>
              </w:rPr>
              <w:t>Tracks the aggregate Return on Ad Spend (ROAS) across segments, providing insight into sales generated per rupiah spent on digital media advertising.</w:t>
            </w:r>
          </w:p>
        </w:tc>
        <w:tc>
          <w:tcPr>
            <w:tcW w:type="dxa" w:w="2484"/>
            <w:tcMar>
              <w:top w:w="80" w:type="dxa"/>
              <w:bottom w:w="80" w:type="dxa"/>
              <w:left w:w="100" w:type="dxa"/>
              <w:right w:w="100" w:type="dxa"/>
            </w:tcMar>
            <w:shd w:fill="F9FAFB"/>
          </w:tcPr>
          <w:p>
            <w:pPr>
              <w:spacing w:before="80" w:after="80"/>
            </w:pPr>
            <w:r>
              <w:rPr>
                <w:sz w:val="17"/>
              </w:rPr>
              <w:t>Currently tracks aggregate blended numbers. Future plans should split ROAS by organic search, social ads, and referral programs.</w:t>
            </w:r>
          </w:p>
        </w:tc>
      </w:tr>
      <w:tr>
        <w:tc>
          <w:tcPr>
            <w:tcW w:type="dxa" w:w="2484"/>
            <w:tcMar>
              <w:top w:w="80" w:type="dxa"/>
              <w:bottom w:w="80" w:type="dxa"/>
              <w:left w:w="100" w:type="dxa"/>
              <w:right w:w="100" w:type="dxa"/>
            </w:tcMar>
            <w:shd w:fill="FFFFFF"/>
          </w:tcPr>
          <w:p>
            <w:pPr>
              <w:spacing w:before="80" w:after="80"/>
            </w:pPr>
            <w:r>
              <w:rPr>
                <w:sz w:val="17"/>
              </w:rPr>
              <w:t>Cost Per Acquisition (CAC)</w:t>
            </w:r>
          </w:p>
        </w:tc>
        <w:tc>
          <w:tcPr>
            <w:tcW w:type="dxa" w:w="2484"/>
            <w:tcMar>
              <w:top w:w="80" w:type="dxa"/>
              <w:bottom w:w="80" w:type="dxa"/>
              <w:left w:w="100" w:type="dxa"/>
              <w:right w:w="100" w:type="dxa"/>
            </w:tcMar>
            <w:shd w:fill="FFFFFF"/>
          </w:tcPr>
          <w:p>
            <w:pPr>
              <w:spacing w:before="80" w:after="80"/>
            </w:pPr>
            <w:r>
              <w:rPr>
                <w:sz w:val="17"/>
              </w:rPr>
              <w:t>API Calculation</w:t>
            </w:r>
          </w:p>
        </w:tc>
        <w:tc>
          <w:tcPr>
            <w:tcW w:type="dxa" w:w="2484"/>
            <w:tcMar>
              <w:top w:w="80" w:type="dxa"/>
              <w:bottom w:w="80" w:type="dxa"/>
              <w:left w:w="100" w:type="dxa"/>
              <w:right w:w="100" w:type="dxa"/>
            </w:tcMar>
            <w:shd w:fill="FFFFFF"/>
          </w:tcPr>
          <w:p>
            <w:pPr>
              <w:spacing w:before="80" w:after="80"/>
            </w:pPr>
            <w:r>
              <w:rPr>
                <w:sz w:val="17"/>
              </w:rPr>
              <w:t>Tracks the average marketing expense incurred to acquire one active purchasing customer, monitoring campaign efficiency and user targeting effectiveness.</w:t>
            </w:r>
          </w:p>
        </w:tc>
        <w:tc>
          <w:tcPr>
            <w:tcW w:type="dxa" w:w="2484"/>
            <w:tcMar>
              <w:top w:w="80" w:type="dxa"/>
              <w:bottom w:w="80" w:type="dxa"/>
              <w:left w:w="100" w:type="dxa"/>
              <w:right w:w="100" w:type="dxa"/>
            </w:tcMar>
            <w:shd w:fill="FFFFFF"/>
          </w:tcPr>
          <w:p>
            <w:pPr>
              <w:spacing w:before="80" w:after="80"/>
            </w:pPr>
            <w:r>
              <w:rPr>
                <w:sz w:val="17"/>
              </w:rPr>
              <w:t>Customer lifetime value (LTV) correlation is not modeled. Recommend linking CAC with Customer Loyalty/LTV databases to measure ROI over 12 months.</w:t>
            </w:r>
          </w:p>
        </w:tc>
      </w:tr>
      <w:tr>
        <w:tc>
          <w:tcPr>
            <w:tcW w:type="dxa" w:w="2484"/>
            <w:tcMar>
              <w:top w:w="80" w:type="dxa"/>
              <w:bottom w:w="80" w:type="dxa"/>
              <w:left w:w="100" w:type="dxa"/>
              <w:right w:w="100" w:type="dxa"/>
            </w:tcMar>
            <w:shd w:fill="F9FAFB"/>
          </w:tcPr>
          <w:p>
            <w:pPr>
              <w:spacing w:before="80" w:after="80"/>
            </w:pPr>
            <w:r>
              <w:rPr>
                <w:sz w:val="17"/>
              </w:rPr>
              <w:t>Digital Engagement Rate</w:t>
            </w:r>
          </w:p>
        </w:tc>
        <w:tc>
          <w:tcPr>
            <w:tcW w:type="dxa" w:w="2484"/>
            <w:tcMar>
              <w:top w:w="80" w:type="dxa"/>
              <w:bottom w:w="80" w:type="dxa"/>
              <w:left w:w="100" w:type="dxa"/>
              <w:right w:w="100" w:type="dxa"/>
            </w:tcMar>
            <w:shd w:fill="F9FAFB"/>
          </w:tcPr>
          <w:p>
            <w:pPr>
              <w:spacing w:before="80" w:after="80"/>
            </w:pPr>
            <w:r>
              <w:rPr>
                <w:sz w:val="17"/>
              </w:rPr>
              <w:t>API Integration</w:t>
            </w:r>
          </w:p>
        </w:tc>
        <w:tc>
          <w:tcPr>
            <w:tcW w:type="dxa" w:w="2484"/>
            <w:tcMar>
              <w:top w:w="80" w:type="dxa"/>
              <w:bottom w:w="80" w:type="dxa"/>
              <w:left w:w="100" w:type="dxa"/>
              <w:right w:w="100" w:type="dxa"/>
            </w:tcMar>
            <w:shd w:fill="F9FAFB"/>
          </w:tcPr>
          <w:p>
            <w:pPr>
              <w:spacing w:before="80" w:after="80"/>
            </w:pPr>
            <w:r>
              <w:rPr>
                <w:sz w:val="17"/>
              </w:rPr>
              <w:t>Measures audience interactions (likes, comments, saves, shares) on social platforms relative to impressions, tracking brand affinity and social media strength.</w:t>
            </w:r>
          </w:p>
        </w:tc>
        <w:tc>
          <w:tcPr>
            <w:tcW w:type="dxa" w:w="2484"/>
            <w:tcMar>
              <w:top w:w="80" w:type="dxa"/>
              <w:bottom w:w="80" w:type="dxa"/>
              <w:left w:w="100" w:type="dxa"/>
              <w:right w:w="100" w:type="dxa"/>
            </w:tcMar>
            <w:shd w:fill="F9FAFB"/>
          </w:tcPr>
          <w:p>
            <w:pPr>
              <w:spacing w:before="80" w:after="80"/>
            </w:pPr>
            <w:r>
              <w:rPr>
                <w:sz w:val="17"/>
              </w:rPr>
              <w:t>Relies on static monthly imports. Recommend connecting directly to Instagram, TikTok, and Google Analytics API webhooks for automatic ingestion.</w:t>
            </w:r>
          </w:p>
        </w:tc>
      </w:tr>
      <w:tr>
        <w:tc>
          <w:tcPr>
            <w:tcW w:type="dxa" w:w="2484"/>
            <w:tcMar>
              <w:top w:w="80" w:type="dxa"/>
              <w:bottom w:w="80" w:type="dxa"/>
              <w:left w:w="100" w:type="dxa"/>
              <w:right w:w="100" w:type="dxa"/>
            </w:tcMar>
            <w:shd w:fill="FFFFFF"/>
          </w:tcPr>
          <w:p>
            <w:pPr>
              <w:spacing w:before="80" w:after="80"/>
            </w:pPr>
            <w:r>
              <w:rPr>
                <w:sz w:val="17"/>
              </w:rPr>
              <w:t>Spend Allocation by Channel</w:t>
            </w:r>
          </w:p>
        </w:tc>
        <w:tc>
          <w:tcPr>
            <w:tcW w:type="dxa" w:w="2484"/>
            <w:tcMar>
              <w:top w:w="80" w:type="dxa"/>
              <w:bottom w:w="80" w:type="dxa"/>
              <w:left w:w="100" w:type="dxa"/>
              <w:right w:w="100" w:type="dxa"/>
            </w:tcMar>
            <w:shd w:fill="FFFFFF"/>
          </w:tcPr>
          <w:p>
            <w:pPr>
              <w:spacing w:before="80" w:after="80"/>
            </w:pPr>
            <w:r>
              <w:rPr>
                <w:sz w:val="17"/>
              </w:rPr>
              <w:t>API / Manual Upload</w:t>
            </w:r>
          </w:p>
        </w:tc>
        <w:tc>
          <w:tcPr>
            <w:tcW w:type="dxa" w:w="2484"/>
            <w:tcMar>
              <w:top w:w="80" w:type="dxa"/>
              <w:bottom w:w="80" w:type="dxa"/>
              <w:left w:w="100" w:type="dxa"/>
              <w:right w:w="100" w:type="dxa"/>
            </w:tcMar>
            <w:shd w:fill="FFFFFF"/>
          </w:tcPr>
          <w:p>
            <w:pPr>
              <w:spacing w:before="80" w:after="80"/>
            </w:pPr>
            <w:r>
              <w:rPr>
                <w:sz w:val="17"/>
              </w:rPr>
              <w:t>Interactive channel analysis allowing marketing managers to compare spend distributions across pilar channels and drill down into sub-channels.</w:t>
            </w:r>
          </w:p>
        </w:tc>
        <w:tc>
          <w:tcPr>
            <w:tcW w:type="dxa" w:w="2484"/>
            <w:tcMar>
              <w:top w:w="80" w:type="dxa"/>
              <w:bottom w:w="80" w:type="dxa"/>
              <w:left w:w="100" w:type="dxa"/>
              <w:right w:w="100" w:type="dxa"/>
            </w:tcMar>
            <w:shd w:fill="FFFFFF"/>
          </w:tcPr>
          <w:p>
            <w:pPr>
              <w:spacing w:before="80" w:after="80"/>
            </w:pPr>
            <w:r>
              <w:rPr>
                <w:sz w:val="17"/>
              </w:rPr>
              <w:t>Lacks automated recommendation models. Future updates should suggest shifts in spend based on channel-specific ROI changes.</w:t>
            </w:r>
          </w:p>
        </w:tc>
      </w:tr>
      <w:tr>
        <w:tc>
          <w:tcPr>
            <w:tcW w:type="dxa" w:w="2484"/>
            <w:tcMar>
              <w:top w:w="80" w:type="dxa"/>
              <w:bottom w:w="80" w:type="dxa"/>
              <w:left w:w="100" w:type="dxa"/>
              <w:right w:w="100" w:type="dxa"/>
            </w:tcMar>
            <w:shd w:fill="F9FAFB"/>
          </w:tcPr>
          <w:p>
            <w:pPr>
              <w:spacing w:before="80" w:after="80"/>
            </w:pPr>
            <w:r>
              <w:rPr>
                <w:sz w:val="17"/>
              </w:rPr>
              <w:t>Marketing Expenses Breakdown</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Detailed accounting list of tactical operational marketing expenses, providing cost controllers clarity on exact budget distributions.</w:t>
            </w:r>
          </w:p>
        </w:tc>
        <w:tc>
          <w:tcPr>
            <w:tcW w:type="dxa" w:w="2484"/>
            <w:tcMar>
              <w:top w:w="80" w:type="dxa"/>
              <w:bottom w:w="80" w:type="dxa"/>
              <w:left w:w="100" w:type="dxa"/>
              <w:right w:w="100" w:type="dxa"/>
            </w:tcMar>
            <w:shd w:fill="F9FAFB"/>
          </w:tcPr>
          <w:p>
            <w:pPr>
              <w:spacing w:before="80" w:after="80"/>
            </w:pPr>
            <w:r>
              <w:rPr>
                <w:sz w:val="17"/>
              </w:rPr>
              <w:t>Does not allow checking individual payment invoices. Recommend linking with Accounts Payable general ledgers.</w:t>
            </w:r>
          </w:p>
        </w:tc>
      </w:tr>
      <w:tr>
        <w:tc>
          <w:tcPr>
            <w:tcW w:type="dxa" w:w="2484"/>
            <w:tcMar>
              <w:top w:w="80" w:type="dxa"/>
              <w:bottom w:w="80" w:type="dxa"/>
              <w:left w:w="100" w:type="dxa"/>
              <w:right w:w="100" w:type="dxa"/>
            </w:tcMar>
            <w:shd w:fill="FFFFFF"/>
          </w:tcPr>
          <w:p>
            <w:pPr>
              <w:spacing w:before="80" w:after="80"/>
            </w:pPr>
            <w:r>
              <w:rPr>
                <w:sz w:val="17"/>
              </w:rPr>
              <w:t>Tactical Metrics &amp; Goals</w:t>
            </w:r>
          </w:p>
        </w:tc>
        <w:tc>
          <w:tcPr>
            <w:tcW w:type="dxa" w:w="2484"/>
            <w:tcMar>
              <w:top w:w="80" w:type="dxa"/>
              <w:bottom w:w="80" w:type="dxa"/>
              <w:left w:w="100" w:type="dxa"/>
              <w:right w:w="100" w:type="dxa"/>
            </w:tcMar>
            <w:shd w:fill="FFFFFF"/>
          </w:tcPr>
          <w:p>
            <w:pPr>
              <w:spacing w:before="80" w:after="80"/>
            </w:pPr>
            <w:r>
              <w:rPr>
                <w:sz w:val="17"/>
              </w:rPr>
              <w:t>API / Manual Upload</w:t>
            </w:r>
          </w:p>
        </w:tc>
        <w:tc>
          <w:tcPr>
            <w:tcW w:type="dxa" w:w="2484"/>
            <w:tcMar>
              <w:top w:w="80" w:type="dxa"/>
              <w:bottom w:w="80" w:type="dxa"/>
              <w:left w:w="100" w:type="dxa"/>
              <w:right w:w="100" w:type="dxa"/>
            </w:tcMar>
            <w:shd w:fill="FFFFFF"/>
          </w:tcPr>
          <w:p>
            <w:pPr>
              <w:spacing w:before="80" w:after="80"/>
            </w:pPr>
            <w:r>
              <w:rPr>
                <w:sz w:val="17"/>
              </w:rPr>
              <w:t>Monitors specialized campaign performance metrics per segment (e.g. VIP customer retention for Retail, discount redemption for F&amp;B) against fixed targets.</w:t>
            </w:r>
          </w:p>
        </w:tc>
        <w:tc>
          <w:tcPr>
            <w:tcW w:type="dxa" w:w="2484"/>
            <w:tcMar>
              <w:top w:w="80" w:type="dxa"/>
              <w:bottom w:w="80" w:type="dxa"/>
              <w:left w:w="100" w:type="dxa"/>
              <w:right w:w="100" w:type="dxa"/>
            </w:tcMar>
            <w:shd w:fill="FFFFFF"/>
          </w:tcPr>
          <w:p>
            <w:pPr>
              <w:spacing w:before="80" w:after="80"/>
            </w:pPr>
            <w:r>
              <w:rPr>
                <w:sz w:val="17"/>
              </w:rPr>
              <w:t>Targets are set at static values. Suggest implementing machine-learning based target recommendations based on historical seasonal peaks.</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GENERAL AFFAIRS (GA) &amp; OPERATIONS</w:t>
            </w:r>
          </w:p>
        </w:tc>
      </w:tr>
      <w:tr>
        <w:tc>
          <w:tcPr>
            <w:tcW w:type="dxa" w:w="2484"/>
            <w:tcMar>
              <w:top w:w="80" w:type="dxa"/>
              <w:bottom w:w="80" w:type="dxa"/>
              <w:left w:w="100" w:type="dxa"/>
              <w:right w:w="100" w:type="dxa"/>
            </w:tcMar>
            <w:shd w:fill="FFEBEE"/>
          </w:tcPr>
          <w:p>
            <w:pPr>
              <w:spacing w:before="80" w:after="80"/>
            </w:pPr>
            <w:r>
              <w:rPr>
                <w:b/>
                <w:color w:val="D32F2F"/>
                <w:sz w:val="17"/>
              </w:rPr>
              <w:t>Company asset management</w:t>
            </w:r>
          </w:p>
        </w:tc>
        <w:tc>
          <w:tcPr>
            <w:tcW w:type="dxa" w:w="2484"/>
            <w:tcMar>
              <w:top w:w="80" w:type="dxa"/>
              <w:bottom w:w="80" w:type="dxa"/>
              <w:left w:w="100" w:type="dxa"/>
              <w:right w:w="100" w:type="dxa"/>
            </w:tcMar>
            <w:shd w:fill="FFEBEE"/>
          </w:tcPr>
          <w:p>
            <w:pPr>
              <w:spacing w:before="80" w:after="80"/>
            </w:pPr>
            <w:r>
              <w:rPr>
                <w:color w:val="D32F2F"/>
                <w:sz w:val="17"/>
              </w:rPr>
              <w:t>ERP Connection</w:t>
            </w:r>
          </w:p>
        </w:tc>
        <w:tc>
          <w:tcPr>
            <w:tcW w:type="dxa" w:w="2484"/>
            <w:tcMar>
              <w:top w:w="80" w:type="dxa"/>
              <w:bottom w:w="80" w:type="dxa"/>
              <w:left w:w="100" w:type="dxa"/>
              <w:right w:w="100" w:type="dxa"/>
            </w:tcMar>
            <w:shd w:fill="FFEBEE"/>
          </w:tcPr>
          <w:p>
            <w:pPr>
              <w:spacing w:before="80" w:after="80"/>
            </w:pPr>
            <w:r>
              <w:rPr>
                <w:color w:val="D32F2F"/>
                <w:sz w:val="17"/>
              </w:rPr>
              <w:t>Tracks physical assets, equipment, and hardware across the company to manage depreciation, assignments, and replacements.</w:t>
            </w:r>
          </w:p>
        </w:tc>
        <w:tc>
          <w:tcPr>
            <w:tcW w:type="dxa" w:w="2484"/>
            <w:tcMar>
              <w:top w:w="80" w:type="dxa"/>
              <w:bottom w:w="80" w:type="dxa"/>
              <w:left w:w="100" w:type="dxa"/>
              <w:right w:w="100" w:type="dxa"/>
            </w:tcMar>
            <w:shd w:fill="FFEBEE"/>
          </w:tcPr>
          <w:p>
            <w:pPr>
              <w:spacing w:before="80" w:after="80"/>
            </w:pPr>
            <w:r>
              <w:rPr>
                <w:color w:val="D32F2F"/>
                <w:sz w:val="17"/>
              </w:rPr>
              <w:t>GAP - The dashboard lacks a dedicated Asset Ledger screen. There is no screen to track asset locations, conditions, barcode scans, depreciation, or custodians. Recommend building an 'Asset Register' module.</w:t>
            </w:r>
          </w:p>
        </w:tc>
      </w:tr>
      <w:tr>
        <w:tc>
          <w:tcPr>
            <w:tcW w:type="dxa" w:w="2484"/>
            <w:tcMar>
              <w:top w:w="80" w:type="dxa"/>
              <w:bottom w:w="80" w:type="dxa"/>
              <w:left w:w="100" w:type="dxa"/>
              <w:right w:w="100" w:type="dxa"/>
            </w:tcMar>
            <w:shd w:fill="FFEBEE"/>
          </w:tcPr>
          <w:p>
            <w:pPr>
              <w:spacing w:before="80" w:after="80"/>
            </w:pPr>
            <w:r>
              <w:rPr>
                <w:b/>
                <w:color w:val="D32F2F"/>
                <w:sz w:val="17"/>
              </w:rPr>
              <w:t>Office facility management</w:t>
            </w:r>
          </w:p>
        </w:tc>
        <w:tc>
          <w:tcPr>
            <w:tcW w:type="dxa" w:w="2484"/>
            <w:tcMar>
              <w:top w:w="80" w:type="dxa"/>
              <w:bottom w:w="80" w:type="dxa"/>
              <w:left w:w="100" w:type="dxa"/>
              <w:right w:w="100" w:type="dxa"/>
            </w:tcMar>
            <w:shd w:fill="FFEBEE"/>
          </w:tcPr>
          <w:p>
            <w:pPr>
              <w:spacing w:before="80" w:after="80"/>
            </w:pPr>
            <w:r>
              <w:rPr>
                <w:color w:val="D32F2F"/>
                <w:sz w:val="17"/>
              </w:rPr>
              <w:t>Manual Upload / Admin Form</w:t>
            </w:r>
          </w:p>
        </w:tc>
        <w:tc>
          <w:tcPr>
            <w:tcW w:type="dxa" w:w="2484"/>
            <w:tcMar>
              <w:top w:w="80" w:type="dxa"/>
              <w:bottom w:w="80" w:type="dxa"/>
              <w:left w:w="100" w:type="dxa"/>
              <w:right w:w="100" w:type="dxa"/>
            </w:tcMar>
            <w:shd w:fill="FFEBEE"/>
          </w:tcPr>
          <w:p>
            <w:pPr>
              <w:spacing w:before="80" w:after="80"/>
            </w:pPr>
            <w:r>
              <w:rPr>
                <w:color w:val="D32F2F"/>
                <w:sz w:val="17"/>
              </w:rPr>
              <w:t>Manages corporate workspace allocation, meeting rooms, utilities, and facility service request logs.</w:t>
            </w:r>
          </w:p>
        </w:tc>
        <w:tc>
          <w:tcPr>
            <w:tcW w:type="dxa" w:w="2484"/>
            <w:tcMar>
              <w:top w:w="80" w:type="dxa"/>
              <w:bottom w:w="80" w:type="dxa"/>
              <w:left w:w="100" w:type="dxa"/>
              <w:right w:w="100" w:type="dxa"/>
            </w:tcMar>
            <w:shd w:fill="FFEBEE"/>
          </w:tcPr>
          <w:p>
            <w:pPr>
              <w:spacing w:before="80" w:after="80"/>
            </w:pPr>
            <w:r>
              <w:rPr>
                <w:color w:val="D32F2F"/>
                <w:sz w:val="17"/>
              </w:rPr>
              <w:t>GAP: No module to manage office facility space allocation, desk bookings, energy usage, or facilities maintenance SLAs. Recommend adding a 'Facilities Management' tracker.</w:t>
            </w:r>
          </w:p>
        </w:tc>
      </w:tr>
      <w:tr>
        <w:tc>
          <w:tcPr>
            <w:tcW w:type="dxa" w:w="2484"/>
            <w:tcMar>
              <w:top w:w="80" w:type="dxa"/>
              <w:bottom w:w="80" w:type="dxa"/>
              <w:left w:w="100" w:type="dxa"/>
              <w:right w:w="100" w:type="dxa"/>
            </w:tcMar>
            <w:shd w:fill="FFEBEE"/>
          </w:tcPr>
          <w:p>
            <w:pPr>
              <w:spacing w:before="80" w:after="80"/>
            </w:pPr>
            <w:r>
              <w:rPr>
                <w:b/>
                <w:color w:val="D32F2F"/>
                <w:sz w:val="17"/>
              </w:rPr>
              <w:t>Vehicle administration</w:t>
            </w:r>
          </w:p>
        </w:tc>
        <w:tc>
          <w:tcPr>
            <w:tcW w:type="dxa" w:w="2484"/>
            <w:tcMar>
              <w:top w:w="80" w:type="dxa"/>
              <w:bottom w:w="80" w:type="dxa"/>
              <w:left w:w="100" w:type="dxa"/>
              <w:right w:w="100" w:type="dxa"/>
            </w:tcMar>
            <w:shd w:fill="FFEBEE"/>
          </w:tcPr>
          <w:p>
            <w:pPr>
              <w:spacing w:before="80" w:after="80"/>
            </w:pPr>
            <w:r>
              <w:rPr>
                <w:color w:val="D32F2F"/>
                <w:sz w:val="17"/>
              </w:rPr>
              <w:t>Manual Upload / Admin Form</w:t>
            </w:r>
          </w:p>
        </w:tc>
        <w:tc>
          <w:tcPr>
            <w:tcW w:type="dxa" w:w="2484"/>
            <w:tcMar>
              <w:top w:w="80" w:type="dxa"/>
              <w:bottom w:w="80" w:type="dxa"/>
              <w:left w:w="100" w:type="dxa"/>
              <w:right w:w="100" w:type="dxa"/>
            </w:tcMar>
            <w:shd w:fill="FFEBEE"/>
          </w:tcPr>
          <w:p>
            <w:pPr>
              <w:spacing w:before="80" w:after="80"/>
            </w:pPr>
            <w:r>
              <w:rPr>
                <w:color w:val="D32F2F"/>
                <w:sz w:val="17"/>
              </w:rPr>
              <w:t>Tracks fleet vehicles, fuel expenses, driver assignments, and maintenance logs to control logistics and travel costs.</w:t>
            </w:r>
          </w:p>
        </w:tc>
        <w:tc>
          <w:tcPr>
            <w:tcW w:type="dxa" w:w="2484"/>
            <w:tcMar>
              <w:top w:w="80" w:type="dxa"/>
              <w:bottom w:w="80" w:type="dxa"/>
              <w:left w:w="100" w:type="dxa"/>
              <w:right w:w="100" w:type="dxa"/>
            </w:tcMar>
            <w:shd w:fill="FFEBEE"/>
          </w:tcPr>
          <w:p>
            <w:pPr>
              <w:spacing w:before="80" w:after="80"/>
            </w:pPr>
            <w:r>
              <w:rPr>
                <w:color w:val="D32F2F"/>
                <w:sz w:val="17"/>
              </w:rPr>
              <w:t>GAP: Missing tracking of company vehicles, fuel usage, service schedules, driver logs, and vehicle depreciation. Recommend building a 'Fleet Management' sheet/tab.</w:t>
            </w:r>
          </w:p>
        </w:tc>
      </w:tr>
      <w:tr>
        <w:tc>
          <w:tcPr>
            <w:tcW w:type="dxa" w:w="2484"/>
            <w:tcMar>
              <w:top w:w="80" w:type="dxa"/>
              <w:bottom w:w="80" w:type="dxa"/>
              <w:left w:w="100" w:type="dxa"/>
              <w:right w:w="100" w:type="dxa"/>
            </w:tcMar>
            <w:shd w:fill="FFEBEE"/>
          </w:tcPr>
          <w:p>
            <w:pPr>
              <w:spacing w:before="80" w:after="80"/>
            </w:pPr>
            <w:r>
              <w:rPr>
                <w:b/>
                <w:color w:val="D32F2F"/>
                <w:sz w:val="17"/>
              </w:rPr>
              <w:t>Office maintenance tracking</w:t>
            </w:r>
          </w:p>
        </w:tc>
        <w:tc>
          <w:tcPr>
            <w:tcW w:type="dxa" w:w="2484"/>
            <w:tcMar>
              <w:top w:w="80" w:type="dxa"/>
              <w:bottom w:w="80" w:type="dxa"/>
              <w:left w:w="100" w:type="dxa"/>
              <w:right w:w="100" w:type="dxa"/>
            </w:tcMar>
            <w:shd w:fill="FFEBEE"/>
          </w:tcPr>
          <w:p>
            <w:pPr>
              <w:spacing w:before="80" w:after="80"/>
            </w:pPr>
            <w:r>
              <w:rPr>
                <w:color w:val="D32F2F"/>
                <w:sz w:val="17"/>
              </w:rPr>
              <w:t>Manual Upload / Ticketing Engine</w:t>
            </w:r>
          </w:p>
        </w:tc>
        <w:tc>
          <w:tcPr>
            <w:tcW w:type="dxa" w:w="2484"/>
            <w:tcMar>
              <w:top w:w="80" w:type="dxa"/>
              <w:bottom w:w="80" w:type="dxa"/>
              <w:left w:w="100" w:type="dxa"/>
              <w:right w:w="100" w:type="dxa"/>
            </w:tcMar>
            <w:shd w:fill="FFEBEE"/>
          </w:tcPr>
          <w:p>
            <w:pPr>
              <w:spacing w:before="80" w:after="80"/>
            </w:pPr>
            <w:r>
              <w:rPr>
                <w:color w:val="D32F2F"/>
                <w:sz w:val="17"/>
              </w:rPr>
              <w:t>Monitors office repair requests and facilities issues to ensure a safe, functional work environment.</w:t>
            </w:r>
          </w:p>
        </w:tc>
        <w:tc>
          <w:tcPr>
            <w:tcW w:type="dxa" w:w="2484"/>
            <w:tcMar>
              <w:top w:w="80" w:type="dxa"/>
              <w:bottom w:w="80" w:type="dxa"/>
              <w:left w:w="100" w:type="dxa"/>
              <w:right w:w="100" w:type="dxa"/>
            </w:tcMar>
            <w:shd w:fill="FFEBEE"/>
          </w:tcPr>
          <w:p>
            <w:pPr>
              <w:spacing w:before="80" w:after="80"/>
            </w:pPr>
            <w:r>
              <w:rPr>
                <w:color w:val="D32F2F"/>
                <w:sz w:val="17"/>
              </w:rPr>
              <w:t>GAP: No ticketing database for facilities maintenance requests (e.g. HVAC, plumbing). Tracked only via general GA SLAs. Recommend adding an 'Office Work Orders' workflow.</w:t>
            </w:r>
          </w:p>
        </w:tc>
      </w:tr>
      <w:tr>
        <w:tc>
          <w:tcPr>
            <w:tcW w:type="dxa" w:w="2484"/>
            <w:tcMar>
              <w:top w:w="80" w:type="dxa"/>
              <w:bottom w:w="80" w:type="dxa"/>
              <w:left w:w="100" w:type="dxa"/>
              <w:right w:w="100" w:type="dxa"/>
            </w:tcMar>
            <w:shd w:fill="F9FAFB"/>
          </w:tcPr>
          <w:p>
            <w:pPr>
              <w:spacing w:before="80" w:after="80"/>
            </w:pPr>
            <w:r>
              <w:rPr>
                <w:sz w:val="17"/>
              </w:rPr>
              <w:t>Vendor administration</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Tracks vendor compliance, delivery speed, and service quality to optimize supply chain and control procurement risks.</w:t>
            </w:r>
          </w:p>
        </w:tc>
        <w:tc>
          <w:tcPr>
            <w:tcW w:type="dxa" w:w="2484"/>
            <w:tcMar>
              <w:top w:w="80" w:type="dxa"/>
              <w:bottom w:w="80" w:type="dxa"/>
              <w:left w:w="100" w:type="dxa"/>
              <w:right w:w="100" w:type="dxa"/>
            </w:tcMar>
            <w:shd w:fill="F9FAFB"/>
          </w:tcPr>
          <w:p>
            <w:pPr>
              <w:spacing w:before="80" w:after="80"/>
            </w:pPr>
            <w:r>
              <w:rPr>
                <w:sz w:val="17"/>
              </w:rPr>
              <w:t>No active vendor onboarding or registration workflow. Recommend integrating with purchasing vendor register databases to check license expirations automatically.</w:t>
            </w:r>
          </w:p>
        </w:tc>
      </w:tr>
      <w:tr>
        <w:tc>
          <w:tcPr>
            <w:tcW w:type="dxa" w:w="2484"/>
            <w:tcMar>
              <w:top w:w="80" w:type="dxa"/>
              <w:bottom w:w="80" w:type="dxa"/>
              <w:left w:w="100" w:type="dxa"/>
              <w:right w:w="100" w:type="dxa"/>
            </w:tcMar>
            <w:shd w:fill="FFFFFF"/>
          </w:tcPr>
          <w:p>
            <w:pPr>
              <w:spacing w:before="80" w:after="80"/>
            </w:pPr>
            <w:r>
              <w:rPr>
                <w:sz w:val="17"/>
              </w:rPr>
              <w:t>Office operational expense monitoring</w:t>
            </w:r>
          </w:p>
        </w:tc>
        <w:tc>
          <w:tcPr>
            <w:tcW w:type="dxa" w:w="2484"/>
            <w:tcMar>
              <w:top w:w="80" w:type="dxa"/>
              <w:bottom w:w="80" w:type="dxa"/>
              <w:left w:w="100" w:type="dxa"/>
              <w:right w:w="100" w:type="dxa"/>
            </w:tcMar>
            <w:shd w:fill="FFFFFF"/>
          </w:tcPr>
          <w:p>
            <w:pPr>
              <w:spacing w:before="80" w:after="80"/>
            </w:pPr>
            <w:r>
              <w:rPr>
                <w:sz w:val="17"/>
              </w:rPr>
              <w:t>ERP Connection</w:t>
            </w:r>
          </w:p>
        </w:tc>
        <w:tc>
          <w:tcPr>
            <w:tcW w:type="dxa" w:w="2484"/>
            <w:tcMar>
              <w:top w:w="80" w:type="dxa"/>
              <w:bottom w:w="80" w:type="dxa"/>
              <w:left w:w="100" w:type="dxa"/>
              <w:right w:w="100" w:type="dxa"/>
            </w:tcMar>
            <w:shd w:fill="FFFFFF"/>
          </w:tcPr>
          <w:p>
            <w:pPr>
              <w:spacing w:before="80" w:after="80"/>
            </w:pPr>
            <w:r>
              <w:rPr>
                <w:sz w:val="17"/>
              </w:rPr>
              <w:t>Tracks day-to-day office overhead expenditures to prevent budget overruns in corporate headquarters.</w:t>
            </w:r>
          </w:p>
        </w:tc>
        <w:tc>
          <w:tcPr>
            <w:tcW w:type="dxa" w:w="2484"/>
            <w:tcMar>
              <w:top w:w="80" w:type="dxa"/>
              <w:bottom w:w="80" w:type="dxa"/>
              <w:left w:w="100" w:type="dxa"/>
              <w:right w:w="100" w:type="dxa"/>
            </w:tcMar>
            <w:shd w:fill="FFFFFF"/>
          </w:tcPr>
          <w:p>
            <w:pPr>
              <w:spacing w:before="80" w:after="80"/>
            </w:pPr>
            <w:r>
              <w:rPr>
                <w:sz w:val="17"/>
              </w:rPr>
              <w:t>Lacks cost distribution metrics per office building level. Recommend cost-per-seat calculations to optimize real estate utilization.</w:t>
            </w:r>
          </w:p>
        </w:tc>
      </w:tr>
      <w:tr>
        <w:tc>
          <w:tcPr>
            <w:tcW w:type="dxa" w:w="2484"/>
            <w:tcMar>
              <w:top w:w="80" w:type="dxa"/>
              <w:bottom w:w="80" w:type="dxa"/>
              <w:left w:w="100" w:type="dxa"/>
              <w:right w:w="100" w:type="dxa"/>
            </w:tcMar>
            <w:shd w:fill="F9FAFB"/>
          </w:tcPr>
          <w:p>
            <w:pPr>
              <w:spacing w:before="80" w:after="80"/>
            </w:pPr>
            <w:r>
              <w:rPr>
                <w:sz w:val="17"/>
              </w:rPr>
              <w:t>Purchase &amp; service request tracking</w:t>
            </w:r>
          </w:p>
        </w:tc>
        <w:tc>
          <w:tcPr>
            <w:tcW w:type="dxa" w:w="2484"/>
            <w:tcMar>
              <w:top w:w="80" w:type="dxa"/>
              <w:bottom w:w="80" w:type="dxa"/>
              <w:left w:w="100" w:type="dxa"/>
              <w:right w:w="100" w:type="dxa"/>
            </w:tcMar>
            <w:shd w:fill="F9FAFB"/>
          </w:tcPr>
          <w:p>
            <w:pPr>
              <w:spacing w:before="80" w:after="80"/>
            </w:pPr>
            <w:r>
              <w:rPr>
                <w:sz w:val="17"/>
              </w:rPr>
              <w:t>ERP Connection</w:t>
            </w:r>
          </w:p>
        </w:tc>
        <w:tc>
          <w:tcPr>
            <w:tcW w:type="dxa" w:w="2484"/>
            <w:tcMar>
              <w:top w:w="80" w:type="dxa"/>
              <w:bottom w:w="80" w:type="dxa"/>
              <w:left w:w="100" w:type="dxa"/>
              <w:right w:w="100" w:type="dxa"/>
            </w:tcMar>
            <w:shd w:fill="F9FAFB"/>
          </w:tcPr>
          <w:p>
            <w:pPr>
              <w:spacing w:before="80" w:after="80"/>
            </w:pPr>
            <w:r>
              <w:rPr>
                <w:sz w:val="17"/>
              </w:rPr>
              <w:t>Monitors procurement SLAs (turnaround times from purchase request to purchase order) to identify bottlenecks.</w:t>
            </w:r>
          </w:p>
        </w:tc>
        <w:tc>
          <w:tcPr>
            <w:tcW w:type="dxa" w:w="2484"/>
            <w:tcMar>
              <w:top w:w="80" w:type="dxa"/>
              <w:bottom w:w="80" w:type="dxa"/>
              <w:left w:w="100" w:type="dxa"/>
              <w:right w:w="100" w:type="dxa"/>
            </w:tcMar>
            <w:shd w:fill="F9FAFB"/>
          </w:tcPr>
          <w:p>
            <w:pPr>
              <w:spacing w:before="80" w:after="80"/>
            </w:pPr>
            <w:r>
              <w:rPr>
                <w:sz w:val="17"/>
              </w:rPr>
              <w:t>Cannot click an SLA bucket to view pending purchase request numbers. Recommend adding transactional drilldown dialogs showing approval bottlenecks.</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LEGAL MODULE</w:t>
            </w:r>
          </w:p>
        </w:tc>
      </w:tr>
      <w:tr>
        <w:tc>
          <w:tcPr>
            <w:tcW w:type="dxa" w:w="2484"/>
            <w:tcMar>
              <w:top w:w="80" w:type="dxa"/>
              <w:bottom w:w="80" w:type="dxa"/>
              <w:left w:w="100" w:type="dxa"/>
              <w:right w:w="100" w:type="dxa"/>
            </w:tcMar>
            <w:shd w:fill="FFFFFF"/>
          </w:tcPr>
          <w:p>
            <w:pPr>
              <w:spacing w:before="80" w:after="80"/>
            </w:pPr>
            <w:r>
              <w:rPr>
                <w:sz w:val="17"/>
              </w:rPr>
              <w:t>Contract repository</w:t>
            </w:r>
          </w:p>
        </w:tc>
        <w:tc>
          <w:tcPr>
            <w:tcW w:type="dxa" w:w="2484"/>
            <w:tcMar>
              <w:top w:w="80" w:type="dxa"/>
              <w:bottom w:w="80" w:type="dxa"/>
              <w:left w:w="100" w:type="dxa"/>
              <w:right w:w="100" w:type="dxa"/>
            </w:tcMar>
            <w:shd w:fill="FFFFFF"/>
          </w:tcPr>
          <w:p>
            <w:pPr>
              <w:spacing w:before="80" w:after="80"/>
            </w:pPr>
            <w:r>
              <w:rPr>
                <w:sz w:val="17"/>
              </w:rPr>
              <w:t>Manual Upload / Document API</w:t>
            </w:r>
          </w:p>
        </w:tc>
        <w:tc>
          <w:tcPr>
            <w:tcW w:type="dxa" w:w="2484"/>
            <w:tcMar>
              <w:top w:w="80" w:type="dxa"/>
              <w:bottom w:w="80" w:type="dxa"/>
              <w:left w:w="100" w:type="dxa"/>
              <w:right w:w="100" w:type="dxa"/>
            </w:tcMar>
            <w:shd w:fill="FFFFFF"/>
          </w:tcPr>
          <w:p>
            <w:pPr>
              <w:spacing w:before="80" w:after="80"/>
            </w:pPr>
            <w:r>
              <w:rPr>
                <w:sz w:val="17"/>
              </w:rPr>
              <w:t>Centralized log of active, pending, and expired contracts, providing legal teams immediate access to deal values, signing parties, and terms.</w:t>
            </w:r>
          </w:p>
        </w:tc>
        <w:tc>
          <w:tcPr>
            <w:tcW w:type="dxa" w:w="2484"/>
            <w:tcMar>
              <w:top w:w="80" w:type="dxa"/>
              <w:bottom w:w="80" w:type="dxa"/>
              <w:left w:w="100" w:type="dxa"/>
              <w:right w:w="100" w:type="dxa"/>
            </w:tcMar>
            <w:shd w:fill="FFFFFF"/>
          </w:tcPr>
          <w:p>
            <w:pPr>
              <w:spacing w:before="80" w:after="80"/>
            </w:pPr>
            <w:r>
              <w:rPr>
                <w:sz w:val="17"/>
              </w:rPr>
              <w:t>Contracts are represented as flat data. Cannot view audit histories. Recommend linking with a standard workflow tracker to show changes made during drafts.</w:t>
            </w:r>
          </w:p>
        </w:tc>
      </w:tr>
      <w:tr>
        <w:tc>
          <w:tcPr>
            <w:tcW w:type="dxa" w:w="2484"/>
            <w:tcMar>
              <w:top w:w="80" w:type="dxa"/>
              <w:bottom w:w="80" w:type="dxa"/>
              <w:left w:w="100" w:type="dxa"/>
              <w:right w:w="100" w:type="dxa"/>
            </w:tcMar>
            <w:shd w:fill="FFEBEE"/>
          </w:tcPr>
          <w:p>
            <w:pPr>
              <w:spacing w:before="80" w:after="80"/>
            </w:pPr>
            <w:r>
              <w:rPr>
                <w:b/>
                <w:color w:val="D32F2F"/>
                <w:sz w:val="17"/>
              </w:rPr>
              <w:t>Legal document management</w:t>
            </w:r>
          </w:p>
        </w:tc>
        <w:tc>
          <w:tcPr>
            <w:tcW w:type="dxa" w:w="2484"/>
            <w:tcMar>
              <w:top w:w="80" w:type="dxa"/>
              <w:bottom w:w="80" w:type="dxa"/>
              <w:left w:w="100" w:type="dxa"/>
              <w:right w:w="100" w:type="dxa"/>
            </w:tcMar>
            <w:shd w:fill="FFEBEE"/>
          </w:tcPr>
          <w:p>
            <w:pPr>
              <w:spacing w:before="80" w:after="80"/>
            </w:pPr>
            <w:r>
              <w:rPr>
                <w:color w:val="D32F2F"/>
                <w:sz w:val="17"/>
              </w:rPr>
              <w:t>Document API</w:t>
            </w:r>
          </w:p>
        </w:tc>
        <w:tc>
          <w:tcPr>
            <w:tcW w:type="dxa" w:w="2484"/>
            <w:tcMar>
              <w:top w:w="80" w:type="dxa"/>
              <w:bottom w:w="80" w:type="dxa"/>
              <w:left w:w="100" w:type="dxa"/>
              <w:right w:w="100" w:type="dxa"/>
            </w:tcMar>
            <w:shd w:fill="FFEBEE"/>
          </w:tcPr>
          <w:p>
            <w:pPr>
              <w:spacing w:before="80" w:after="80"/>
            </w:pPr>
            <w:r>
              <w:rPr>
                <w:color w:val="D32F2F"/>
                <w:sz w:val="17"/>
              </w:rPr>
              <w:t>Stores and manages executed legal documents, notary deeds, and license files securely.</w:t>
            </w:r>
          </w:p>
        </w:tc>
        <w:tc>
          <w:tcPr>
            <w:tcW w:type="dxa" w:w="2484"/>
            <w:tcMar>
              <w:top w:w="80" w:type="dxa"/>
              <w:bottom w:w="80" w:type="dxa"/>
              <w:left w:w="100" w:type="dxa"/>
              <w:right w:w="100" w:type="dxa"/>
            </w:tcMar>
            <w:shd w:fill="FFEBEE"/>
          </w:tcPr>
          <w:p>
            <w:pPr>
              <w:spacing w:before="80" w:after="80"/>
            </w:pPr>
            <w:r>
              <w:rPr>
                <w:color w:val="D32F2F"/>
                <w:sz w:val="17"/>
              </w:rPr>
              <w:t>GAP - Missing document store. The dashboard cannot preview PDF attachments, store executed scans, or manage drafts. Recommend linking with Google Cloud Storage or SharePoint documents for secure file viewing.</w:t>
            </w:r>
          </w:p>
        </w:tc>
      </w:tr>
      <w:tr>
        <w:tc>
          <w:tcPr>
            <w:tcW w:type="dxa" w:w="2484"/>
            <w:tcMar>
              <w:top w:w="80" w:type="dxa"/>
              <w:bottom w:w="80" w:type="dxa"/>
              <w:left w:w="100" w:type="dxa"/>
              <w:right w:w="100" w:type="dxa"/>
            </w:tcMar>
            <w:shd w:fill="FFEBEE"/>
          </w:tcPr>
          <w:p>
            <w:pPr>
              <w:spacing w:before="80" w:after="80"/>
            </w:pPr>
            <w:r>
              <w:rPr>
                <w:b/>
                <w:color w:val="D32F2F"/>
                <w:sz w:val="17"/>
              </w:rPr>
              <w:t>Contract approval workflow</w:t>
            </w:r>
          </w:p>
        </w:tc>
        <w:tc>
          <w:tcPr>
            <w:tcW w:type="dxa" w:w="2484"/>
            <w:tcMar>
              <w:top w:w="80" w:type="dxa"/>
              <w:bottom w:w="80" w:type="dxa"/>
              <w:left w:w="100" w:type="dxa"/>
              <w:right w:w="100" w:type="dxa"/>
            </w:tcMar>
            <w:shd w:fill="FFEBEE"/>
          </w:tcPr>
          <w:p>
            <w:pPr>
              <w:spacing w:before="80" w:after="80"/>
            </w:pPr>
            <w:r>
              <w:rPr>
                <w:color w:val="D32F2F"/>
                <w:sz w:val="17"/>
              </w:rPr>
              <w:t>API Integration</w:t>
            </w:r>
          </w:p>
        </w:tc>
        <w:tc>
          <w:tcPr>
            <w:tcW w:type="dxa" w:w="2484"/>
            <w:tcMar>
              <w:top w:w="80" w:type="dxa"/>
              <w:bottom w:w="80" w:type="dxa"/>
              <w:left w:w="100" w:type="dxa"/>
              <w:right w:w="100" w:type="dxa"/>
            </w:tcMar>
            <w:shd w:fill="FFEBEE"/>
          </w:tcPr>
          <w:p>
            <w:pPr>
              <w:spacing w:before="80" w:after="80"/>
            </w:pPr>
            <w:r>
              <w:rPr>
                <w:color w:val="D32F2F"/>
                <w:sz w:val="17"/>
              </w:rPr>
              <w:t>Monitors and routes contract drafts through review and approval stages before execution.</w:t>
            </w:r>
          </w:p>
        </w:tc>
        <w:tc>
          <w:tcPr>
            <w:tcW w:type="dxa" w:w="2484"/>
            <w:tcMar>
              <w:top w:w="80" w:type="dxa"/>
              <w:bottom w:w="80" w:type="dxa"/>
              <w:left w:w="100" w:type="dxa"/>
              <w:right w:w="100" w:type="dxa"/>
            </w:tcMar>
            <w:shd w:fill="FFEBEE"/>
          </w:tcPr>
          <w:p>
            <w:pPr>
              <w:spacing w:before="80" w:after="80"/>
            </w:pPr>
            <w:r>
              <w:rPr>
                <w:color w:val="D32F2F"/>
                <w:sz w:val="17"/>
              </w:rPr>
              <w:t>GAP - Missing active contract workflow engine. Contracts are only displayed post-facto. Recommend creating a workflow tracker for draft, review, legal approval, and signature stages (DocuSign/Adobe Sign integration).</w:t>
            </w:r>
          </w:p>
        </w:tc>
      </w:tr>
      <w:tr>
        <w:tc>
          <w:tcPr>
            <w:tcW w:type="dxa" w:w="2484"/>
            <w:tcMar>
              <w:top w:w="80" w:type="dxa"/>
              <w:bottom w:w="80" w:type="dxa"/>
              <w:left w:w="100" w:type="dxa"/>
              <w:right w:w="100" w:type="dxa"/>
            </w:tcMar>
            <w:shd w:fill="F9FAFB"/>
          </w:tcPr>
          <w:p>
            <w:pPr>
              <w:spacing w:before="80" w:after="80"/>
            </w:pPr>
            <w:r>
              <w:rPr>
                <w:sz w:val="17"/>
              </w:rPr>
              <w:t>Contract expiration reminder</w:t>
            </w:r>
          </w:p>
        </w:tc>
        <w:tc>
          <w:tcPr>
            <w:tcW w:type="dxa" w:w="2484"/>
            <w:tcMar>
              <w:top w:w="80" w:type="dxa"/>
              <w:bottom w:w="80" w:type="dxa"/>
              <w:left w:w="100" w:type="dxa"/>
              <w:right w:w="100" w:type="dxa"/>
            </w:tcMar>
            <w:shd w:fill="F9FAFB"/>
          </w:tcPr>
          <w:p>
            <w:pPr>
              <w:spacing w:before="80" w:after="80"/>
            </w:pPr>
            <w:r>
              <w:rPr>
                <w:sz w:val="17"/>
              </w:rPr>
              <w:t>API / Cron Notification</w:t>
            </w:r>
          </w:p>
        </w:tc>
        <w:tc>
          <w:tcPr>
            <w:tcW w:type="dxa" w:w="2484"/>
            <w:tcMar>
              <w:top w:w="80" w:type="dxa"/>
              <w:bottom w:w="80" w:type="dxa"/>
              <w:left w:w="100" w:type="dxa"/>
              <w:right w:w="100" w:type="dxa"/>
            </w:tcMar>
            <w:shd w:fill="F9FAFB"/>
          </w:tcPr>
          <w:p>
            <w:pPr>
              <w:spacing w:before="80" w:after="80"/>
            </w:pPr>
            <w:r>
              <w:rPr>
                <w:sz w:val="17"/>
              </w:rPr>
              <w:t>Alerts legal teams of upcoming contract expirations to ensure renewals or renegotiations are initiated timely.</w:t>
            </w:r>
          </w:p>
        </w:tc>
        <w:tc>
          <w:tcPr>
            <w:tcW w:type="dxa" w:w="2484"/>
            <w:tcMar>
              <w:top w:w="80" w:type="dxa"/>
              <w:bottom w:w="80" w:type="dxa"/>
              <w:left w:w="100" w:type="dxa"/>
              <w:right w:w="100" w:type="dxa"/>
            </w:tcMar>
            <w:shd w:fill="F9FAFB"/>
          </w:tcPr>
          <w:p>
            <w:pPr>
              <w:spacing w:before="80" w:after="80"/>
            </w:pPr>
            <w:r>
              <w:rPr>
                <w:sz w:val="17"/>
              </w:rPr>
              <w:t>Reminders are strictly visual in the dashboard. Missing automated email/Slack webhook alerts. Recommend integrating cron reminder triggers to alert legal counsel at 90/60/30 day thresholds.</w:t>
            </w:r>
          </w:p>
        </w:tc>
      </w:tr>
      <w:tr>
        <w:tc>
          <w:tcPr>
            <w:tcW w:type="dxa" w:w="2484"/>
            <w:tcMar>
              <w:top w:w="80" w:type="dxa"/>
              <w:bottom w:w="80" w:type="dxa"/>
              <w:left w:w="100" w:type="dxa"/>
              <w:right w:w="100" w:type="dxa"/>
            </w:tcMar>
            <w:shd w:fill="FFFFFF"/>
          </w:tcPr>
          <w:p>
            <w:pPr>
              <w:spacing w:before="80" w:after="80"/>
            </w:pPr>
            <w:r>
              <w:rPr>
                <w:sz w:val="17"/>
              </w:rPr>
              <w:t>Litigation tracking</w:t>
            </w:r>
          </w:p>
        </w:tc>
        <w:tc>
          <w:tcPr>
            <w:tcW w:type="dxa" w:w="2484"/>
            <w:tcMar>
              <w:top w:w="80" w:type="dxa"/>
              <w:bottom w:w="80" w:type="dxa"/>
              <w:left w:w="100" w:type="dxa"/>
              <w:right w:w="100" w:type="dxa"/>
            </w:tcMar>
            <w:shd w:fill="FFFFFF"/>
          </w:tcPr>
          <w:p>
            <w:pPr>
              <w:spacing w:before="80" w:after="80"/>
            </w:pPr>
            <w:r>
              <w:rPr>
                <w:sz w:val="17"/>
              </w:rPr>
              <w:t>Manual Upload / Admin Form</w:t>
            </w:r>
          </w:p>
        </w:tc>
        <w:tc>
          <w:tcPr>
            <w:tcW w:type="dxa" w:w="2484"/>
            <w:tcMar>
              <w:top w:w="80" w:type="dxa"/>
              <w:bottom w:w="80" w:type="dxa"/>
              <w:left w:w="100" w:type="dxa"/>
              <w:right w:w="100" w:type="dxa"/>
            </w:tcMar>
            <w:shd w:fill="FFFFFF"/>
          </w:tcPr>
          <w:p>
            <w:pPr>
              <w:spacing w:before="80" w:after="80"/>
            </w:pPr>
            <w:r>
              <w:rPr>
                <w:sz w:val="17"/>
              </w:rPr>
              <w:t>Tracks ongoing legal cases, risk levels, and potential financial liability to manage legal provisions.</w:t>
            </w:r>
          </w:p>
        </w:tc>
        <w:tc>
          <w:tcPr>
            <w:tcW w:type="dxa" w:w="2484"/>
            <w:tcMar>
              <w:top w:w="80" w:type="dxa"/>
              <w:bottom w:w="80" w:type="dxa"/>
              <w:left w:w="100" w:type="dxa"/>
              <w:right w:w="100" w:type="dxa"/>
            </w:tcMar>
            <w:shd w:fill="FFFFFF"/>
          </w:tcPr>
          <w:p>
            <w:pPr>
              <w:spacing w:before="80" w:after="80"/>
            </w:pPr>
            <w:r>
              <w:rPr>
                <w:sz w:val="17"/>
              </w:rPr>
              <w:t>Lacks historical event timelines or legal representative notes. Recommend adding a detail popup for case updates and connecting with external court case calendars.</w:t>
            </w:r>
          </w:p>
        </w:tc>
      </w:tr>
      <w:tr>
        <w:tc>
          <w:tcPr>
            <w:tcW w:type="dxa" w:w="2484"/>
            <w:tcMar>
              <w:top w:w="80" w:type="dxa"/>
              <w:bottom w:w="80" w:type="dxa"/>
              <w:left w:w="100" w:type="dxa"/>
              <w:right w:w="100" w:type="dxa"/>
            </w:tcMar>
            <w:shd w:fill="F9FAFB"/>
          </w:tcPr>
          <w:p>
            <w:pPr>
              <w:spacing w:before="80" w:after="80"/>
            </w:pPr>
            <w:r>
              <w:rPr>
                <w:sz w:val="17"/>
              </w:rPr>
              <w:t>NDA &amp; agreement monitoring</w:t>
            </w:r>
          </w:p>
        </w:tc>
        <w:tc>
          <w:tcPr>
            <w:tcW w:type="dxa" w:w="2484"/>
            <w:tcMar>
              <w:top w:w="80" w:type="dxa"/>
              <w:bottom w:w="80" w:type="dxa"/>
              <w:left w:w="100" w:type="dxa"/>
              <w:right w:w="100" w:type="dxa"/>
            </w:tcMar>
            <w:shd w:fill="F9FAFB"/>
          </w:tcPr>
          <w:p>
            <w:pPr>
              <w:spacing w:before="80" w:after="80"/>
            </w:pPr>
            <w:r>
              <w:rPr>
                <w:sz w:val="17"/>
              </w:rPr>
              <w:t>Manual Upload / Contract log tagging</w:t>
            </w:r>
          </w:p>
        </w:tc>
        <w:tc>
          <w:tcPr>
            <w:tcW w:type="dxa" w:w="2484"/>
            <w:tcMar>
              <w:top w:w="80" w:type="dxa"/>
              <w:bottom w:w="80" w:type="dxa"/>
              <w:left w:w="100" w:type="dxa"/>
              <w:right w:w="100" w:type="dxa"/>
            </w:tcMar>
            <w:shd w:fill="F9FAFB"/>
          </w:tcPr>
          <w:p>
            <w:pPr>
              <w:spacing w:before="80" w:after="80"/>
            </w:pPr>
            <w:r>
              <w:rPr>
                <w:sz w:val="17"/>
              </w:rPr>
              <w:t>Monitors non-disclosure and confidentiality agreements to protect corporate IP and sensitive information.</w:t>
            </w:r>
          </w:p>
        </w:tc>
        <w:tc>
          <w:tcPr>
            <w:tcW w:type="dxa" w:w="2484"/>
            <w:tcMar>
              <w:top w:w="80" w:type="dxa"/>
              <w:bottom w:w="80" w:type="dxa"/>
              <w:left w:w="100" w:type="dxa"/>
              <w:right w:w="100" w:type="dxa"/>
            </w:tcMar>
            <w:shd w:fill="F9FAFB"/>
          </w:tcPr>
          <w:p>
            <w:pPr>
              <w:spacing w:before="80" w:after="80"/>
            </w:pPr>
            <w:r>
              <w:rPr>
                <w:sz w:val="17"/>
              </w:rPr>
              <w:t>Non-standard agreements lack compliance tagging. Recommend adding automatic classification of NDA standard clauses using NLP models.</w:t>
            </w:r>
          </w:p>
        </w:tc>
      </w:tr>
      <w:tr>
        <w:tc>
          <w:tcPr>
            <w:tcW w:type="dxa" w:w="2484"/>
            <w:tcMar>
              <w:top w:w="80" w:type="dxa"/>
              <w:bottom w:w="80" w:type="dxa"/>
              <w:left w:w="100" w:type="dxa"/>
              <w:right w:w="100" w:type="dxa"/>
            </w:tcMar>
            <w:shd w:fill="FFEBEE"/>
          </w:tcPr>
          <w:p>
            <w:pPr>
              <w:spacing w:before="80" w:after="80"/>
            </w:pPr>
            <w:r>
              <w:rPr>
                <w:b/>
                <w:color w:val="D32F2F"/>
                <w:sz w:val="17"/>
              </w:rPr>
              <w:t>Corporate legal document archive</w:t>
            </w:r>
          </w:p>
        </w:tc>
        <w:tc>
          <w:tcPr>
            <w:tcW w:type="dxa" w:w="2484"/>
            <w:tcMar>
              <w:top w:w="80" w:type="dxa"/>
              <w:bottom w:w="80" w:type="dxa"/>
              <w:left w:w="100" w:type="dxa"/>
              <w:right w:w="100" w:type="dxa"/>
            </w:tcMar>
            <w:shd w:fill="FFEBEE"/>
          </w:tcPr>
          <w:p>
            <w:pPr>
              <w:spacing w:before="80" w:after="80"/>
            </w:pPr>
            <w:r>
              <w:rPr>
                <w:color w:val="D32F2F"/>
                <w:sz w:val="17"/>
              </w:rPr>
              <w:t>Document API</w:t>
            </w:r>
          </w:p>
        </w:tc>
        <w:tc>
          <w:tcPr>
            <w:tcW w:type="dxa" w:w="2484"/>
            <w:tcMar>
              <w:top w:w="80" w:type="dxa"/>
              <w:bottom w:w="80" w:type="dxa"/>
              <w:left w:w="100" w:type="dxa"/>
              <w:right w:w="100" w:type="dxa"/>
            </w:tcMar>
            <w:shd w:fill="FFEBEE"/>
          </w:tcPr>
          <w:p>
            <w:pPr>
              <w:spacing w:before="80" w:after="80"/>
            </w:pPr>
            <w:r>
              <w:rPr>
                <w:color w:val="D32F2F"/>
                <w:sz w:val="17"/>
              </w:rPr>
              <w:t>Secure vault for archiving expired contracts and vital corporate legal filings for compliance audits.</w:t>
            </w:r>
          </w:p>
        </w:tc>
        <w:tc>
          <w:tcPr>
            <w:tcW w:type="dxa" w:w="2484"/>
            <w:tcMar>
              <w:top w:w="80" w:type="dxa"/>
              <w:bottom w:w="80" w:type="dxa"/>
              <w:left w:w="100" w:type="dxa"/>
              <w:right w:w="100" w:type="dxa"/>
            </w:tcMar>
            <w:shd w:fill="FFEBEE"/>
          </w:tcPr>
          <w:p>
            <w:pPr>
              <w:spacing w:before="80" w:after="80"/>
            </w:pPr>
            <w:r>
              <w:rPr>
                <w:color w:val="D32F2F"/>
                <w:sz w:val="17"/>
              </w:rPr>
              <w:t>GAP - No secure archive or digital vault for corporate notary deeds (Akta Pendirian), operating licenses, or certifications. Recommend implementing an access-controlled 'Company Vault' with strict role permissions.</w:t>
            </w:r>
          </w:p>
        </w:tc>
      </w:tr>
      <w:tr>
        <w:tc>
          <w:tcPr>
            <w:tcW w:type="dxa" w:w="9936"/>
            <w:gridSpan w:val="4"/>
            <w:shd w:fill="EBF3F9"/>
            <w:tcMar>
              <w:top w:w="100" w:type="dxa"/>
              <w:bottom w:w="100" w:type="dxa"/>
              <w:left w:w="120" w:type="dxa"/>
              <w:right w:w="120" w:type="dxa"/>
            </w:tcMar>
          </w:tcPr>
          <w:p>
            <w:pPr>
              <w:spacing w:before="120" w:after="120"/>
            </w:pPr>
            <w:r>
              <w:rPr>
                <w:b/>
                <w:color w:val="1B365D"/>
                <w:sz w:val="20"/>
              </w:rPr>
              <w:t>GROUP: COMPLIANCE MODULE</w:t>
            </w:r>
          </w:p>
        </w:tc>
      </w:tr>
      <w:tr>
        <w:tc>
          <w:tcPr>
            <w:tcW w:type="dxa" w:w="2484"/>
            <w:tcMar>
              <w:top w:w="80" w:type="dxa"/>
              <w:bottom w:w="80" w:type="dxa"/>
              <w:left w:w="100" w:type="dxa"/>
              <w:right w:w="100" w:type="dxa"/>
            </w:tcMar>
            <w:shd w:fill="F9FAFB"/>
          </w:tcPr>
          <w:p>
            <w:pPr>
              <w:spacing w:before="80" w:after="80"/>
            </w:pPr>
            <w:r>
              <w:rPr>
                <w:sz w:val="17"/>
              </w:rPr>
              <w:t>Corporate Secretarial Compliance</w:t>
            </w:r>
          </w:p>
        </w:tc>
        <w:tc>
          <w:tcPr>
            <w:tcW w:type="dxa" w:w="2484"/>
            <w:tcMar>
              <w:top w:w="80" w:type="dxa"/>
              <w:bottom w:w="80" w:type="dxa"/>
              <w:left w:w="100" w:type="dxa"/>
              <w:right w:w="100" w:type="dxa"/>
            </w:tcMar>
            <w:shd w:fill="F9FAFB"/>
          </w:tcPr>
          <w:p>
            <w:pPr>
              <w:spacing w:before="80" w:after="80"/>
            </w:pPr>
            <w:r>
              <w:rPr>
                <w:sz w:val="17"/>
              </w:rPr>
              <w:t>Manual Upload / Checklist Form</w:t>
            </w:r>
          </w:p>
        </w:tc>
        <w:tc>
          <w:tcPr>
            <w:tcW w:type="dxa" w:w="2484"/>
            <w:tcMar>
              <w:top w:w="80" w:type="dxa"/>
              <w:bottom w:w="80" w:type="dxa"/>
              <w:left w:w="100" w:type="dxa"/>
              <w:right w:w="100" w:type="dxa"/>
            </w:tcMar>
            <w:shd w:fill="F9FAFB"/>
          </w:tcPr>
          <w:p>
            <w:pPr>
              <w:spacing w:before="80" w:after="80"/>
            </w:pPr>
            <w:r>
              <w:rPr>
                <w:sz w:val="17"/>
              </w:rPr>
              <w:t>Monitors key corporate governance events like RUPS scheduling, annual report filings, and board resolutions.</w:t>
            </w:r>
          </w:p>
        </w:tc>
        <w:tc>
          <w:tcPr>
            <w:tcW w:type="dxa" w:w="2484"/>
            <w:tcMar>
              <w:top w:w="80" w:type="dxa"/>
              <w:bottom w:w="80" w:type="dxa"/>
              <w:left w:w="100" w:type="dxa"/>
              <w:right w:w="100" w:type="dxa"/>
            </w:tcMar>
            <w:shd w:fill="F9FAFB"/>
          </w:tcPr>
          <w:p>
            <w:pPr>
              <w:spacing w:before="80" w:after="80"/>
            </w:pPr>
            <w:r>
              <w:rPr>
                <w:sz w:val="17"/>
              </w:rPr>
              <w:t>Lacks integration with board minutes or dynamic shareholder registry. Recommend linking with corporate secretarial databases for automated minute indexing.</w:t>
            </w:r>
          </w:p>
        </w:tc>
      </w:tr>
      <w:tr>
        <w:tc>
          <w:tcPr>
            <w:tcW w:type="dxa" w:w="2484"/>
            <w:tcMar>
              <w:top w:w="80" w:type="dxa"/>
              <w:bottom w:w="80" w:type="dxa"/>
              <w:left w:w="100" w:type="dxa"/>
              <w:right w:w="100" w:type="dxa"/>
            </w:tcMar>
            <w:shd w:fill="FFFFFF"/>
          </w:tcPr>
          <w:p>
            <w:pPr>
              <w:spacing w:before="80" w:after="80"/>
            </w:pPr>
            <w:r>
              <w:rPr>
                <w:sz w:val="17"/>
              </w:rPr>
              <w:t>Trademark &amp; IP Monitoring</w:t>
            </w:r>
          </w:p>
        </w:tc>
        <w:tc>
          <w:tcPr>
            <w:tcW w:type="dxa" w:w="2484"/>
            <w:tcMar>
              <w:top w:w="80" w:type="dxa"/>
              <w:bottom w:w="80" w:type="dxa"/>
              <w:left w:w="100" w:type="dxa"/>
              <w:right w:w="100" w:type="dxa"/>
            </w:tcMar>
            <w:shd w:fill="FFFFFF"/>
          </w:tcPr>
          <w:p>
            <w:pPr>
              <w:spacing w:before="80" w:after="80"/>
            </w:pPr>
            <w:r>
              <w:rPr>
                <w:sz w:val="17"/>
              </w:rPr>
              <w:t>Manual Upload / DGIP API</w:t>
            </w:r>
          </w:p>
        </w:tc>
        <w:tc>
          <w:tcPr>
            <w:tcW w:type="dxa" w:w="2484"/>
            <w:tcMar>
              <w:top w:w="80" w:type="dxa"/>
              <w:bottom w:w="80" w:type="dxa"/>
              <w:left w:w="100" w:type="dxa"/>
              <w:right w:w="100" w:type="dxa"/>
            </w:tcMar>
            <w:shd w:fill="FFFFFF"/>
          </w:tcPr>
          <w:p>
            <w:pPr>
              <w:spacing w:before="80" w:after="80"/>
            </w:pPr>
            <w:r>
              <w:rPr>
                <w:sz w:val="17"/>
              </w:rPr>
              <w:t>Tracks trademark registrations, patent filings, and renewals to protect the group's brands and intellectual property.</w:t>
            </w:r>
          </w:p>
        </w:tc>
        <w:tc>
          <w:tcPr>
            <w:tcW w:type="dxa" w:w="2484"/>
            <w:tcMar>
              <w:top w:w="80" w:type="dxa"/>
              <w:bottom w:w="80" w:type="dxa"/>
              <w:left w:w="100" w:type="dxa"/>
              <w:right w:w="100" w:type="dxa"/>
            </w:tcMar>
            <w:shd w:fill="FFFFFF"/>
          </w:tcPr>
          <w:p>
            <w:pPr>
              <w:spacing w:before="80" w:after="80"/>
            </w:pPr>
            <w:r>
              <w:rPr>
                <w:sz w:val="17"/>
              </w:rPr>
              <w:t>Lacks auto-lookup on national IP database APIs (e.g. DGIP Indonesia). Recommend integrating automatic registration checkers to warn legal team of copycat filings.</w:t>
            </w:r>
          </w:p>
        </w:tc>
      </w:tr>
      <w:tr>
        <w:tc>
          <w:tcPr>
            <w:tcW w:type="dxa" w:w="2484"/>
            <w:tcMar>
              <w:top w:w="80" w:type="dxa"/>
              <w:bottom w:w="80" w:type="dxa"/>
              <w:left w:w="100" w:type="dxa"/>
              <w:right w:w="100" w:type="dxa"/>
            </w:tcMar>
            <w:shd w:fill="F9FAFB"/>
          </w:tcPr>
          <w:p>
            <w:pPr>
              <w:spacing w:before="80" w:after="80"/>
            </w:pPr>
            <w:r>
              <w:rPr>
                <w:sz w:val="17"/>
              </w:rPr>
              <w:t>Vendor Compliance Monitoring</w:t>
            </w:r>
          </w:p>
        </w:tc>
        <w:tc>
          <w:tcPr>
            <w:tcW w:type="dxa" w:w="2484"/>
            <w:tcMar>
              <w:top w:w="80" w:type="dxa"/>
              <w:bottom w:w="80" w:type="dxa"/>
              <w:left w:w="100" w:type="dxa"/>
              <w:right w:w="100" w:type="dxa"/>
            </w:tcMar>
            <w:shd w:fill="F9FAFB"/>
          </w:tcPr>
          <w:p>
            <w:pPr>
              <w:spacing w:before="80" w:after="80"/>
            </w:pPr>
            <w:r>
              <w:rPr>
                <w:sz w:val="17"/>
              </w:rPr>
              <w:t>Manual Upload / ERP database</w:t>
            </w:r>
          </w:p>
        </w:tc>
        <w:tc>
          <w:tcPr>
            <w:tcW w:type="dxa" w:w="2484"/>
            <w:tcMar>
              <w:top w:w="80" w:type="dxa"/>
              <w:bottom w:w="80" w:type="dxa"/>
              <w:left w:w="100" w:type="dxa"/>
              <w:right w:w="100" w:type="dxa"/>
            </w:tcMar>
            <w:shd w:fill="F9FAFB"/>
          </w:tcPr>
          <w:p>
            <w:pPr>
              <w:spacing w:before="80" w:after="80"/>
            </w:pPr>
            <w:r>
              <w:rPr>
                <w:sz w:val="17"/>
              </w:rPr>
              <w:t>Verifies vendor compliance with tax regulations (NPWP), licenses, and safety standards to control third-party risks.</w:t>
            </w:r>
          </w:p>
        </w:tc>
        <w:tc>
          <w:tcPr>
            <w:tcW w:type="dxa" w:w="2484"/>
            <w:tcMar>
              <w:top w:w="80" w:type="dxa"/>
              <w:bottom w:w="80" w:type="dxa"/>
              <w:left w:w="100" w:type="dxa"/>
              <w:right w:w="100" w:type="dxa"/>
            </w:tcMar>
            <w:shd w:fill="F9FAFB"/>
          </w:tcPr>
          <w:p>
            <w:pPr>
              <w:spacing w:before="80" w:after="80"/>
            </w:pPr>
            <w:r>
              <w:rPr>
                <w:sz w:val="17"/>
              </w:rPr>
              <w:t>Review process is manual. Recommend setting up an onboarding API to automatically query tax registration data and blacklist non-compliant vendors.</w:t>
            </w:r>
          </w:p>
        </w:tc>
      </w:tr>
      <w:tr>
        <w:tc>
          <w:tcPr>
            <w:tcW w:type="dxa" w:w="2484"/>
            <w:tcMar>
              <w:top w:w="80" w:type="dxa"/>
              <w:bottom w:w="80" w:type="dxa"/>
              <w:left w:w="100" w:type="dxa"/>
              <w:right w:w="100" w:type="dxa"/>
            </w:tcMar>
            <w:shd w:fill="FFFFFF"/>
          </w:tcPr>
          <w:p>
            <w:pPr>
              <w:spacing w:before="80" w:after="80"/>
            </w:pPr>
            <w:r>
              <w:rPr>
                <w:sz w:val="17"/>
              </w:rPr>
              <w:t>Import Compliance Monitoring</w:t>
            </w:r>
          </w:p>
        </w:tc>
        <w:tc>
          <w:tcPr>
            <w:tcW w:type="dxa" w:w="2484"/>
            <w:tcMar>
              <w:top w:w="80" w:type="dxa"/>
              <w:bottom w:w="80" w:type="dxa"/>
              <w:left w:w="100" w:type="dxa"/>
              <w:right w:w="100" w:type="dxa"/>
            </w:tcMar>
            <w:shd w:fill="FFFFFF"/>
          </w:tcPr>
          <w:p>
            <w:pPr>
              <w:spacing w:before="80" w:after="80"/>
            </w:pPr>
            <w:r>
              <w:rPr>
                <w:sz w:val="17"/>
              </w:rPr>
              <w:t>Manual Upload / Custom API</w:t>
            </w:r>
          </w:p>
        </w:tc>
        <w:tc>
          <w:tcPr>
            <w:tcW w:type="dxa" w:w="2484"/>
            <w:tcMar>
              <w:top w:w="80" w:type="dxa"/>
              <w:bottom w:w="80" w:type="dxa"/>
              <w:left w:w="100" w:type="dxa"/>
              <w:right w:w="100" w:type="dxa"/>
            </w:tcMar>
            <w:shd w:fill="FFFFFF"/>
          </w:tcPr>
          <w:p>
            <w:pPr>
              <w:spacing w:before="80" w:after="80"/>
            </w:pPr>
            <w:r>
              <w:rPr>
                <w:sz w:val="17"/>
              </w:rPr>
              <w:t>Tracks customs declarations (PIB) and importing license quotas (API-U) to prevent customs delays and regulatory fines.</w:t>
            </w:r>
          </w:p>
        </w:tc>
        <w:tc>
          <w:tcPr>
            <w:tcW w:type="dxa" w:w="2484"/>
            <w:tcMar>
              <w:top w:w="80" w:type="dxa"/>
              <w:bottom w:w="80" w:type="dxa"/>
              <w:left w:w="100" w:type="dxa"/>
              <w:right w:w="100" w:type="dxa"/>
            </w:tcMar>
            <w:shd w:fill="FFFFFF"/>
          </w:tcPr>
          <w:p>
            <w:pPr>
              <w:spacing w:before="80" w:after="80"/>
            </w:pPr>
            <w:r>
              <w:rPr>
                <w:sz w:val="17"/>
              </w:rPr>
              <w:t>Lacks custom import cargo tracking or customs clearance SLA monitoring. Recommend linking with cargo forwarder webhooks to predict custom clearance delays.</w:t>
            </w:r>
          </w:p>
        </w:tc>
      </w:tr>
      <w:tr>
        <w:tc>
          <w:tcPr>
            <w:tcW w:type="dxa" w:w="2484"/>
            <w:tcMar>
              <w:top w:w="80" w:type="dxa"/>
              <w:bottom w:w="80" w:type="dxa"/>
              <w:left w:w="100" w:type="dxa"/>
              <w:right w:w="100" w:type="dxa"/>
            </w:tcMar>
            <w:shd w:fill="F9FAFB"/>
          </w:tcPr>
          <w:p>
            <w:pPr>
              <w:spacing w:before="80" w:after="80"/>
            </w:pPr>
            <w:r>
              <w:rPr>
                <w:sz w:val="17"/>
              </w:rPr>
              <w:t>Halal &amp; Product Compliance</w:t>
            </w:r>
          </w:p>
        </w:tc>
        <w:tc>
          <w:tcPr>
            <w:tcW w:type="dxa" w:w="2484"/>
            <w:tcMar>
              <w:top w:w="80" w:type="dxa"/>
              <w:bottom w:w="80" w:type="dxa"/>
              <w:left w:w="100" w:type="dxa"/>
              <w:right w:w="100" w:type="dxa"/>
            </w:tcMar>
            <w:shd w:fill="F9FAFB"/>
          </w:tcPr>
          <w:p>
            <w:pPr>
              <w:spacing w:before="80" w:after="80"/>
            </w:pPr>
            <w:r>
              <w:rPr>
                <w:sz w:val="17"/>
              </w:rPr>
              <w:t>Manual Upload / BPOM API</w:t>
            </w:r>
          </w:p>
        </w:tc>
        <w:tc>
          <w:tcPr>
            <w:tcW w:type="dxa" w:w="2484"/>
            <w:tcMar>
              <w:top w:w="80" w:type="dxa"/>
              <w:bottom w:w="80" w:type="dxa"/>
              <w:left w:w="100" w:type="dxa"/>
              <w:right w:w="100" w:type="dxa"/>
            </w:tcMar>
            <w:shd w:fill="F9FAFB"/>
          </w:tcPr>
          <w:p>
            <w:pPr>
              <w:spacing w:before="80" w:after="80"/>
            </w:pPr>
            <w:r>
              <w:rPr>
                <w:sz w:val="17"/>
              </w:rPr>
              <w:t>Monitors BPOM licenses and Halal certification status across F&amp;B outlets to ensure consumer compliance and protect reputation.</w:t>
            </w:r>
          </w:p>
        </w:tc>
        <w:tc>
          <w:tcPr>
            <w:tcW w:type="dxa" w:w="2484"/>
            <w:tcMar>
              <w:top w:w="80" w:type="dxa"/>
              <w:bottom w:w="80" w:type="dxa"/>
              <w:left w:w="100" w:type="dxa"/>
              <w:right w:w="100" w:type="dxa"/>
            </w:tcMar>
            <w:shd w:fill="F9FAFB"/>
          </w:tcPr>
          <w:p>
            <w:pPr>
              <w:spacing w:before="80" w:after="80"/>
            </w:pPr>
            <w:r>
              <w:rPr>
                <w:sz w:val="17"/>
              </w:rPr>
              <w:t>Certification expiration warnings do not alert procurement to restrict ingredient orders. Recommend blocking non-compliant vendors in purchasing modules when certificates expire.</w:t>
            </w:r>
          </w:p>
        </w:tc>
      </w:tr>
      <w:tr>
        <w:tc>
          <w:tcPr>
            <w:tcW w:type="dxa" w:w="2484"/>
            <w:tcMar>
              <w:top w:w="80" w:type="dxa"/>
              <w:bottom w:w="80" w:type="dxa"/>
              <w:left w:w="100" w:type="dxa"/>
              <w:right w:w="100" w:type="dxa"/>
            </w:tcMar>
            <w:shd w:fill="FFFFFF"/>
          </w:tcPr>
          <w:p>
            <w:pPr>
              <w:spacing w:before="80" w:after="80"/>
            </w:pPr>
            <w:r>
              <w:rPr>
                <w:sz w:val="17"/>
              </w:rPr>
              <w:t>Whistleblowing Case Tracking</w:t>
            </w:r>
          </w:p>
        </w:tc>
        <w:tc>
          <w:tcPr>
            <w:tcW w:type="dxa" w:w="2484"/>
            <w:tcMar>
              <w:top w:w="80" w:type="dxa"/>
              <w:bottom w:w="80" w:type="dxa"/>
              <w:left w:w="100" w:type="dxa"/>
              <w:right w:w="100" w:type="dxa"/>
            </w:tcMar>
            <w:shd w:fill="FFFFFF"/>
          </w:tcPr>
          <w:p>
            <w:pPr>
              <w:spacing w:before="80" w:after="80"/>
            </w:pPr>
            <w:r>
              <w:rPr>
                <w:sz w:val="17"/>
              </w:rPr>
              <w:t>Manual Upload / Encrypted Database</w:t>
            </w:r>
          </w:p>
        </w:tc>
        <w:tc>
          <w:tcPr>
            <w:tcW w:type="dxa" w:w="2484"/>
            <w:tcMar>
              <w:top w:w="80" w:type="dxa"/>
              <w:bottom w:w="80" w:type="dxa"/>
              <w:left w:w="100" w:type="dxa"/>
              <w:right w:w="100" w:type="dxa"/>
            </w:tcMar>
            <w:shd w:fill="FFFFFF"/>
          </w:tcPr>
          <w:p>
            <w:pPr>
              <w:spacing w:before="80" w:after="80"/>
            </w:pPr>
            <w:r>
              <w:rPr>
                <w:sz w:val="17"/>
              </w:rPr>
              <w:t>Manages whistleblower reports anonymously, tracking investigation stages to support clean corporate governance.</w:t>
            </w:r>
          </w:p>
        </w:tc>
        <w:tc>
          <w:tcPr>
            <w:tcW w:type="dxa" w:w="2484"/>
            <w:tcMar>
              <w:top w:w="80" w:type="dxa"/>
              <w:bottom w:w="80" w:type="dxa"/>
              <w:left w:w="100" w:type="dxa"/>
              <w:right w:w="100" w:type="dxa"/>
            </w:tcMar>
            <w:shd w:fill="FFFFFF"/>
          </w:tcPr>
          <w:p>
            <w:pPr>
              <w:spacing w:before="80" w:after="80"/>
            </w:pPr>
            <w:r>
              <w:rPr>
                <w:sz w:val="17"/>
              </w:rPr>
              <w:t>Anonymous reporting portal is missing from the frontend. Recommended: adding an encrypted case filing form for employees to report violations anonymously.</w:t>
            </w:r>
          </w:p>
        </w:tc>
      </w:tr>
      <w:tr>
        <w:tc>
          <w:tcPr>
            <w:tcW w:type="dxa" w:w="2484"/>
            <w:tcMar>
              <w:top w:w="80" w:type="dxa"/>
              <w:bottom w:w="80" w:type="dxa"/>
              <w:left w:w="100" w:type="dxa"/>
              <w:right w:w="100" w:type="dxa"/>
            </w:tcMar>
            <w:shd w:fill="F9FAFB"/>
          </w:tcPr>
          <w:p>
            <w:pPr>
              <w:spacing w:before="80" w:after="80"/>
            </w:pPr>
            <w:r>
              <w:rPr>
                <w:sz w:val="17"/>
              </w:rPr>
              <w:t>Data Privacy &amp; Personal Data Protection</w:t>
            </w:r>
          </w:p>
        </w:tc>
        <w:tc>
          <w:tcPr>
            <w:tcW w:type="dxa" w:w="2484"/>
            <w:tcMar>
              <w:top w:w="80" w:type="dxa"/>
              <w:bottom w:w="80" w:type="dxa"/>
              <w:left w:w="100" w:type="dxa"/>
              <w:right w:w="100" w:type="dxa"/>
            </w:tcMar>
            <w:shd w:fill="F9FAFB"/>
          </w:tcPr>
          <w:p>
            <w:pPr>
              <w:spacing w:before="80" w:after="80"/>
            </w:pPr>
            <w:r>
              <w:rPr>
                <w:sz w:val="17"/>
              </w:rPr>
              <w:t>Manual Upload / Checklist Form</w:t>
            </w:r>
          </w:p>
        </w:tc>
        <w:tc>
          <w:tcPr>
            <w:tcW w:type="dxa" w:w="2484"/>
            <w:tcMar>
              <w:top w:w="80" w:type="dxa"/>
              <w:bottom w:w="80" w:type="dxa"/>
              <w:left w:w="100" w:type="dxa"/>
              <w:right w:w="100" w:type="dxa"/>
            </w:tcMar>
            <w:shd w:fill="F9FAFB"/>
          </w:tcPr>
          <w:p>
            <w:pPr>
              <w:spacing w:before="80" w:after="80"/>
            </w:pPr>
            <w:r>
              <w:rPr>
                <w:sz w:val="17"/>
              </w:rPr>
              <w:t>Monitors audits of GDPR/PDPA compliance for customer registries (F&amp;B / Retail members) to protect consumer data.</w:t>
            </w:r>
          </w:p>
        </w:tc>
        <w:tc>
          <w:tcPr>
            <w:tcW w:type="dxa" w:w="2484"/>
            <w:tcMar>
              <w:top w:w="80" w:type="dxa"/>
              <w:bottom w:w="80" w:type="dxa"/>
              <w:left w:w="100" w:type="dxa"/>
              <w:right w:w="100" w:type="dxa"/>
            </w:tcMar>
            <w:shd w:fill="F9FAFB"/>
          </w:tcPr>
          <w:p>
            <w:pPr>
              <w:spacing w:before="80" w:after="80"/>
            </w:pPr>
            <w:r>
              <w:rPr>
                <w:sz w:val="17"/>
              </w:rPr>
              <w:t>No direct database privacy monitoring tool. Recommend adding automated log auditing of customer data access to detect potential leak hazards.</w:t>
            </w:r>
          </w:p>
        </w:tc>
      </w:tr>
      <w:tr>
        <w:tc>
          <w:tcPr>
            <w:tcW w:type="dxa" w:w="2484"/>
            <w:tcMar>
              <w:top w:w="80" w:type="dxa"/>
              <w:bottom w:w="80" w:type="dxa"/>
              <w:left w:w="100" w:type="dxa"/>
              <w:right w:w="100" w:type="dxa"/>
            </w:tcMar>
            <w:shd w:fill="FFFFFF"/>
          </w:tcPr>
          <w:p>
            <w:pPr>
              <w:spacing w:before="80" w:after="80"/>
            </w:pPr>
            <w:r>
              <w:rPr>
                <w:sz w:val="17"/>
              </w:rPr>
              <w:t>Regulatory compliance monitoring</w:t>
            </w:r>
          </w:p>
        </w:tc>
        <w:tc>
          <w:tcPr>
            <w:tcW w:type="dxa" w:w="2484"/>
            <w:tcMar>
              <w:top w:w="80" w:type="dxa"/>
              <w:bottom w:w="80" w:type="dxa"/>
              <w:left w:w="100" w:type="dxa"/>
              <w:right w:w="100" w:type="dxa"/>
            </w:tcMar>
            <w:shd w:fill="FFFFFF"/>
          </w:tcPr>
          <w:p>
            <w:pPr>
              <w:spacing w:before="80" w:after="80"/>
            </w:pPr>
            <w:r>
              <w:rPr>
                <w:sz w:val="17"/>
              </w:rPr>
              <w:t>API Calculation</w:t>
            </w:r>
          </w:p>
        </w:tc>
        <w:tc>
          <w:tcPr>
            <w:tcW w:type="dxa" w:w="2484"/>
            <w:tcMar>
              <w:top w:w="80" w:type="dxa"/>
              <w:bottom w:w="80" w:type="dxa"/>
              <w:left w:w="100" w:type="dxa"/>
              <w:right w:w="100" w:type="dxa"/>
            </w:tcMar>
            <w:shd w:fill="FFFFFF"/>
          </w:tcPr>
          <w:p>
            <w:pPr>
              <w:spacing w:before="80" w:after="80"/>
            </w:pPr>
            <w:r>
              <w:rPr>
                <w:sz w:val="17"/>
              </w:rPr>
              <w:t>Consolidated compliance scorecard showing overall regulatory compliance status across segments.</w:t>
            </w:r>
          </w:p>
        </w:tc>
        <w:tc>
          <w:tcPr>
            <w:tcW w:type="dxa" w:w="2484"/>
            <w:tcMar>
              <w:top w:w="80" w:type="dxa"/>
              <w:bottom w:w="80" w:type="dxa"/>
              <w:left w:w="100" w:type="dxa"/>
              <w:right w:w="100" w:type="dxa"/>
            </w:tcMar>
            <w:shd w:fill="FFFFFF"/>
          </w:tcPr>
          <w:p>
            <w:pPr>
              <w:spacing w:before="80" w:after="80"/>
            </w:pPr>
            <w:r>
              <w:rPr>
                <w:sz w:val="17"/>
              </w:rPr>
              <w:t>Gauge is fed from static compliance arrays. Recommend linking weighted checklist scores directly to daily API updates from legal sub-systems.</w:t>
            </w:r>
          </w:p>
        </w:tc>
      </w:tr>
      <w:tr>
        <w:tc>
          <w:tcPr>
            <w:tcW w:type="dxa" w:w="2484"/>
            <w:tcMar>
              <w:top w:w="80" w:type="dxa"/>
              <w:bottom w:w="80" w:type="dxa"/>
              <w:left w:w="100" w:type="dxa"/>
              <w:right w:w="100" w:type="dxa"/>
            </w:tcMar>
            <w:shd w:fill="FFEBEE"/>
          </w:tcPr>
          <w:p>
            <w:pPr>
              <w:spacing w:before="80" w:after="80"/>
            </w:pPr>
            <w:r>
              <w:rPr>
                <w:b/>
                <w:color w:val="D32F2F"/>
                <w:sz w:val="17"/>
              </w:rPr>
              <w:t>Delegation of Authority (DOA) Monitoring</w:t>
            </w:r>
          </w:p>
        </w:tc>
        <w:tc>
          <w:tcPr>
            <w:tcW w:type="dxa" w:w="2484"/>
            <w:tcMar>
              <w:top w:w="80" w:type="dxa"/>
              <w:bottom w:w="80" w:type="dxa"/>
              <w:left w:w="100" w:type="dxa"/>
              <w:right w:w="100" w:type="dxa"/>
            </w:tcMar>
            <w:shd w:fill="FFEBEE"/>
          </w:tcPr>
          <w:p>
            <w:pPr>
              <w:spacing w:before="80" w:after="80"/>
            </w:pPr>
            <w:r>
              <w:rPr>
                <w:color w:val="D32F2F"/>
                <w:sz w:val="17"/>
              </w:rPr>
              <w:t>ERP Verification API</w:t>
            </w:r>
          </w:p>
        </w:tc>
        <w:tc>
          <w:tcPr>
            <w:tcW w:type="dxa" w:w="2484"/>
            <w:tcMar>
              <w:top w:w="80" w:type="dxa"/>
              <w:bottom w:w="80" w:type="dxa"/>
              <w:left w:w="100" w:type="dxa"/>
              <w:right w:w="100" w:type="dxa"/>
            </w:tcMar>
            <w:shd w:fill="FFEBEE"/>
          </w:tcPr>
          <w:p>
            <w:pPr>
              <w:spacing w:before="80" w:after="80"/>
            </w:pPr>
            <w:r>
              <w:rPr>
                <w:color w:val="D32F2F"/>
                <w:sz w:val="17"/>
              </w:rPr>
              <w:t>Audits transaction approvals to ensure spending complies with corporate DOA limit matrices.</w:t>
            </w:r>
          </w:p>
        </w:tc>
        <w:tc>
          <w:tcPr>
            <w:tcW w:type="dxa" w:w="2484"/>
            <w:tcMar>
              <w:top w:w="80" w:type="dxa"/>
              <w:bottom w:w="80" w:type="dxa"/>
              <w:left w:w="100" w:type="dxa"/>
              <w:right w:w="100" w:type="dxa"/>
            </w:tcMar>
            <w:shd w:fill="FFEBEE"/>
          </w:tcPr>
          <w:p>
            <w:pPr>
              <w:spacing w:before="80" w:after="80"/>
            </w:pPr>
            <w:r>
              <w:rPr>
                <w:color w:val="D32F2F"/>
                <w:sz w:val="17"/>
              </w:rPr>
              <w:t>GAP - Missing DOA monitoring checklists. No screen to audit whether transactions comply with the corporate delegation of authority matrix. Recommend adding a 'DOA Verification' checklist that links with transaction log audits.</w:t>
            </w:r>
          </w:p>
        </w:tc>
      </w:tr>
      <w:tr>
        <w:tc>
          <w:tcPr>
            <w:tcW w:type="dxa" w:w="2484"/>
            <w:tcMar>
              <w:top w:w="80" w:type="dxa"/>
              <w:bottom w:w="80" w:type="dxa"/>
              <w:left w:w="100" w:type="dxa"/>
              <w:right w:w="100" w:type="dxa"/>
            </w:tcMar>
            <w:shd w:fill="FFFFFF"/>
          </w:tcPr>
          <w:p>
            <w:pPr>
              <w:spacing w:before="80" w:after="80"/>
            </w:pPr>
            <w:r>
              <w:rPr>
                <w:sz w:val="17"/>
              </w:rPr>
              <w:t>Risk &amp; issue reporting</w:t>
            </w:r>
          </w:p>
        </w:tc>
        <w:tc>
          <w:tcPr>
            <w:tcW w:type="dxa" w:w="2484"/>
            <w:tcMar>
              <w:top w:w="80" w:type="dxa"/>
              <w:bottom w:w="80" w:type="dxa"/>
              <w:left w:w="100" w:type="dxa"/>
              <w:right w:w="100" w:type="dxa"/>
            </w:tcMar>
            <w:shd w:fill="FFFFFF"/>
          </w:tcPr>
          <w:p>
            <w:pPr>
              <w:spacing w:before="80" w:after="80"/>
            </w:pPr>
            <w:r>
              <w:rPr>
                <w:sz w:val="17"/>
              </w:rPr>
              <w:t>Manual Upload / Admin Form</w:t>
            </w:r>
          </w:p>
        </w:tc>
        <w:tc>
          <w:tcPr>
            <w:tcW w:type="dxa" w:w="2484"/>
            <w:tcMar>
              <w:top w:w="80" w:type="dxa"/>
              <w:bottom w:w="80" w:type="dxa"/>
              <w:left w:w="100" w:type="dxa"/>
              <w:right w:w="100" w:type="dxa"/>
            </w:tcMar>
            <w:shd w:fill="FFFFFF"/>
          </w:tcPr>
          <w:p>
            <w:pPr>
              <w:spacing w:before="80" w:after="80"/>
            </w:pPr>
            <w:r>
              <w:rPr>
                <w:sz w:val="17"/>
              </w:rPr>
              <w:t>Identifies key business risks, likelihood levels, mitigation strategies, and owners to prevent operational shocks.</w:t>
            </w:r>
          </w:p>
        </w:tc>
        <w:tc>
          <w:tcPr>
            <w:tcW w:type="dxa" w:w="2484"/>
            <w:tcMar>
              <w:top w:w="80" w:type="dxa"/>
              <w:bottom w:w="80" w:type="dxa"/>
              <w:left w:w="100" w:type="dxa"/>
              <w:right w:w="100" w:type="dxa"/>
            </w:tcMar>
            <w:shd w:fill="FFFFFF"/>
          </w:tcPr>
          <w:p>
            <w:pPr>
              <w:spacing w:before="80" w:after="80"/>
            </w:pPr>
            <w:r>
              <w:rPr>
                <w:sz w:val="17"/>
              </w:rPr>
              <w:t>Lacks incident log integration to track when risks materialize into active issues. Recommend adding an issue tracking system to trigger mitigation action workflows.</w:t>
            </w:r>
          </w:p>
        </w:tc>
      </w:tr>
    </w:tbl>
    <w:p>
      <w:r>
        <w:br w:type="page"/>
      </w:r>
    </w:p>
    <w:p>
      <w:pPr>
        <w:spacing w:before="400" w:after="200"/>
      </w:pPr>
      <w:r>
        <w:rPr>
          <w:b/>
          <w:color w:val="1B365D"/>
          <w:sz w:val="28"/>
        </w:rPr>
        <w:t>2. Matriks Rencana Integrasi Sumber Data Brand</w:t>
      </w:r>
    </w:p>
    <w:tbl>
      <w:tblPr>
        <w:tblW w:type="auto" w:w="0"/>
        <w:tblLayout w:type="autofit"/>
        <w:tblLook w:firstColumn="1" w:firstRow="1" w:lastColumn="0" w:lastRow="0" w:noHBand="0" w:noVBand="1" w:val="04A0"/>
      </w:tblPr>
      <w:tblGrid>
        <w:gridCol w:w="3312"/>
        <w:gridCol w:w="3312"/>
        <w:gridCol w:w="3312"/>
      </w:tblGrid>
      <w:tr>
        <w:tc>
          <w:tcPr>
            <w:tcW w:type="dxa" w:w="3312"/>
            <w:shd w:fill="1B365D"/>
            <w:tcMar>
              <w:top w:w="100" w:type="dxa"/>
              <w:bottom w:w="100" w:type="dxa"/>
              <w:left w:w="120" w:type="dxa"/>
              <w:right w:w="120" w:type="dxa"/>
            </w:tcMar>
          </w:tcPr>
          <w:p>
            <w:pPr>
              <w:spacing w:before="120" w:after="120"/>
            </w:pPr>
            <w:r>
              <w:rPr>
                <w:b/>
                <w:color w:val="FFFFFF"/>
                <w:sz w:val="19"/>
              </w:rPr>
              <w:t>Nama Brand (Brand Name)</w:t>
            </w:r>
          </w:p>
        </w:tc>
        <w:tc>
          <w:tcPr>
            <w:tcW w:type="dxa" w:w="3312"/>
            <w:shd w:fill="1B365D"/>
            <w:tcMar>
              <w:top w:w="100" w:type="dxa"/>
              <w:bottom w:w="100" w:type="dxa"/>
              <w:left w:w="120" w:type="dxa"/>
              <w:right w:w="120" w:type="dxa"/>
            </w:tcMar>
          </w:tcPr>
          <w:p>
            <w:pPr>
              <w:spacing w:before="120" w:after="120"/>
            </w:pPr>
            <w:r>
              <w:rPr>
                <w:b/>
                <w:color w:val="FFFFFF"/>
                <w:sz w:val="19"/>
              </w:rPr>
              <w:t>Segmen Bisnis (Segment)</w:t>
            </w:r>
          </w:p>
        </w:tc>
        <w:tc>
          <w:tcPr>
            <w:tcW w:type="dxa" w:w="3312"/>
            <w:shd w:fill="1B365D"/>
            <w:tcMar>
              <w:top w:w="100" w:type="dxa"/>
              <w:bottom w:w="100" w:type="dxa"/>
              <w:left w:w="120" w:type="dxa"/>
              <w:right w:w="120" w:type="dxa"/>
            </w:tcMar>
          </w:tcPr>
          <w:p>
            <w:pPr>
              <w:spacing w:before="120" w:after="120"/>
            </w:pPr>
            <w:r>
              <w:rPr>
                <w:b/>
                <w:color w:val="FFFFFF"/>
                <w:sz w:val="19"/>
              </w:rPr>
              <w:t>Metode Koneksi &amp; Sumber Data Target</w:t>
            </w:r>
          </w:p>
        </w:tc>
      </w:tr>
      <w:tr>
        <w:tc>
          <w:tcPr>
            <w:tcW w:type="dxa" w:w="3312"/>
            <w:tcMar>
              <w:top w:w="80" w:type="dxa"/>
              <w:bottom w:w="80" w:type="dxa"/>
              <w:left w:w="100" w:type="dxa"/>
              <w:right w:w="100" w:type="dxa"/>
            </w:tcMar>
            <w:shd w:fill="FFFFFF"/>
          </w:tcPr>
          <w:p>
            <w:pPr>
              <w:spacing w:before="80" w:after="80"/>
            </w:pPr>
            <w:r>
              <w:rPr>
                <w:b/>
                <w:sz w:val="18"/>
              </w:rPr>
              <w:t>Bulgari</w:t>
            </w:r>
          </w:p>
        </w:tc>
        <w:tc>
          <w:tcPr>
            <w:tcW w:type="dxa" w:w="3312"/>
            <w:tcMar>
              <w:top w:w="80" w:type="dxa"/>
              <w:bottom w:w="80" w:type="dxa"/>
              <w:left w:w="100" w:type="dxa"/>
              <w:right w:w="100" w:type="dxa"/>
            </w:tcMar>
            <w:shd w:fill="FFFFFF"/>
          </w:tcPr>
          <w:p>
            <w:pPr>
              <w:spacing w:before="80" w:after="80"/>
            </w:pPr>
            <w:r>
              <w:rPr>
                <w:sz w:val="18"/>
              </w:rPr>
              <w:t>Retail</w:t>
            </w:r>
          </w:p>
        </w:tc>
        <w:tc>
          <w:tcPr>
            <w:tcW w:type="dxa" w:w="3312"/>
            <w:tcMar>
              <w:top w:w="80" w:type="dxa"/>
              <w:bottom w:w="80" w:type="dxa"/>
              <w:left w:w="100" w:type="dxa"/>
              <w:right w:w="100" w:type="dxa"/>
            </w:tcMar>
            <w:shd w:fill="FFFFFF"/>
          </w:tcPr>
          <w:p>
            <w:pPr>
              <w:spacing w:before="80" w:after="80"/>
            </w:pPr>
            <w:r>
              <w:rPr>
                <w:sz w:val="18"/>
              </w:rPr>
              <w:t>ERP Connection (NetSuite Global API Integration)</w:t>
            </w:r>
          </w:p>
        </w:tc>
      </w:tr>
      <w:tr>
        <w:tc>
          <w:tcPr>
            <w:tcW w:type="dxa" w:w="3312"/>
            <w:tcMar>
              <w:top w:w="80" w:type="dxa"/>
              <w:bottom w:w="80" w:type="dxa"/>
              <w:left w:w="100" w:type="dxa"/>
              <w:right w:w="100" w:type="dxa"/>
            </w:tcMar>
            <w:shd w:fill="F9FAFB"/>
          </w:tcPr>
          <w:p>
            <w:pPr>
              <w:spacing w:before="80" w:after="80"/>
            </w:pPr>
            <w:r>
              <w:rPr>
                <w:b/>
                <w:sz w:val="18"/>
              </w:rPr>
              <w:t>Omega</w:t>
            </w:r>
          </w:p>
        </w:tc>
        <w:tc>
          <w:tcPr>
            <w:tcW w:type="dxa" w:w="3312"/>
            <w:tcMar>
              <w:top w:w="80" w:type="dxa"/>
              <w:bottom w:w="80" w:type="dxa"/>
              <w:left w:w="100" w:type="dxa"/>
              <w:right w:w="100" w:type="dxa"/>
            </w:tcMar>
            <w:shd w:fill="F9FAFB"/>
          </w:tcPr>
          <w:p>
            <w:pPr>
              <w:spacing w:before="80" w:after="80"/>
            </w:pPr>
            <w:r>
              <w:rPr>
                <w:sz w:val="18"/>
              </w:rPr>
              <w:t>Retail</w:t>
            </w:r>
          </w:p>
        </w:tc>
        <w:tc>
          <w:tcPr>
            <w:tcW w:type="dxa" w:w="3312"/>
            <w:tcMar>
              <w:top w:w="80" w:type="dxa"/>
              <w:bottom w:w="80" w:type="dxa"/>
              <w:left w:w="100" w:type="dxa"/>
              <w:right w:w="100" w:type="dxa"/>
            </w:tcMar>
            <w:shd w:fill="F9FAFB"/>
          </w:tcPr>
          <w:p>
            <w:pPr>
              <w:spacing w:before="80" w:after="80"/>
            </w:pPr>
            <w:r>
              <w:rPr>
                <w:sz w:val="18"/>
              </w:rPr>
              <w:t>ERP Connection (NetSuite Global API Link)</w:t>
            </w:r>
          </w:p>
        </w:tc>
      </w:tr>
      <w:tr>
        <w:tc>
          <w:tcPr>
            <w:tcW w:type="dxa" w:w="3312"/>
            <w:tcMar>
              <w:top w:w="80" w:type="dxa"/>
              <w:bottom w:w="80" w:type="dxa"/>
              <w:left w:w="100" w:type="dxa"/>
              <w:right w:w="100" w:type="dxa"/>
            </w:tcMar>
            <w:shd w:fill="FFFFFF"/>
          </w:tcPr>
          <w:p>
            <w:pPr>
              <w:spacing w:before="80" w:after="80"/>
            </w:pPr>
            <w:r>
              <w:rPr>
                <w:b/>
                <w:sz w:val="18"/>
              </w:rPr>
              <w:t>Atmos Indonesia</w:t>
            </w:r>
          </w:p>
        </w:tc>
        <w:tc>
          <w:tcPr>
            <w:tcW w:type="dxa" w:w="3312"/>
            <w:tcMar>
              <w:top w:w="80" w:type="dxa"/>
              <w:bottom w:w="80" w:type="dxa"/>
              <w:left w:w="100" w:type="dxa"/>
              <w:right w:w="100" w:type="dxa"/>
            </w:tcMar>
            <w:shd w:fill="FFFFFF"/>
          </w:tcPr>
          <w:p>
            <w:pPr>
              <w:spacing w:before="80" w:after="80"/>
            </w:pPr>
            <w:r>
              <w:rPr>
                <w:sz w:val="18"/>
              </w:rPr>
              <w:t>Retail</w:t>
            </w:r>
          </w:p>
        </w:tc>
        <w:tc>
          <w:tcPr>
            <w:tcW w:type="dxa" w:w="3312"/>
            <w:tcMar>
              <w:top w:w="80" w:type="dxa"/>
              <w:bottom w:w="80" w:type="dxa"/>
              <w:left w:w="100" w:type="dxa"/>
              <w:right w:w="100" w:type="dxa"/>
            </w:tcMar>
            <w:shd w:fill="FFFFFF"/>
          </w:tcPr>
          <w:p>
            <w:pPr>
              <w:spacing w:before="80" w:after="80"/>
            </w:pPr>
            <w:r>
              <w:rPr>
                <w:sz w:val="18"/>
              </w:rPr>
              <w:t>POS API Connection (Retailsoft ERP API Sync)</w:t>
            </w:r>
          </w:p>
        </w:tc>
      </w:tr>
      <w:tr>
        <w:tc>
          <w:tcPr>
            <w:tcW w:type="dxa" w:w="3312"/>
            <w:tcMar>
              <w:top w:w="80" w:type="dxa"/>
              <w:bottom w:w="80" w:type="dxa"/>
              <w:left w:w="100" w:type="dxa"/>
              <w:right w:w="100" w:type="dxa"/>
            </w:tcMar>
            <w:shd w:fill="F9FAFB"/>
          </w:tcPr>
          <w:p>
            <w:pPr>
              <w:spacing w:before="80" w:after="80"/>
            </w:pPr>
            <w:r>
              <w:rPr>
                <w:b/>
                <w:sz w:val="18"/>
              </w:rPr>
              <w:t>Lancôme Indonesia</w:t>
            </w:r>
          </w:p>
        </w:tc>
        <w:tc>
          <w:tcPr>
            <w:tcW w:type="dxa" w:w="3312"/>
            <w:tcMar>
              <w:top w:w="80" w:type="dxa"/>
              <w:bottom w:w="80" w:type="dxa"/>
              <w:left w:w="100" w:type="dxa"/>
              <w:right w:w="100" w:type="dxa"/>
            </w:tcMar>
            <w:shd w:fill="F9FAFB"/>
          </w:tcPr>
          <w:p>
            <w:pPr>
              <w:spacing w:before="80" w:after="80"/>
            </w:pPr>
            <w:r>
              <w:rPr>
                <w:sz w:val="18"/>
              </w:rPr>
              <w:t>Retail</w:t>
            </w:r>
          </w:p>
        </w:tc>
        <w:tc>
          <w:tcPr>
            <w:tcW w:type="dxa" w:w="3312"/>
            <w:tcMar>
              <w:top w:w="80" w:type="dxa"/>
              <w:bottom w:w="80" w:type="dxa"/>
              <w:left w:w="100" w:type="dxa"/>
              <w:right w:w="100" w:type="dxa"/>
            </w:tcMar>
            <w:shd w:fill="F9FAFB"/>
          </w:tcPr>
          <w:p>
            <w:pPr>
              <w:spacing w:before="80" w:after="80"/>
            </w:pPr>
            <w:r>
              <w:rPr>
                <w:sz w:val="18"/>
              </w:rPr>
              <w:t>ERP Connection (NetSuite ERP Integration Link)</w:t>
            </w:r>
          </w:p>
        </w:tc>
      </w:tr>
      <w:tr>
        <w:tc>
          <w:tcPr>
            <w:tcW w:type="dxa" w:w="3312"/>
            <w:tcMar>
              <w:top w:w="80" w:type="dxa"/>
              <w:bottom w:w="80" w:type="dxa"/>
              <w:left w:w="100" w:type="dxa"/>
              <w:right w:w="100" w:type="dxa"/>
            </w:tcMar>
            <w:shd w:fill="FFFFFF"/>
          </w:tcPr>
          <w:p>
            <w:pPr>
              <w:spacing w:before="80" w:after="80"/>
            </w:pPr>
            <w:r>
              <w:rPr>
                <w:b/>
                <w:sz w:val="18"/>
              </w:rPr>
              <w:t>Kiehl's Indonesia</w:t>
            </w:r>
          </w:p>
        </w:tc>
        <w:tc>
          <w:tcPr>
            <w:tcW w:type="dxa" w:w="3312"/>
            <w:tcMar>
              <w:top w:w="80" w:type="dxa"/>
              <w:bottom w:w="80" w:type="dxa"/>
              <w:left w:w="100" w:type="dxa"/>
              <w:right w:w="100" w:type="dxa"/>
            </w:tcMar>
            <w:shd w:fill="FFFFFF"/>
          </w:tcPr>
          <w:p>
            <w:pPr>
              <w:spacing w:before="80" w:after="80"/>
            </w:pPr>
            <w:r>
              <w:rPr>
                <w:sz w:val="18"/>
              </w:rPr>
              <w:t>Retail</w:t>
            </w:r>
          </w:p>
        </w:tc>
        <w:tc>
          <w:tcPr>
            <w:tcW w:type="dxa" w:w="3312"/>
            <w:tcMar>
              <w:top w:w="80" w:type="dxa"/>
              <w:bottom w:w="80" w:type="dxa"/>
              <w:left w:w="100" w:type="dxa"/>
              <w:right w:w="100" w:type="dxa"/>
            </w:tcMar>
            <w:shd w:fill="FFFFFF"/>
          </w:tcPr>
          <w:p>
            <w:pPr>
              <w:spacing w:before="80" w:after="80"/>
            </w:pPr>
            <w:r>
              <w:rPr>
                <w:sz w:val="18"/>
              </w:rPr>
              <w:t>ERP Connection (NetSuite ERP Integration Link)</w:t>
            </w:r>
          </w:p>
        </w:tc>
      </w:tr>
      <w:tr>
        <w:tc>
          <w:tcPr>
            <w:tcW w:type="dxa" w:w="3312"/>
            <w:tcMar>
              <w:top w:w="80" w:type="dxa"/>
              <w:bottom w:w="80" w:type="dxa"/>
              <w:left w:w="100" w:type="dxa"/>
              <w:right w:w="100" w:type="dxa"/>
            </w:tcMar>
            <w:shd w:fill="F9FAFB"/>
          </w:tcPr>
          <w:p>
            <w:pPr>
              <w:spacing w:before="80" w:after="80"/>
            </w:pPr>
            <w:r>
              <w:rPr>
                <w:b/>
                <w:sz w:val="18"/>
              </w:rPr>
              <w:t>Chronologie</w:t>
            </w:r>
          </w:p>
        </w:tc>
        <w:tc>
          <w:tcPr>
            <w:tcW w:type="dxa" w:w="3312"/>
            <w:tcMar>
              <w:top w:w="80" w:type="dxa"/>
              <w:bottom w:w="80" w:type="dxa"/>
              <w:left w:w="100" w:type="dxa"/>
              <w:right w:w="100" w:type="dxa"/>
            </w:tcMar>
            <w:shd w:fill="F9FAFB"/>
          </w:tcPr>
          <w:p>
            <w:pPr>
              <w:spacing w:before="80" w:after="80"/>
            </w:pPr>
            <w:r>
              <w:rPr>
                <w:sz w:val="18"/>
              </w:rPr>
              <w:t>Retail</w:t>
            </w:r>
          </w:p>
        </w:tc>
        <w:tc>
          <w:tcPr>
            <w:tcW w:type="dxa" w:w="3312"/>
            <w:tcMar>
              <w:top w:w="80" w:type="dxa"/>
              <w:bottom w:w="80" w:type="dxa"/>
              <w:left w:w="100" w:type="dxa"/>
              <w:right w:w="100" w:type="dxa"/>
            </w:tcMar>
            <w:shd w:fill="F9FAFB"/>
          </w:tcPr>
          <w:p>
            <w:pPr>
              <w:spacing w:before="80" w:after="80"/>
            </w:pPr>
            <w:r>
              <w:rPr>
                <w:sz w:val="18"/>
              </w:rPr>
              <w:t>ERP Connection (NetSuite ERP Integration Link)</w:t>
            </w:r>
          </w:p>
        </w:tc>
      </w:tr>
      <w:tr>
        <w:tc>
          <w:tcPr>
            <w:tcW w:type="dxa" w:w="3312"/>
            <w:tcMar>
              <w:top w:w="80" w:type="dxa"/>
              <w:bottom w:w="80" w:type="dxa"/>
              <w:left w:w="100" w:type="dxa"/>
              <w:right w:w="100" w:type="dxa"/>
            </w:tcMar>
            <w:shd w:fill="FFFFFF"/>
          </w:tcPr>
          <w:p>
            <w:pPr>
              <w:spacing w:before="80" w:after="80"/>
            </w:pPr>
            <w:r>
              <w:rPr>
                <w:b/>
                <w:sz w:val="18"/>
              </w:rPr>
              <w:t>Wiggle Wiggle</w:t>
            </w:r>
          </w:p>
        </w:tc>
        <w:tc>
          <w:tcPr>
            <w:tcW w:type="dxa" w:w="3312"/>
            <w:tcMar>
              <w:top w:w="80" w:type="dxa"/>
              <w:bottom w:w="80" w:type="dxa"/>
              <w:left w:w="100" w:type="dxa"/>
              <w:right w:w="100" w:type="dxa"/>
            </w:tcMar>
            <w:shd w:fill="FFFFFF"/>
          </w:tcPr>
          <w:p>
            <w:pPr>
              <w:spacing w:before="80" w:after="80"/>
            </w:pPr>
            <w:r>
              <w:rPr>
                <w:sz w:val="18"/>
              </w:rPr>
              <w:t>Retail</w:t>
            </w:r>
          </w:p>
        </w:tc>
        <w:tc>
          <w:tcPr>
            <w:tcW w:type="dxa" w:w="3312"/>
            <w:tcMar>
              <w:top w:w="80" w:type="dxa"/>
              <w:bottom w:w="80" w:type="dxa"/>
              <w:left w:w="100" w:type="dxa"/>
              <w:right w:w="100" w:type="dxa"/>
            </w:tcMar>
            <w:shd w:fill="FFFFFF"/>
          </w:tcPr>
          <w:p>
            <w:pPr>
              <w:spacing w:before="80" w:after="80"/>
            </w:pPr>
            <w:r>
              <w:rPr>
                <w:sz w:val="18"/>
              </w:rPr>
              <w:t>POS API Connection (Retailsoft Retail API Sync)</w:t>
            </w:r>
          </w:p>
        </w:tc>
      </w:tr>
      <w:tr>
        <w:tc>
          <w:tcPr>
            <w:tcW w:type="dxa" w:w="3312"/>
            <w:tcMar>
              <w:top w:w="80" w:type="dxa"/>
              <w:bottom w:w="80" w:type="dxa"/>
              <w:left w:w="100" w:type="dxa"/>
              <w:right w:w="100" w:type="dxa"/>
            </w:tcMar>
            <w:shd w:fill="F9FAFB"/>
          </w:tcPr>
          <w:p>
            <w:pPr>
              <w:spacing w:before="80" w:after="80"/>
            </w:pPr>
            <w:r>
              <w:rPr>
                <w:b/>
                <w:sz w:val="18"/>
              </w:rPr>
              <w:t>Bulgari Resort Bali</w:t>
            </w:r>
          </w:p>
        </w:tc>
        <w:tc>
          <w:tcPr>
            <w:tcW w:type="dxa" w:w="3312"/>
            <w:tcMar>
              <w:top w:w="80" w:type="dxa"/>
              <w:bottom w:w="80" w:type="dxa"/>
              <w:left w:w="100" w:type="dxa"/>
              <w:right w:w="100" w:type="dxa"/>
            </w:tcMar>
            <w:shd w:fill="F9FAFB"/>
          </w:tcPr>
          <w:p>
            <w:pPr>
              <w:spacing w:before="80" w:after="80"/>
            </w:pPr>
            <w:r>
              <w:rPr>
                <w:sz w:val="18"/>
              </w:rPr>
              <w:t>Retail</w:t>
            </w:r>
          </w:p>
        </w:tc>
        <w:tc>
          <w:tcPr>
            <w:tcW w:type="dxa" w:w="3312"/>
            <w:tcMar>
              <w:top w:w="80" w:type="dxa"/>
              <w:bottom w:w="80" w:type="dxa"/>
              <w:left w:w="100" w:type="dxa"/>
              <w:right w:w="100" w:type="dxa"/>
            </w:tcMar>
            <w:shd w:fill="F9FAFB"/>
          </w:tcPr>
          <w:p>
            <w:pPr>
              <w:spacing w:before="80" w:after="80"/>
            </w:pPr>
            <w:r>
              <w:rPr>
                <w:sz w:val="18"/>
              </w:rPr>
              <w:t>ERP Connection (Opera PMS Hotel DB Sync)</w:t>
            </w:r>
          </w:p>
        </w:tc>
      </w:tr>
      <w:tr>
        <w:tc>
          <w:tcPr>
            <w:tcW w:type="dxa" w:w="3312"/>
            <w:tcMar>
              <w:top w:w="80" w:type="dxa"/>
              <w:bottom w:w="80" w:type="dxa"/>
              <w:left w:w="100" w:type="dxa"/>
              <w:right w:w="100" w:type="dxa"/>
            </w:tcMar>
            <w:shd w:fill="FFFFFF"/>
          </w:tcPr>
          <w:p>
            <w:pPr>
              <w:spacing w:before="80" w:after="80"/>
            </w:pPr>
            <w:r>
              <w:rPr>
                <w:b/>
                <w:sz w:val="18"/>
              </w:rPr>
              <w:t>Häagen-Dazs Indonesia</w:t>
            </w:r>
          </w:p>
        </w:tc>
        <w:tc>
          <w:tcPr>
            <w:tcW w:type="dxa" w:w="3312"/>
            <w:tcMar>
              <w:top w:w="80" w:type="dxa"/>
              <w:bottom w:w="80" w:type="dxa"/>
              <w:left w:w="100" w:type="dxa"/>
              <w:right w:w="100" w:type="dxa"/>
            </w:tcMar>
            <w:shd w:fill="FFFFFF"/>
          </w:tcPr>
          <w:p>
            <w:pPr>
              <w:spacing w:before="80" w:after="80"/>
            </w:pPr>
            <w:r>
              <w:rPr>
                <w:sz w:val="18"/>
              </w:rPr>
              <w:t>F&amp;B</w:t>
            </w:r>
          </w:p>
        </w:tc>
        <w:tc>
          <w:tcPr>
            <w:tcW w:type="dxa" w:w="3312"/>
            <w:tcMar>
              <w:top w:w="80" w:type="dxa"/>
              <w:bottom w:w="80" w:type="dxa"/>
              <w:left w:w="100" w:type="dxa"/>
              <w:right w:w="100" w:type="dxa"/>
            </w:tcMar>
            <w:shd w:fill="FFFFFF"/>
          </w:tcPr>
          <w:p>
            <w:pPr>
              <w:spacing w:before="80" w:after="80"/>
            </w:pPr>
            <w:r>
              <w:rPr>
                <w:sz w:val="18"/>
              </w:rPr>
              <w:t>POS API Connection (Retailsoft POS Outlet Sync)</w:t>
            </w:r>
          </w:p>
        </w:tc>
      </w:tr>
      <w:tr>
        <w:tc>
          <w:tcPr>
            <w:tcW w:type="dxa" w:w="3312"/>
            <w:tcMar>
              <w:top w:w="80" w:type="dxa"/>
              <w:bottom w:w="80" w:type="dxa"/>
              <w:left w:w="100" w:type="dxa"/>
              <w:right w:w="100" w:type="dxa"/>
            </w:tcMar>
            <w:shd w:fill="F9FAFB"/>
          </w:tcPr>
          <w:p>
            <w:pPr>
              <w:spacing w:before="80" w:after="80"/>
            </w:pPr>
            <w:r>
              <w:rPr>
                <w:b/>
                <w:sz w:val="18"/>
              </w:rPr>
              <w:t>Hard Rock Cafe Bali</w:t>
            </w:r>
          </w:p>
        </w:tc>
        <w:tc>
          <w:tcPr>
            <w:tcW w:type="dxa" w:w="3312"/>
            <w:tcMar>
              <w:top w:w="80" w:type="dxa"/>
              <w:bottom w:w="80" w:type="dxa"/>
              <w:left w:w="100" w:type="dxa"/>
              <w:right w:w="100" w:type="dxa"/>
            </w:tcMar>
            <w:shd w:fill="F9FAFB"/>
          </w:tcPr>
          <w:p>
            <w:pPr>
              <w:spacing w:before="80" w:after="80"/>
            </w:pPr>
            <w:r>
              <w:rPr>
                <w:sz w:val="18"/>
              </w:rPr>
              <w:t>F&amp;B</w:t>
            </w:r>
          </w:p>
        </w:tc>
        <w:tc>
          <w:tcPr>
            <w:tcW w:type="dxa" w:w="3312"/>
            <w:tcMar>
              <w:top w:w="80" w:type="dxa"/>
              <w:bottom w:w="80" w:type="dxa"/>
              <w:left w:w="100" w:type="dxa"/>
              <w:right w:w="100" w:type="dxa"/>
            </w:tcMar>
            <w:shd w:fill="F9FAFB"/>
          </w:tcPr>
          <w:p>
            <w:pPr>
              <w:spacing w:before="80" w:after="80"/>
            </w:pPr>
            <w:r>
              <w:rPr>
                <w:sz w:val="18"/>
              </w:rPr>
              <w:t>POS API Connection (Retailsoft POS Cafe Sync)</w:t>
            </w:r>
          </w:p>
        </w:tc>
      </w:tr>
      <w:tr>
        <w:tc>
          <w:tcPr>
            <w:tcW w:type="dxa" w:w="3312"/>
            <w:tcMar>
              <w:top w:w="80" w:type="dxa"/>
              <w:bottom w:w="80" w:type="dxa"/>
              <w:left w:w="100" w:type="dxa"/>
              <w:right w:w="100" w:type="dxa"/>
            </w:tcMar>
            <w:shd w:fill="FFFFFF"/>
          </w:tcPr>
          <w:p>
            <w:pPr>
              <w:spacing w:before="80" w:after="80"/>
            </w:pPr>
            <w:r>
              <w:rPr>
                <w:b/>
                <w:sz w:val="18"/>
              </w:rPr>
              <w:t>Jamba Juice</w:t>
            </w:r>
          </w:p>
        </w:tc>
        <w:tc>
          <w:tcPr>
            <w:tcW w:type="dxa" w:w="3312"/>
            <w:tcMar>
              <w:top w:w="80" w:type="dxa"/>
              <w:bottom w:w="80" w:type="dxa"/>
              <w:left w:w="100" w:type="dxa"/>
              <w:right w:w="100" w:type="dxa"/>
            </w:tcMar>
            <w:shd w:fill="FFFFFF"/>
          </w:tcPr>
          <w:p>
            <w:pPr>
              <w:spacing w:before="80" w:after="80"/>
            </w:pPr>
            <w:r>
              <w:rPr>
                <w:sz w:val="18"/>
              </w:rPr>
              <w:t>F&amp;B</w:t>
            </w:r>
          </w:p>
        </w:tc>
        <w:tc>
          <w:tcPr>
            <w:tcW w:type="dxa" w:w="3312"/>
            <w:tcMar>
              <w:top w:w="80" w:type="dxa"/>
              <w:bottom w:w="80" w:type="dxa"/>
              <w:left w:w="100" w:type="dxa"/>
              <w:right w:w="100" w:type="dxa"/>
            </w:tcMar>
            <w:shd w:fill="FFFFFF"/>
          </w:tcPr>
          <w:p>
            <w:pPr>
              <w:spacing w:before="80" w:after="80"/>
            </w:pPr>
            <w:r>
              <w:rPr>
                <w:sz w:val="18"/>
              </w:rPr>
              <w:t>POS API Connection (Retailsoft POS API Sync)</w:t>
            </w:r>
          </w:p>
        </w:tc>
      </w:tr>
      <w:tr>
        <w:tc>
          <w:tcPr>
            <w:tcW w:type="dxa" w:w="3312"/>
            <w:tcMar>
              <w:top w:w="80" w:type="dxa"/>
              <w:bottom w:w="80" w:type="dxa"/>
              <w:left w:w="100" w:type="dxa"/>
              <w:right w:w="100" w:type="dxa"/>
            </w:tcMar>
            <w:shd w:fill="F9FAFB"/>
          </w:tcPr>
          <w:p>
            <w:pPr>
              <w:spacing w:before="80" w:after="80"/>
            </w:pPr>
            <w:r>
              <w:rPr>
                <w:b/>
                <w:sz w:val="18"/>
              </w:rPr>
              <w:t>Bateel</w:t>
            </w:r>
          </w:p>
        </w:tc>
        <w:tc>
          <w:tcPr>
            <w:tcW w:type="dxa" w:w="3312"/>
            <w:tcMar>
              <w:top w:w="80" w:type="dxa"/>
              <w:bottom w:w="80" w:type="dxa"/>
              <w:left w:w="100" w:type="dxa"/>
              <w:right w:w="100" w:type="dxa"/>
            </w:tcMar>
            <w:shd w:fill="F9FAFB"/>
          </w:tcPr>
          <w:p>
            <w:pPr>
              <w:spacing w:before="80" w:after="80"/>
            </w:pPr>
            <w:r>
              <w:rPr>
                <w:sz w:val="18"/>
              </w:rPr>
              <w:t>F&amp;B</w:t>
            </w:r>
          </w:p>
        </w:tc>
        <w:tc>
          <w:tcPr>
            <w:tcW w:type="dxa" w:w="3312"/>
            <w:tcMar>
              <w:top w:w="80" w:type="dxa"/>
              <w:bottom w:w="80" w:type="dxa"/>
              <w:left w:w="100" w:type="dxa"/>
              <w:right w:w="100" w:type="dxa"/>
            </w:tcMar>
            <w:shd w:fill="F9FAFB"/>
          </w:tcPr>
          <w:p>
            <w:pPr>
              <w:spacing w:before="80" w:after="80"/>
            </w:pPr>
            <w:r>
              <w:rPr>
                <w:sz w:val="18"/>
              </w:rPr>
              <w:t>POS API Connection (Retailsoft POS API Sync)</w:t>
            </w:r>
          </w:p>
        </w:tc>
      </w:tr>
      <w:tr>
        <w:tc>
          <w:tcPr>
            <w:tcW w:type="dxa" w:w="3312"/>
            <w:tcMar>
              <w:top w:w="80" w:type="dxa"/>
              <w:bottom w:w="80" w:type="dxa"/>
              <w:left w:w="100" w:type="dxa"/>
              <w:right w:w="100" w:type="dxa"/>
            </w:tcMar>
            <w:shd w:fill="FFFFFF"/>
          </w:tcPr>
          <w:p>
            <w:pPr>
              <w:spacing w:before="80" w:after="80"/>
            </w:pPr>
            <w:r>
              <w:rPr>
                <w:b/>
                <w:sz w:val="18"/>
              </w:rPr>
              <w:t>Harper's Bazaar</w:t>
            </w:r>
          </w:p>
        </w:tc>
        <w:tc>
          <w:tcPr>
            <w:tcW w:type="dxa" w:w="3312"/>
            <w:tcMar>
              <w:top w:w="80" w:type="dxa"/>
              <w:bottom w:w="80" w:type="dxa"/>
              <w:left w:w="100" w:type="dxa"/>
              <w:right w:w="100" w:type="dxa"/>
            </w:tcMar>
            <w:shd w:fill="FFFFFF"/>
          </w:tcPr>
          <w:p>
            <w:pPr>
              <w:spacing w:before="80" w:after="80"/>
            </w:pPr>
            <w:r>
              <w:rPr>
                <w:sz w:val="18"/>
              </w:rPr>
              <w:t>Media</w:t>
            </w:r>
          </w:p>
        </w:tc>
        <w:tc>
          <w:tcPr>
            <w:tcW w:type="dxa" w:w="3312"/>
            <w:tcMar>
              <w:top w:w="80" w:type="dxa"/>
              <w:bottom w:w="80" w:type="dxa"/>
              <w:left w:w="100" w:type="dxa"/>
              <w:right w:w="100" w:type="dxa"/>
            </w:tcMar>
            <w:shd w:fill="FFFFFF"/>
          </w:tcPr>
          <w:p>
            <w:pPr>
              <w:spacing w:before="80" w:after="80"/>
            </w:pPr>
            <w:r>
              <w:rPr>
                <w:sz w:val="18"/>
              </w:rPr>
              <w:t>ERP/CRM API Connection (NetSuite CRM Database)</w:t>
            </w:r>
          </w:p>
        </w:tc>
      </w:tr>
      <w:tr>
        <w:tc>
          <w:tcPr>
            <w:tcW w:type="dxa" w:w="3312"/>
            <w:tcMar>
              <w:top w:w="80" w:type="dxa"/>
              <w:bottom w:w="80" w:type="dxa"/>
              <w:left w:w="100" w:type="dxa"/>
              <w:right w:w="100" w:type="dxa"/>
            </w:tcMar>
            <w:shd w:fill="F9FAFB"/>
          </w:tcPr>
          <w:p>
            <w:pPr>
              <w:spacing w:before="80" w:after="80"/>
            </w:pPr>
            <w:r>
              <w:rPr>
                <w:b/>
                <w:sz w:val="18"/>
              </w:rPr>
              <w:t>Her World</w:t>
            </w:r>
          </w:p>
        </w:tc>
        <w:tc>
          <w:tcPr>
            <w:tcW w:type="dxa" w:w="3312"/>
            <w:tcMar>
              <w:top w:w="80" w:type="dxa"/>
              <w:bottom w:w="80" w:type="dxa"/>
              <w:left w:w="100" w:type="dxa"/>
              <w:right w:w="100" w:type="dxa"/>
            </w:tcMar>
            <w:shd w:fill="F9FAFB"/>
          </w:tcPr>
          <w:p>
            <w:pPr>
              <w:spacing w:before="80" w:after="80"/>
            </w:pPr>
            <w:r>
              <w:rPr>
                <w:sz w:val="18"/>
              </w:rPr>
              <w:t>Media</w:t>
            </w:r>
          </w:p>
        </w:tc>
        <w:tc>
          <w:tcPr>
            <w:tcW w:type="dxa" w:w="3312"/>
            <w:tcMar>
              <w:top w:w="80" w:type="dxa"/>
              <w:bottom w:w="80" w:type="dxa"/>
              <w:left w:w="100" w:type="dxa"/>
              <w:right w:w="100" w:type="dxa"/>
            </w:tcMar>
            <w:shd w:fill="F9FAFB"/>
          </w:tcPr>
          <w:p>
            <w:pPr>
              <w:spacing w:before="80" w:after="80"/>
            </w:pPr>
            <w:r>
              <w:rPr>
                <w:sz w:val="18"/>
              </w:rPr>
              <w:t>ERP/CRM API Connection (NetSuite CRM Database)</w:t>
            </w:r>
          </w:p>
        </w:tc>
      </w:tr>
      <w:tr>
        <w:tc>
          <w:tcPr>
            <w:tcW w:type="dxa" w:w="3312"/>
            <w:tcMar>
              <w:top w:w="80" w:type="dxa"/>
              <w:bottom w:w="80" w:type="dxa"/>
              <w:left w:w="100" w:type="dxa"/>
              <w:right w:w="100" w:type="dxa"/>
            </w:tcMar>
            <w:shd w:fill="FFFFFF"/>
          </w:tcPr>
          <w:p>
            <w:pPr>
              <w:spacing w:before="80" w:after="80"/>
            </w:pPr>
            <w:r>
              <w:rPr>
                <w:b/>
                <w:sz w:val="18"/>
              </w:rPr>
              <w:t>Cosmopolitan</w:t>
            </w:r>
          </w:p>
        </w:tc>
        <w:tc>
          <w:tcPr>
            <w:tcW w:type="dxa" w:w="3312"/>
            <w:tcMar>
              <w:top w:w="80" w:type="dxa"/>
              <w:bottom w:w="80" w:type="dxa"/>
              <w:left w:w="100" w:type="dxa"/>
              <w:right w:w="100" w:type="dxa"/>
            </w:tcMar>
            <w:shd w:fill="FFFFFF"/>
          </w:tcPr>
          <w:p>
            <w:pPr>
              <w:spacing w:before="80" w:after="80"/>
            </w:pPr>
            <w:r>
              <w:rPr>
                <w:sz w:val="18"/>
              </w:rPr>
              <w:t>Media</w:t>
            </w:r>
          </w:p>
        </w:tc>
        <w:tc>
          <w:tcPr>
            <w:tcW w:type="dxa" w:w="3312"/>
            <w:tcMar>
              <w:top w:w="80" w:type="dxa"/>
              <w:bottom w:w="80" w:type="dxa"/>
              <w:left w:w="100" w:type="dxa"/>
              <w:right w:w="100" w:type="dxa"/>
            </w:tcMar>
            <w:shd w:fill="FFFFFF"/>
          </w:tcPr>
          <w:p>
            <w:pPr>
              <w:spacing w:before="80" w:after="80"/>
            </w:pPr>
            <w:r>
              <w:rPr>
                <w:sz w:val="18"/>
              </w:rPr>
              <w:t>ERP/CRM API Connection (NetSuite CRM Database)</w:t>
            </w:r>
          </w:p>
        </w:tc>
      </w:tr>
      <w:tr>
        <w:tc>
          <w:tcPr>
            <w:tcW w:type="dxa" w:w="3312"/>
            <w:tcMar>
              <w:top w:w="80" w:type="dxa"/>
              <w:bottom w:w="80" w:type="dxa"/>
              <w:left w:w="100" w:type="dxa"/>
              <w:right w:w="100" w:type="dxa"/>
            </w:tcMar>
            <w:shd w:fill="F9FAFB"/>
          </w:tcPr>
          <w:p>
            <w:pPr>
              <w:spacing w:before="80" w:after="80"/>
            </w:pPr>
            <w:r>
              <w:rPr>
                <w:b/>
                <w:sz w:val="18"/>
              </w:rPr>
              <w:t>Mother &amp; Beyond</w:t>
            </w:r>
          </w:p>
        </w:tc>
        <w:tc>
          <w:tcPr>
            <w:tcW w:type="dxa" w:w="3312"/>
            <w:tcMar>
              <w:top w:w="80" w:type="dxa"/>
              <w:bottom w:w="80" w:type="dxa"/>
              <w:left w:w="100" w:type="dxa"/>
              <w:right w:w="100" w:type="dxa"/>
            </w:tcMar>
            <w:shd w:fill="F9FAFB"/>
          </w:tcPr>
          <w:p>
            <w:pPr>
              <w:spacing w:before="80" w:after="80"/>
            </w:pPr>
            <w:r>
              <w:rPr>
                <w:sz w:val="18"/>
              </w:rPr>
              <w:t>Media</w:t>
            </w:r>
          </w:p>
        </w:tc>
        <w:tc>
          <w:tcPr>
            <w:tcW w:type="dxa" w:w="3312"/>
            <w:tcMar>
              <w:top w:w="80" w:type="dxa"/>
              <w:bottom w:w="80" w:type="dxa"/>
              <w:left w:w="100" w:type="dxa"/>
              <w:right w:w="100" w:type="dxa"/>
            </w:tcMar>
            <w:shd w:fill="F9FAFB"/>
          </w:tcPr>
          <w:p>
            <w:pPr>
              <w:spacing w:before="80" w:after="80"/>
            </w:pPr>
            <w:r>
              <w:rPr>
                <w:sz w:val="18"/>
              </w:rPr>
              <w:t>ERP/CRM API Connection (NetSuite CRM Database)</w:t>
            </w:r>
          </w:p>
        </w:tc>
      </w:tr>
      <w:tr>
        <w:tc>
          <w:tcPr>
            <w:tcW w:type="dxa" w:w="3312"/>
            <w:tcMar>
              <w:top w:w="80" w:type="dxa"/>
              <w:bottom w:w="80" w:type="dxa"/>
              <w:left w:w="100" w:type="dxa"/>
              <w:right w:w="100" w:type="dxa"/>
            </w:tcMar>
            <w:shd w:fill="FFFFFF"/>
          </w:tcPr>
          <w:p>
            <w:pPr>
              <w:spacing w:before="80" w:after="80"/>
            </w:pPr>
            <w:r>
              <w:rPr>
                <w:b/>
                <w:sz w:val="18"/>
              </w:rPr>
              <w:t>CASA Indonesia</w:t>
            </w:r>
          </w:p>
        </w:tc>
        <w:tc>
          <w:tcPr>
            <w:tcW w:type="dxa" w:w="3312"/>
            <w:tcMar>
              <w:top w:w="80" w:type="dxa"/>
              <w:bottom w:w="80" w:type="dxa"/>
              <w:left w:w="100" w:type="dxa"/>
              <w:right w:w="100" w:type="dxa"/>
            </w:tcMar>
            <w:shd w:fill="FFFFFF"/>
          </w:tcPr>
          <w:p>
            <w:pPr>
              <w:spacing w:before="80" w:after="80"/>
            </w:pPr>
            <w:r>
              <w:rPr>
                <w:sz w:val="18"/>
              </w:rPr>
              <w:t>Media</w:t>
            </w:r>
          </w:p>
        </w:tc>
        <w:tc>
          <w:tcPr>
            <w:tcW w:type="dxa" w:w="3312"/>
            <w:tcMar>
              <w:top w:w="80" w:type="dxa"/>
              <w:bottom w:w="80" w:type="dxa"/>
              <w:left w:w="100" w:type="dxa"/>
              <w:right w:w="100" w:type="dxa"/>
            </w:tcMar>
            <w:shd w:fill="FFFFFF"/>
          </w:tcPr>
          <w:p>
            <w:pPr>
              <w:spacing w:before="80" w:after="80"/>
            </w:pPr>
            <w:r>
              <w:rPr>
                <w:sz w:val="18"/>
              </w:rPr>
              <w:t>ERP/CRM API Connection (NetSuite CRM Database)</w:t>
            </w:r>
          </w:p>
        </w:tc>
      </w:tr>
      <w:tr>
        <w:tc>
          <w:tcPr>
            <w:tcW w:type="dxa" w:w="3312"/>
            <w:tcMar>
              <w:top w:w="80" w:type="dxa"/>
              <w:bottom w:w="80" w:type="dxa"/>
              <w:left w:w="100" w:type="dxa"/>
              <w:right w:w="100" w:type="dxa"/>
            </w:tcMar>
            <w:shd w:fill="F9FAFB"/>
          </w:tcPr>
          <w:p>
            <w:pPr>
              <w:spacing w:before="80" w:after="80"/>
            </w:pPr>
            <w:r>
              <w:rPr>
                <w:b/>
                <w:sz w:val="18"/>
              </w:rPr>
              <w:t>Parentalk.id</w:t>
            </w:r>
          </w:p>
        </w:tc>
        <w:tc>
          <w:tcPr>
            <w:tcW w:type="dxa" w:w="3312"/>
            <w:tcMar>
              <w:top w:w="80" w:type="dxa"/>
              <w:bottom w:w="80" w:type="dxa"/>
              <w:left w:w="100" w:type="dxa"/>
              <w:right w:w="100" w:type="dxa"/>
            </w:tcMar>
            <w:shd w:fill="F9FAFB"/>
          </w:tcPr>
          <w:p>
            <w:pPr>
              <w:spacing w:before="80" w:after="80"/>
            </w:pPr>
            <w:r>
              <w:rPr>
                <w:sz w:val="18"/>
              </w:rPr>
              <w:t>Media</w:t>
            </w:r>
          </w:p>
        </w:tc>
        <w:tc>
          <w:tcPr>
            <w:tcW w:type="dxa" w:w="3312"/>
            <w:tcMar>
              <w:top w:w="80" w:type="dxa"/>
              <w:bottom w:w="80" w:type="dxa"/>
              <w:left w:w="100" w:type="dxa"/>
              <w:right w:w="100" w:type="dxa"/>
            </w:tcMar>
            <w:shd w:fill="F9FAFB"/>
          </w:tcPr>
          <w:p>
            <w:pPr>
              <w:spacing w:before="80" w:after="80"/>
            </w:pPr>
            <w:r>
              <w:rPr>
                <w:sz w:val="18"/>
              </w:rPr>
              <w:t>Third-Party API Integration (Google Analytics &amp; Ads API)</w:t>
            </w:r>
          </w:p>
        </w:tc>
      </w:tr>
      <w:tr>
        <w:tc>
          <w:tcPr>
            <w:tcW w:type="dxa" w:w="3312"/>
            <w:tcMar>
              <w:top w:w="80" w:type="dxa"/>
              <w:bottom w:w="80" w:type="dxa"/>
              <w:left w:w="100" w:type="dxa"/>
              <w:right w:w="100" w:type="dxa"/>
            </w:tcMar>
            <w:shd w:fill="FFFFFF"/>
          </w:tcPr>
          <w:p>
            <w:pPr>
              <w:spacing w:before="80" w:after="80"/>
            </w:pPr>
            <w:r>
              <w:rPr>
                <w:b/>
                <w:sz w:val="18"/>
              </w:rPr>
              <w:t>Hard Rock FM</w:t>
            </w:r>
          </w:p>
        </w:tc>
        <w:tc>
          <w:tcPr>
            <w:tcW w:type="dxa" w:w="3312"/>
            <w:tcMar>
              <w:top w:w="80" w:type="dxa"/>
              <w:bottom w:w="80" w:type="dxa"/>
              <w:left w:w="100" w:type="dxa"/>
              <w:right w:w="100" w:type="dxa"/>
            </w:tcMar>
            <w:shd w:fill="FFFFFF"/>
          </w:tcPr>
          <w:p>
            <w:pPr>
              <w:spacing w:before="80" w:after="80"/>
            </w:pPr>
            <w:r>
              <w:rPr>
                <w:sz w:val="18"/>
              </w:rPr>
              <w:t>Media</w:t>
            </w:r>
          </w:p>
        </w:tc>
        <w:tc>
          <w:tcPr>
            <w:tcW w:type="dxa" w:w="3312"/>
            <w:tcMar>
              <w:top w:w="80" w:type="dxa"/>
              <w:bottom w:w="80" w:type="dxa"/>
              <w:left w:w="100" w:type="dxa"/>
              <w:right w:w="100" w:type="dxa"/>
            </w:tcMar>
            <w:shd w:fill="FFFFFF"/>
          </w:tcPr>
          <w:p>
            <w:pPr>
              <w:spacing w:before="80" w:after="80"/>
            </w:pPr>
            <w:r>
              <w:rPr>
                <w:sz w:val="18"/>
              </w:rPr>
              <w:t>ERP API Connection (NetSuite Radio Ad Booking Database)</w:t>
            </w:r>
          </w:p>
        </w:tc>
      </w:tr>
      <w:tr>
        <w:tc>
          <w:tcPr>
            <w:tcW w:type="dxa" w:w="3312"/>
            <w:tcMar>
              <w:top w:w="80" w:type="dxa"/>
              <w:bottom w:w="80" w:type="dxa"/>
              <w:left w:w="100" w:type="dxa"/>
              <w:right w:w="100" w:type="dxa"/>
            </w:tcMar>
            <w:shd w:fill="F9FAFB"/>
          </w:tcPr>
          <w:p>
            <w:pPr>
              <w:spacing w:before="80" w:after="80"/>
            </w:pPr>
            <w:r>
              <w:rPr>
                <w:b/>
                <w:sz w:val="18"/>
              </w:rPr>
              <w:t>IRadio</w:t>
            </w:r>
          </w:p>
        </w:tc>
        <w:tc>
          <w:tcPr>
            <w:tcW w:type="dxa" w:w="3312"/>
            <w:tcMar>
              <w:top w:w="80" w:type="dxa"/>
              <w:bottom w:w="80" w:type="dxa"/>
              <w:left w:w="100" w:type="dxa"/>
              <w:right w:w="100" w:type="dxa"/>
            </w:tcMar>
            <w:shd w:fill="F9FAFB"/>
          </w:tcPr>
          <w:p>
            <w:pPr>
              <w:spacing w:before="80" w:after="80"/>
            </w:pPr>
            <w:r>
              <w:rPr>
                <w:sz w:val="18"/>
              </w:rPr>
              <w:t>Media</w:t>
            </w:r>
          </w:p>
        </w:tc>
        <w:tc>
          <w:tcPr>
            <w:tcW w:type="dxa" w:w="3312"/>
            <w:tcMar>
              <w:top w:w="80" w:type="dxa"/>
              <w:bottom w:w="80" w:type="dxa"/>
              <w:left w:w="100" w:type="dxa"/>
              <w:right w:w="100" w:type="dxa"/>
            </w:tcMar>
            <w:shd w:fill="F9FAFB"/>
          </w:tcPr>
          <w:p>
            <w:pPr>
              <w:spacing w:before="80" w:after="80"/>
            </w:pPr>
            <w:r>
              <w:rPr>
                <w:sz w:val="18"/>
              </w:rPr>
              <w:t>ERP API Connection (NetSuite Radio Ad Booking Database)</w:t>
            </w:r>
          </w:p>
        </w:tc>
      </w:tr>
      <w:tr>
        <w:tc>
          <w:tcPr>
            <w:tcW w:type="dxa" w:w="3312"/>
            <w:tcMar>
              <w:top w:w="80" w:type="dxa"/>
              <w:bottom w:w="80" w:type="dxa"/>
              <w:left w:w="100" w:type="dxa"/>
              <w:right w:w="100" w:type="dxa"/>
            </w:tcMar>
            <w:shd w:fill="FFFFFF"/>
          </w:tcPr>
          <w:p>
            <w:pPr>
              <w:spacing w:before="80" w:after="80"/>
            </w:pPr>
            <w:r>
              <w:rPr>
                <w:b/>
                <w:sz w:val="18"/>
              </w:rPr>
              <w:t>Art Jakarta</w:t>
            </w:r>
          </w:p>
        </w:tc>
        <w:tc>
          <w:tcPr>
            <w:tcW w:type="dxa" w:w="3312"/>
            <w:tcMar>
              <w:top w:w="80" w:type="dxa"/>
              <w:bottom w:w="80" w:type="dxa"/>
              <w:left w:w="100" w:type="dxa"/>
              <w:right w:w="100" w:type="dxa"/>
            </w:tcMar>
            <w:shd w:fill="FFFFFF"/>
          </w:tcPr>
          <w:p>
            <w:pPr>
              <w:spacing w:before="80" w:after="80"/>
            </w:pPr>
            <w:r>
              <w:rPr>
                <w:sz w:val="18"/>
              </w:rPr>
              <w:t>Media</w:t>
            </w:r>
          </w:p>
        </w:tc>
        <w:tc>
          <w:tcPr>
            <w:tcW w:type="dxa" w:w="3312"/>
            <w:tcMar>
              <w:top w:w="80" w:type="dxa"/>
              <w:bottom w:w="80" w:type="dxa"/>
              <w:left w:w="100" w:type="dxa"/>
              <w:right w:w="100" w:type="dxa"/>
            </w:tcMar>
            <w:shd w:fill="FFFFFF"/>
          </w:tcPr>
          <w:p>
            <w:pPr>
              <w:spacing w:before="80" w:after="80"/>
            </w:pPr>
            <w:r>
              <w:rPr>
                <w:sz w:val="18"/>
              </w:rPr>
              <w:t>Third-Party API Integration (Loket.com Ticket API)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